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83CB" w14:textId="4B2A07F8" w:rsidR="00FA68D9" w:rsidRDefault="00FA68D9"/>
    <w:tbl>
      <w:tblPr>
        <w:tblStyle w:val="TableGrid"/>
        <w:tblW w:w="8005" w:type="dxa"/>
        <w:jc w:val="center"/>
        <w:tblLook w:val="04A0" w:firstRow="1" w:lastRow="0" w:firstColumn="1" w:lastColumn="0" w:noHBand="0" w:noVBand="1"/>
      </w:tblPr>
      <w:tblGrid>
        <w:gridCol w:w="8005"/>
      </w:tblGrid>
      <w:tr w:rsidR="00FA68D9" w:rsidRPr="00041320" w14:paraId="1709CCC6" w14:textId="77777777" w:rsidTr="005B0804">
        <w:trPr>
          <w:trHeight w:val="4689"/>
          <w:jc w:val="center"/>
        </w:trPr>
        <w:tc>
          <w:tcPr>
            <w:tcW w:w="8005" w:type="dxa"/>
          </w:tcPr>
          <w:p w14:paraId="33D8523D" w14:textId="2EFF265F" w:rsidR="001B5075" w:rsidRPr="003C0A90" w:rsidRDefault="001B5075" w:rsidP="005B0804">
            <w:pPr>
              <w:tabs>
                <w:tab w:val="clear" w:pos="567"/>
              </w:tabs>
              <w:snapToGrid/>
              <w:spacing w:before="120"/>
              <w:jc w:val="center"/>
              <w:rPr>
                <w:rFonts w:ascii="Arial" w:hAnsi="Arial" w:cs="Arial"/>
                <w:bCs/>
                <w:sz w:val="22"/>
                <w:szCs w:val="22"/>
                <w:u w:val="single"/>
                <w:lang w:val="fr-FR"/>
              </w:rPr>
            </w:pPr>
            <w:r>
              <w:rPr>
                <w:rFonts w:ascii="Arial" w:hAnsi="Arial" w:cs="Arial"/>
                <w:sz w:val="22"/>
                <w:szCs w:val="22"/>
                <w:u w:val="single"/>
                <w:lang w:val="es"/>
              </w:rPr>
              <w:t>Resumen</w:t>
            </w:r>
          </w:p>
          <w:p w14:paraId="46FA4A19" w14:textId="77777777" w:rsidR="00FA68D9" w:rsidRPr="003C0A90" w:rsidRDefault="00FA68D9">
            <w:pPr>
              <w:tabs>
                <w:tab w:val="clear" w:pos="567"/>
              </w:tabs>
              <w:snapToGrid/>
              <w:rPr>
                <w:rFonts w:ascii="Arial" w:hAnsi="Arial" w:cs="Arial"/>
                <w:b/>
                <w:bCs/>
                <w:sz w:val="22"/>
                <w:szCs w:val="22"/>
                <w:lang w:val="fr-FR"/>
              </w:rPr>
            </w:pPr>
          </w:p>
          <w:p w14:paraId="7D79465E" w14:textId="30039E75" w:rsidR="00202C6D" w:rsidRPr="003C0A90" w:rsidRDefault="002F2691" w:rsidP="00202C6D">
            <w:pPr>
              <w:widowControl w:val="0"/>
              <w:shd w:val="clear" w:color="auto" w:fill="FFFFFF"/>
              <w:adjustRightInd w:val="0"/>
              <w:spacing w:after="240"/>
              <w:ind w:right="284"/>
              <w:jc w:val="both"/>
              <w:textAlignment w:val="baseline"/>
              <w:rPr>
                <w:rFonts w:ascii="Arial" w:eastAsia="Times New Roman" w:hAnsi="Arial" w:cs="Arial"/>
                <w:sz w:val="22"/>
                <w:szCs w:val="22"/>
                <w:lang w:val="fr-FR"/>
              </w:rPr>
            </w:pPr>
            <w:r>
              <w:rPr>
                <w:rFonts w:ascii="Arial" w:hAnsi="Arial" w:cs="Arial"/>
                <w:sz w:val="22"/>
                <w:szCs w:val="22"/>
                <w:lang w:val="es"/>
              </w:rPr>
              <w:t>Este documento presenta una evaluación externa llevada a cabo por "Farman &amp; Partners" en respuesta a la petición de los Estados Miembros de la COI "</w:t>
            </w:r>
            <w:r>
              <w:rPr>
                <w:rFonts w:ascii="Arial" w:hAnsi="Arial" w:cs="Arial"/>
                <w:i/>
                <w:iCs/>
                <w:color w:val="000000"/>
                <w:sz w:val="22"/>
                <w:szCs w:val="22"/>
                <w:lang w:val="es"/>
              </w:rPr>
              <w:t>al Secretario Ejecutivo de la COI que, en consulta con la Mesa de la Comisión, inicie una evaluación externa de los procesos de gobernanza y gestión de la COI, con miras a racionalizar las operaciones y optimizar el uso de los recursos a fin de que sean verdaderamente idóneos para responder a la rápida evolución del programa relativo a los océanos y a las crecientes demandas de los Estados Miembros y los procesos multilaterales</w:t>
            </w:r>
            <w:r>
              <w:rPr>
                <w:rFonts w:ascii="Arial" w:hAnsi="Arial" w:cs="Arial"/>
                <w:color w:val="000000"/>
                <w:sz w:val="22"/>
                <w:szCs w:val="22"/>
                <w:lang w:val="es"/>
              </w:rPr>
              <w:t>" (Resolución EC-57/2 de la COI).</w:t>
            </w:r>
          </w:p>
          <w:p w14:paraId="54BF8E92" w14:textId="46DCFC1E" w:rsidR="00C93A6F" w:rsidRPr="003C0A90" w:rsidRDefault="00C93A6F" w:rsidP="00202C6D">
            <w:pPr>
              <w:widowControl w:val="0"/>
              <w:shd w:val="clear" w:color="auto" w:fill="FFFFFF"/>
              <w:adjustRightInd w:val="0"/>
              <w:spacing w:after="240"/>
              <w:ind w:right="284"/>
              <w:jc w:val="both"/>
              <w:textAlignment w:val="baseline"/>
              <w:rPr>
                <w:rFonts w:asciiTheme="minorBidi" w:eastAsia="Times New Roman" w:hAnsiTheme="minorBidi" w:cstheme="minorBidi"/>
                <w:sz w:val="22"/>
                <w:szCs w:val="22"/>
                <w:lang w:val="fr-FR"/>
              </w:rPr>
            </w:pPr>
            <w:r>
              <w:rPr>
                <w:rFonts w:ascii="Arial" w:hAnsi="Arial"/>
                <w:sz w:val="22"/>
                <w:szCs w:val="22"/>
                <w:lang w:val="es"/>
              </w:rPr>
              <w:t xml:space="preserve">El documento se presentó por primera vez al Grupo Asesor Financiero entre reuniones (IFAG) en su tercera reunión en línea, celebrada el 16 de abril de 2025, y posteriormente se debatió en la reunión presencial del 23 de junio de 2025 (ref. IOC/A-33/5.1.Doc(2) - </w:t>
            </w:r>
            <w:r>
              <w:rPr>
                <w:rFonts w:asciiTheme="minorBidi" w:hAnsiTheme="minorBidi"/>
                <w:color w:val="000000"/>
                <w:sz w:val="22"/>
                <w:szCs w:val="22"/>
                <w:lang w:val="es"/>
              </w:rPr>
              <w:t>Informe del Presidente del Grupo Asesor Financiero entre reuniones de la COI (periodo entre reuniones 2024-2025).</w:t>
            </w:r>
          </w:p>
          <w:p w14:paraId="6C050125" w14:textId="1B93CF0A" w:rsidR="00FA68D9" w:rsidRPr="003C0A90" w:rsidRDefault="002F2691" w:rsidP="00202C6D">
            <w:pPr>
              <w:widowControl w:val="0"/>
              <w:shd w:val="clear" w:color="auto" w:fill="FFFFFF"/>
              <w:adjustRightInd w:val="0"/>
              <w:spacing w:after="240"/>
              <w:ind w:right="284"/>
              <w:jc w:val="both"/>
              <w:textAlignment w:val="baseline"/>
              <w:rPr>
                <w:rFonts w:ascii="Arial" w:hAnsi="Arial" w:cs="Arial"/>
                <w:b/>
                <w:bCs/>
                <w:sz w:val="22"/>
                <w:szCs w:val="22"/>
                <w:lang w:val="fr-FR"/>
              </w:rPr>
            </w:pPr>
            <w:r>
              <w:rPr>
                <w:rFonts w:ascii="Arial" w:eastAsia="Times New Roman" w:hAnsi="Arial" w:cs="Arial"/>
                <w:sz w:val="22"/>
                <w:szCs w:val="22"/>
                <w:u w:val="single"/>
                <w:lang w:val="es"/>
              </w:rPr>
              <w:t>Decisión propuesta</w:t>
            </w:r>
            <w:r>
              <w:rPr>
                <w:rFonts w:ascii="Arial" w:eastAsia="Times New Roman" w:hAnsi="Arial" w:cs="Arial"/>
                <w:sz w:val="22"/>
                <w:szCs w:val="22"/>
                <w:lang w:val="es"/>
              </w:rPr>
              <w:t xml:space="preserve">: Tras una breve introducción y un debate en plenaria en relación con el punto 5.2, se invita a la Asamblea a tomar nota de este informe y a examinar el proyecto de decisión al que se hace referencia como </w:t>
            </w:r>
            <w:r>
              <w:rPr>
                <w:rFonts w:ascii="Arial" w:eastAsia="Times New Roman" w:hAnsi="Arial" w:cs="Arial"/>
                <w:sz w:val="22"/>
                <w:lang w:val="es"/>
              </w:rPr>
              <w:t xml:space="preserve">Dec. IOC/A-33/5.2 </w:t>
            </w:r>
            <w:r>
              <w:rPr>
                <w:rFonts w:ascii="Arial" w:eastAsia="Times New Roman" w:hAnsi="Arial" w:cs="Arial"/>
                <w:sz w:val="22"/>
                <w:szCs w:val="22"/>
                <w:lang w:val="es"/>
              </w:rPr>
              <w:t>en el Documento de Decisión Provisional (documento IOC/A-33/AP). A continuación, el documento será objeto de un examen exhaustivo por parte del Comité de Finanzas, órgano reglamentario de composición abierta creado para la reunión, y la decisión correspondiente figurará en el proyecto de resolución que el Comité de Finanzas someterá a la aprobación de la Asamblea en el marco del punto 5.4, de conformidad con lo dispuesto en el párrafo 15 del proyecto de las directrices revisadas para la preparación y el examen de los proyectos de resolución (</w:t>
            </w:r>
            <w:hyperlink r:id="rId8" w:history="1">
              <w:r>
                <w:rPr>
                  <w:rFonts w:ascii="Arial" w:eastAsia="Times New Roman" w:hAnsi="Arial" w:cs="Arial"/>
                  <w:color w:val="0000FF"/>
                  <w:sz w:val="22"/>
                  <w:szCs w:val="22"/>
                  <w:u w:val="single"/>
                  <w:lang w:val="es"/>
                </w:rPr>
                <w:t>IOC/INF-1315</w:t>
              </w:r>
            </w:hyperlink>
            <w:r>
              <w:rPr>
                <w:rFonts w:ascii="Arial" w:eastAsia="Times New Roman" w:hAnsi="Arial" w:cs="Arial"/>
                <w:sz w:val="22"/>
                <w:szCs w:val="22"/>
                <w:lang w:val="es"/>
              </w:rPr>
              <w:t>).</w:t>
            </w:r>
          </w:p>
        </w:tc>
      </w:tr>
    </w:tbl>
    <w:p w14:paraId="41FC2B7F" w14:textId="77777777" w:rsidR="00807593" w:rsidRPr="003C0A90" w:rsidRDefault="00807593" w:rsidP="00807593">
      <w:pPr>
        <w:widowControl w:val="0"/>
        <w:adjustRightInd w:val="0"/>
        <w:jc w:val="both"/>
        <w:textAlignment w:val="baseline"/>
        <w:rPr>
          <w:rStyle w:val="Style1Char"/>
          <w:rFonts w:eastAsia="SimSun"/>
          <w:lang w:val="fr-FR"/>
        </w:rPr>
      </w:pPr>
    </w:p>
    <w:p w14:paraId="7FEDF86C" w14:textId="547FA0B8" w:rsidR="00886912" w:rsidRPr="003C0A90" w:rsidRDefault="00886912">
      <w:pPr>
        <w:tabs>
          <w:tab w:val="clear" w:pos="567"/>
        </w:tabs>
        <w:snapToGrid/>
        <w:rPr>
          <w:rFonts w:ascii="Arial" w:hAnsi="Arial" w:cs="Arial"/>
          <w:b/>
          <w:bCs/>
          <w:sz w:val="22"/>
          <w:szCs w:val="22"/>
          <w:lang w:val="fr-FR"/>
        </w:rPr>
      </w:pPr>
    </w:p>
    <w:p w14:paraId="7B4294C6" w14:textId="64243BAC" w:rsidR="00886912" w:rsidRPr="003C0A90" w:rsidRDefault="00886912">
      <w:pPr>
        <w:tabs>
          <w:tab w:val="clear" w:pos="567"/>
        </w:tabs>
        <w:snapToGrid/>
        <w:rPr>
          <w:rFonts w:ascii="Arial" w:hAnsi="Arial" w:cs="Arial"/>
          <w:b/>
          <w:bCs/>
          <w:sz w:val="22"/>
          <w:szCs w:val="22"/>
          <w:lang w:val="fr-FR"/>
        </w:rPr>
      </w:pPr>
    </w:p>
    <w:p w14:paraId="5642FA41" w14:textId="2969D6B5" w:rsidR="00886912" w:rsidRPr="003C0A90" w:rsidRDefault="00886912" w:rsidP="00886912">
      <w:pPr>
        <w:tabs>
          <w:tab w:val="clear" w:pos="567"/>
        </w:tabs>
        <w:snapToGrid/>
        <w:rPr>
          <w:rFonts w:ascii="Arial" w:hAnsi="Arial" w:cs="Arial"/>
          <w:b/>
          <w:bCs/>
          <w:sz w:val="22"/>
          <w:szCs w:val="22"/>
          <w:lang w:val="fr-FR"/>
        </w:rPr>
      </w:pPr>
    </w:p>
    <w:p w14:paraId="07C78A0F" w14:textId="729FA42E" w:rsidR="00AE33F8" w:rsidRPr="003C0A90" w:rsidRDefault="00AE33F8" w:rsidP="00886912">
      <w:pPr>
        <w:tabs>
          <w:tab w:val="clear" w:pos="567"/>
        </w:tabs>
        <w:snapToGrid/>
        <w:rPr>
          <w:rFonts w:ascii="Arial" w:hAnsi="Arial" w:cs="Arial"/>
          <w:b/>
          <w:bCs/>
          <w:sz w:val="22"/>
          <w:szCs w:val="22"/>
          <w:lang w:val="fr-FR"/>
        </w:rPr>
        <w:sectPr w:rsidR="00AE33F8" w:rsidRPr="003C0A90" w:rsidSect="00AB067D">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134" w:header="680" w:footer="0" w:gutter="0"/>
          <w:cols w:space="708"/>
          <w:titlePg/>
          <w:docGrid w:linePitch="360"/>
        </w:sectPr>
      </w:pPr>
    </w:p>
    <w:p w14:paraId="44086860" w14:textId="0025A3D4" w:rsidR="00025564" w:rsidRPr="003C0A90" w:rsidRDefault="00025564" w:rsidP="00025564">
      <w:pPr>
        <w:pStyle w:val="Titrecentr"/>
        <w:spacing w:before="240" w:after="360"/>
        <w:jc w:val="left"/>
        <w:rPr>
          <w:lang w:val="fr-FR"/>
        </w:rPr>
      </w:pPr>
      <w:r>
        <w:rPr>
          <w:b w:val="0"/>
          <w:noProof/>
          <w:lang w:val="es"/>
        </w:rPr>
        <w:lastRenderedPageBreak/>
        <w:drawing>
          <wp:anchor distT="0" distB="0" distL="114300" distR="114300" simplePos="0" relativeHeight="251659264" behindDoc="0" locked="0" layoutInCell="1" allowOverlap="1" wp14:anchorId="20ABD406" wp14:editId="52C3EEFE">
            <wp:simplePos x="0" y="0"/>
            <wp:positionH relativeFrom="column">
              <wp:posOffset>4578824</wp:posOffset>
            </wp:positionH>
            <wp:positionV relativeFrom="paragraph">
              <wp:posOffset>109</wp:posOffset>
            </wp:positionV>
            <wp:extent cx="1232453" cy="1156745"/>
            <wp:effectExtent l="0" t="0" r="6350" b="5715"/>
            <wp:wrapNone/>
            <wp:docPr id="838595983" name="Image 9" descr="Une image contenant texte, Police, logo, Bleu électriqu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5983" name="Image 9" descr="Une image contenant texte, Police, logo, Bleu électrique&#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2453" cy="1156745"/>
                    </a:xfrm>
                    <a:prstGeom prst="rect">
                      <a:avLst/>
                    </a:prstGeom>
                    <a:noFill/>
                  </pic:spPr>
                </pic:pic>
              </a:graphicData>
            </a:graphic>
            <wp14:sizeRelH relativeFrom="margin">
              <wp14:pctWidth>0</wp14:pctWidth>
            </wp14:sizeRelH>
            <wp14:sizeRelV relativeFrom="margin">
              <wp14:pctHeight>0</wp14:pctHeight>
            </wp14:sizeRelV>
          </wp:anchor>
        </w:drawing>
      </w:r>
      <w:r>
        <w:rPr>
          <w:bCs/>
          <w:i/>
          <w:iCs/>
          <w:color w:val="333333"/>
          <w:sz w:val="32"/>
          <w:lang w:val="es"/>
        </w:rPr>
        <w:t>FARMAN &amp; PARTNERS</w:t>
      </w:r>
      <w:r>
        <w:rPr>
          <w:bCs/>
          <w:noProof/>
          <w:lang w:val="es"/>
        </w:rPr>
        <w:t xml:space="preserve"> </w:t>
      </w:r>
    </w:p>
    <w:p w14:paraId="19CCF180" w14:textId="77777777" w:rsidR="00025564" w:rsidRPr="003C0A90" w:rsidRDefault="00025564" w:rsidP="00025564">
      <w:pPr>
        <w:pStyle w:val="Titrecentr"/>
        <w:spacing w:before="240" w:after="360"/>
        <w:rPr>
          <w:lang w:val="fr-FR"/>
        </w:rPr>
      </w:pPr>
    </w:p>
    <w:p w14:paraId="0B961053" w14:textId="77777777" w:rsidR="00025564" w:rsidRPr="003C0A90" w:rsidRDefault="00025564" w:rsidP="00025564">
      <w:pPr>
        <w:pStyle w:val="Titrecentr"/>
        <w:rPr>
          <w:lang w:val="fr-FR"/>
        </w:rPr>
      </w:pPr>
    </w:p>
    <w:p w14:paraId="584C3C0B" w14:textId="72ADAB6B" w:rsidR="00025564" w:rsidRPr="003C0A90" w:rsidRDefault="00025564" w:rsidP="00025564">
      <w:pPr>
        <w:pStyle w:val="Titrecentr"/>
        <w:spacing w:before="240" w:after="360"/>
        <w:rPr>
          <w:lang w:val="fr-FR"/>
        </w:rPr>
      </w:pPr>
      <w:r>
        <w:rPr>
          <w:bCs/>
          <w:lang w:val="es"/>
        </w:rPr>
        <w:t>Evaluación externa de los procesos de gobernanza y gestión de la COI</w:t>
      </w:r>
    </w:p>
    <w:p w14:paraId="7FA85246" w14:textId="77777777" w:rsidR="00025564" w:rsidRPr="006979D1" w:rsidRDefault="00025564" w:rsidP="00025564">
      <w:pPr>
        <w:pStyle w:val="Titrecentr"/>
        <w:spacing w:before="240" w:after="360"/>
      </w:pPr>
      <w:r>
        <w:rPr>
          <w:bCs/>
          <w:lang w:val="es"/>
        </w:rPr>
        <w:t xml:space="preserve">28/03/2025 Informe final </w:t>
      </w:r>
    </w:p>
    <w:p w14:paraId="7769574A" w14:textId="77777777" w:rsidR="00025564" w:rsidRPr="003C0A90" w:rsidRDefault="00025564" w:rsidP="00025564">
      <w:pPr>
        <w:pStyle w:val="Titrealign"/>
        <w:keepNext/>
        <w:numPr>
          <w:ilvl w:val="0"/>
          <w:numId w:val="31"/>
        </w:numPr>
        <w:ind w:left="284" w:hanging="294"/>
        <w:rPr>
          <w:lang w:val="fr-FR"/>
        </w:rPr>
      </w:pPr>
      <w:r>
        <w:rPr>
          <w:bCs/>
          <w:lang w:val="es"/>
        </w:rPr>
        <w:t>Introducción. Antecedentes, alcance y método de esta evaluación</w:t>
      </w:r>
    </w:p>
    <w:p w14:paraId="1F46A87F" w14:textId="77777777" w:rsidR="00025564" w:rsidRPr="003C0A90" w:rsidRDefault="00025564" w:rsidP="00025564">
      <w:pPr>
        <w:pStyle w:val="BodyText"/>
        <w:keepNext/>
        <w:rPr>
          <w:lang w:val="fr-FR"/>
        </w:rPr>
      </w:pPr>
      <w:r>
        <w:rPr>
          <w:lang w:val="es"/>
        </w:rPr>
        <w:t>En su 57</w:t>
      </w:r>
      <w:r>
        <w:rPr>
          <w:vertAlign w:val="superscript"/>
          <w:lang w:val="es"/>
        </w:rPr>
        <w:t>ª</w:t>
      </w:r>
      <w:r>
        <w:rPr>
          <w:lang w:val="es"/>
        </w:rPr>
        <w:t xml:space="preserve"> reunión, en junio de 2024, el Consejo Ejecutivo pidió "al Secretario Ejecutivo de la COI que, en consulta con la Mesa de la Comisión, ponga en marcha una evaluación externa de los procesos de gobernanza y gestión de la COI, con miras a racionalizar las operaciones y optimizar el uso de los recursos a fin de que sean verdaderamente idóneos para responder a la rápida evolución de la agenda oceánica y a las crecientes demandas de los Estados Miembros y los procesos multilaterales".  </w:t>
      </w:r>
    </w:p>
    <w:p w14:paraId="74BAD84A" w14:textId="77777777" w:rsidR="00025564" w:rsidRPr="003C0A90" w:rsidRDefault="00025564" w:rsidP="00025564">
      <w:pPr>
        <w:pStyle w:val="BodyText"/>
        <w:rPr>
          <w:lang w:val="fr-FR"/>
        </w:rPr>
      </w:pPr>
      <w:r>
        <w:rPr>
          <w:lang w:val="es"/>
        </w:rPr>
        <w:t xml:space="preserve">Esta decisión formaba parte de la Resolución EC-57/2 sobre "Cuestiones de Gobernanza, Programación y Presupuestación de la Comisión". Debe considerarse en el contexto del considerable aumento de los presupuestos de la COI y de la determinación de los Estados Miembros de garantizar una ejecución eficiente, eficaz y responsable del mandato y las responsabilidades de la COI. </w:t>
      </w:r>
    </w:p>
    <w:p w14:paraId="3F088C03" w14:textId="77777777" w:rsidR="00025564" w:rsidRPr="003C0A90" w:rsidRDefault="00025564" w:rsidP="00025564">
      <w:pPr>
        <w:pStyle w:val="BodyText"/>
        <w:rPr>
          <w:lang w:val="fr-FR"/>
        </w:rPr>
      </w:pPr>
      <w:r>
        <w:rPr>
          <w:lang w:val="es"/>
        </w:rPr>
        <w:t xml:space="preserve">El alcance de esta evaluación, según los términos de referencia, abarca la estructura y los procesos de gobernanza, los procesos de gestión y operativos, el compromiso y la colaboración de las partes interesadas, y la optimización y sostenibilidad de los recursos. </w:t>
      </w:r>
    </w:p>
    <w:p w14:paraId="45F0361E" w14:textId="77777777" w:rsidR="00025564" w:rsidRPr="003C0A90" w:rsidRDefault="00025564" w:rsidP="00025564">
      <w:pPr>
        <w:pStyle w:val="BodyText"/>
        <w:rPr>
          <w:lang w:val="fr-FR"/>
        </w:rPr>
      </w:pPr>
      <w:r>
        <w:rPr>
          <w:lang w:val="es"/>
        </w:rPr>
        <w:t xml:space="preserve">Farman &amp; partners, mi consultora, fue contratada para esta evaluación, que yo, Christophe Jeanteur, he llevado a cabo. </w:t>
      </w:r>
    </w:p>
    <w:p w14:paraId="2B58ED5F" w14:textId="77777777" w:rsidR="00025564" w:rsidRPr="003C0A90" w:rsidRDefault="00025564" w:rsidP="00025564">
      <w:pPr>
        <w:pStyle w:val="BodyText"/>
        <w:rPr>
          <w:lang w:val="fr-FR"/>
        </w:rPr>
      </w:pPr>
      <w:r>
        <w:rPr>
          <w:lang w:val="es"/>
        </w:rPr>
        <w:t xml:space="preserve">En primer lugar, he analizado la documentación pertinente (presupuestos del C/5, auditorías anteriores, decisiones de la Asamblea y del Consejo Ejecutivo, etc., véase la lista en el Apéndice 1) y, a continuación, he entrevistado a un grupo de 25 directivos actuales y pasados de la COI, personal de órganos subsidiarios y de la Secretaría, coordinadores de los Estados Miembros y personal de organismos contribuyentes (véase la lista en el Apéndice 2). También asistí en calidad de observador a una reunión del Grupo Asesor Financiero entre reuniones (IFAG), de composición abierta. </w:t>
      </w:r>
    </w:p>
    <w:p w14:paraId="0D973280" w14:textId="040FA00E" w:rsidR="00025564" w:rsidRPr="006979D1" w:rsidRDefault="00025564" w:rsidP="006B7B17">
      <w:pPr>
        <w:pStyle w:val="BodyText"/>
        <w:tabs>
          <w:tab w:val="left" w:pos="5309"/>
        </w:tabs>
      </w:pPr>
      <w:r>
        <w:rPr>
          <w:lang w:val="es"/>
        </w:rPr>
        <w:t xml:space="preserve">Las entrevistas abarcaron 6 procesos: </w:t>
      </w:r>
      <w:r>
        <w:rPr>
          <w:lang w:val="es"/>
        </w:rPr>
        <w:tab/>
      </w:r>
    </w:p>
    <w:p w14:paraId="7C791BEF" w14:textId="77777777" w:rsidR="00025564" w:rsidRPr="003C0A90" w:rsidRDefault="00025564" w:rsidP="00025564">
      <w:pPr>
        <w:pStyle w:val="BodyText"/>
        <w:numPr>
          <w:ilvl w:val="0"/>
          <w:numId w:val="30"/>
        </w:numPr>
        <w:ind w:left="426" w:hanging="284"/>
        <w:rPr>
          <w:lang w:val="fr-FR"/>
        </w:rPr>
      </w:pPr>
      <w:r>
        <w:rPr>
          <w:lang w:val="es"/>
        </w:rPr>
        <w:t xml:space="preserve">Planificación y revisión estratégicas, en relación con la planificación y el control de programas y presupuestos; </w:t>
      </w:r>
    </w:p>
    <w:p w14:paraId="4D318BF2" w14:textId="77777777" w:rsidR="00025564" w:rsidRPr="003C0A90" w:rsidRDefault="00025564" w:rsidP="00025564">
      <w:pPr>
        <w:pStyle w:val="BodyText"/>
        <w:numPr>
          <w:ilvl w:val="0"/>
          <w:numId w:val="30"/>
        </w:numPr>
        <w:ind w:left="426" w:hanging="284"/>
        <w:rPr>
          <w:lang w:val="fr-FR"/>
        </w:rPr>
      </w:pPr>
      <w:r>
        <w:rPr>
          <w:lang w:val="es"/>
        </w:rPr>
        <w:t xml:space="preserve">Planificación y gestión de recursos humanos, especialmente contratación;  </w:t>
      </w:r>
    </w:p>
    <w:p w14:paraId="00D2A0F4" w14:textId="77777777" w:rsidR="00025564" w:rsidRPr="003C0A90" w:rsidRDefault="00025564" w:rsidP="00025564">
      <w:pPr>
        <w:pStyle w:val="BodyText"/>
        <w:numPr>
          <w:ilvl w:val="0"/>
          <w:numId w:val="30"/>
        </w:numPr>
        <w:ind w:left="426" w:hanging="284"/>
        <w:rPr>
          <w:lang w:val="fr-FR"/>
        </w:rPr>
      </w:pPr>
      <w:r>
        <w:rPr>
          <w:lang w:val="es"/>
        </w:rPr>
        <w:t xml:space="preserve">Interacciones de la COI con los Departamentos de la UNESCO y requisitos impuestos por éstos </w:t>
      </w:r>
    </w:p>
    <w:p w14:paraId="2B75628B" w14:textId="77777777" w:rsidR="00025564" w:rsidRPr="003C0A90" w:rsidRDefault="00025564" w:rsidP="00025564">
      <w:pPr>
        <w:pStyle w:val="BodyText"/>
        <w:numPr>
          <w:ilvl w:val="0"/>
          <w:numId w:val="30"/>
        </w:numPr>
        <w:ind w:left="426" w:hanging="284"/>
        <w:rPr>
          <w:lang w:val="fr-FR"/>
        </w:rPr>
      </w:pPr>
      <w:r>
        <w:rPr>
          <w:lang w:val="es"/>
        </w:rPr>
        <w:t>Participación de la COI en los procesos multilaterales pertinentes</w:t>
      </w:r>
    </w:p>
    <w:p w14:paraId="51524749" w14:textId="77777777" w:rsidR="00025564" w:rsidRPr="003C0A90" w:rsidRDefault="00025564" w:rsidP="00025564">
      <w:pPr>
        <w:pStyle w:val="BodyText"/>
        <w:numPr>
          <w:ilvl w:val="0"/>
          <w:numId w:val="30"/>
        </w:numPr>
        <w:ind w:left="426" w:hanging="284"/>
        <w:rPr>
          <w:lang w:val="fr-FR"/>
        </w:rPr>
      </w:pPr>
      <w:r>
        <w:rPr>
          <w:lang w:val="es"/>
        </w:rPr>
        <w:lastRenderedPageBreak/>
        <w:t>Comunicación y difusión de la investigación y los conocimientos oceánicos producidos por la COI y los Estados Miembros (creación de marca, reconocimiento de la propiedad intelectual)</w:t>
      </w:r>
    </w:p>
    <w:p w14:paraId="5C85AA3A" w14:textId="77777777" w:rsidR="00025564" w:rsidRPr="003C0A90" w:rsidRDefault="00025564" w:rsidP="00025564">
      <w:pPr>
        <w:pStyle w:val="BodyText"/>
        <w:numPr>
          <w:ilvl w:val="0"/>
          <w:numId w:val="30"/>
        </w:numPr>
        <w:ind w:left="426" w:hanging="284"/>
        <w:rPr>
          <w:lang w:val="fr-FR"/>
        </w:rPr>
      </w:pPr>
      <w:r>
        <w:rPr>
          <w:lang w:val="es"/>
        </w:rPr>
        <w:t>Consejo Ejecutivo y Asamblea de la COI (participación de los Estados Miembros)</w:t>
      </w:r>
    </w:p>
    <w:p w14:paraId="0EE0480B" w14:textId="77777777" w:rsidR="00025564" w:rsidRPr="003C0A90" w:rsidRDefault="00025564" w:rsidP="00025564">
      <w:pPr>
        <w:pStyle w:val="BodyText"/>
        <w:rPr>
          <w:lang w:val="fr-FR"/>
        </w:rPr>
      </w:pPr>
      <w:r>
        <w:rPr>
          <w:lang w:val="es"/>
        </w:rPr>
        <w:t xml:space="preserve">La cuestión de la "autonomía funcional" estatutaria de la COI en el seno de la UNESCO fue planteada por numerosos Estados Miembros y abordada transversalmente en relación con los seis procesos mencionados.   </w:t>
      </w:r>
    </w:p>
    <w:p w14:paraId="4D3880B9" w14:textId="77777777" w:rsidR="00025564" w:rsidRPr="006979D1" w:rsidRDefault="00025564" w:rsidP="00025564">
      <w:pPr>
        <w:pStyle w:val="Titrealign"/>
        <w:keepNext/>
        <w:numPr>
          <w:ilvl w:val="0"/>
          <w:numId w:val="31"/>
        </w:numPr>
        <w:ind w:left="284" w:hanging="294"/>
      </w:pPr>
      <w:r>
        <w:rPr>
          <w:bCs/>
          <w:lang w:val="es"/>
        </w:rPr>
        <w:t>Conclusión general</w:t>
      </w:r>
    </w:p>
    <w:p w14:paraId="0BAF11ED" w14:textId="77777777" w:rsidR="00025564" w:rsidRPr="003C0A90" w:rsidRDefault="00025564" w:rsidP="00025564">
      <w:pPr>
        <w:pStyle w:val="BodyText"/>
        <w:keepNext/>
        <w:rPr>
          <w:lang w:val="fr-FR"/>
        </w:rPr>
      </w:pPr>
      <w:r>
        <w:rPr>
          <w:lang w:val="es"/>
        </w:rPr>
        <w:t xml:space="preserve">Existe un consenso general en que la COI aborda cuestiones de vital importancia para el planeta de una manera que no puede ser sustituida por ninguna otra organización -su función es claramente distinta, en particular, de las de la Organización Meteorológica Mundial (OMM) y la Organización Hidrográfica Internacional (OHI)-, y en que la COI siempre ha vivido con recursos muy limitados, muchos dicen que insuficientes. </w:t>
      </w:r>
    </w:p>
    <w:p w14:paraId="564F66F8" w14:textId="77777777" w:rsidR="00025564" w:rsidRPr="003C0A90" w:rsidRDefault="00025564" w:rsidP="00025564">
      <w:pPr>
        <w:pStyle w:val="BodyText"/>
        <w:keepNext/>
        <w:rPr>
          <w:lang w:val="fr-FR"/>
        </w:rPr>
      </w:pPr>
      <w:r>
        <w:rPr>
          <w:lang w:val="es"/>
        </w:rPr>
        <w:t xml:space="preserve">Así pues, la eficacia de la COI no es una cuestión de flaqueza de su secretaría y sus programas, ni de asignar sus limitados recursos únicamente a actividades que merezcan la pena. Se trata, en primer lugar, de que los miembros de la COI ejerzan de manera efectiva su propiedad común y, en segundo lugar, de que sean libres de cumplir su misión específica de conformidad con sus Estatutos.       </w:t>
      </w:r>
    </w:p>
    <w:p w14:paraId="3F2E28F0" w14:textId="77777777" w:rsidR="00025564" w:rsidRPr="006979D1" w:rsidRDefault="00025564" w:rsidP="00025564">
      <w:pPr>
        <w:pStyle w:val="Titrealign"/>
        <w:keepNext/>
        <w:numPr>
          <w:ilvl w:val="0"/>
          <w:numId w:val="31"/>
        </w:numPr>
        <w:ind w:left="284" w:hanging="294"/>
      </w:pPr>
      <w:r>
        <w:rPr>
          <w:bCs/>
          <w:lang w:val="es"/>
        </w:rPr>
        <w:t>Información general sobre la COI</w:t>
      </w:r>
    </w:p>
    <w:p w14:paraId="68E547CA" w14:textId="77777777" w:rsidR="00025564" w:rsidRPr="003C0A90" w:rsidRDefault="00025564" w:rsidP="00025564">
      <w:pPr>
        <w:pStyle w:val="BodyText"/>
        <w:keepNext/>
        <w:rPr>
          <w:lang w:val="fr-FR"/>
        </w:rPr>
      </w:pPr>
      <w:r>
        <w:rPr>
          <w:lang w:val="es"/>
        </w:rPr>
        <w:t xml:space="preserve">La COI tiene una doble estructura de gobierno y gestión. Por un lado, la COI está establecida dentro de la UNESCO y sujeta al marco de la UNESCO: Conferencia General, Consejo Ejecutivo, Directora General, Secretaría y Presupuesto Ordinario. Por otra parte, se compone de la Asamblea de la COI, compuesta actualmente por 150 Estados Miembros (la condición de miembro de la COI es distinta de la de miembro de la UNESCO, aunque de hecho casi todos los Estados Miembros de la COI son también miembros de la UNESCO), el Consejo Ejecutivo, compuesto por 40 Estados Miembros, la Secretaría de la COI y los órganos subsidiarios (programas o subcomisiones regionales). </w:t>
      </w:r>
    </w:p>
    <w:p w14:paraId="3F0010F6" w14:textId="77777777" w:rsidR="00025564" w:rsidRPr="003C0A90" w:rsidRDefault="00025564" w:rsidP="00025564">
      <w:pPr>
        <w:pStyle w:val="BodyText"/>
        <w:rPr>
          <w:lang w:val="fr-FR"/>
        </w:rPr>
      </w:pPr>
      <w:r>
        <w:rPr>
          <w:lang w:val="es"/>
        </w:rPr>
        <w:t>La "autonomía funcional" de la COI en el marco de la UNESCO se ha subrayado repetidamente desde que se le concedió por primera vez en 1987, con la 2</w:t>
      </w:r>
      <w:r>
        <w:rPr>
          <w:vertAlign w:val="superscript"/>
          <w:lang w:val="es"/>
        </w:rPr>
        <w:t>ª</w:t>
      </w:r>
      <w:r>
        <w:rPr>
          <w:lang w:val="es"/>
        </w:rPr>
        <w:t xml:space="preserve"> revisión de sus estatutos. En 1995, la UNESCO fusionó sus otras actividades relacionadas con la oceanografía con la Secretaría de la COI. En 1999, con la 3</w:t>
      </w:r>
      <w:r>
        <w:rPr>
          <w:vertAlign w:val="superscript"/>
          <w:lang w:val="es"/>
        </w:rPr>
        <w:t>ª</w:t>
      </w:r>
      <w:r>
        <w:rPr>
          <w:lang w:val="es"/>
        </w:rPr>
        <w:t xml:space="preserve"> revisión de los estatutos de la COI, el puesto de Secretario de la COI pasó a ser Secretario </w:t>
      </w:r>
      <w:r>
        <w:rPr>
          <w:i/>
          <w:iCs/>
          <w:lang w:val="es"/>
        </w:rPr>
        <w:t>Ejecutivo</w:t>
      </w:r>
      <w:r>
        <w:rPr>
          <w:lang w:val="es"/>
        </w:rPr>
        <w:t xml:space="preserve"> (SE) de la COI, "a nivel de Subdirector General, nombrado por la Directora General de la UNESCO, previa consulta con el Consejo Ejecutivo de la Comisión". La misma revisión de los estatutos de la COI formalizó el hecho de que "se podrá aceptar contribuciones voluntarias y constituir con ellas fondos fiduciarios, de conformidad con el Reglamento Financiero de la Cuenta Especial de la COI". Desde el bienio 2018-2019, siguiendo la recomendación del Auditor Externo de la UNESCO,</w:t>
      </w:r>
      <w:r>
        <w:rPr>
          <w:rStyle w:val="FootnoteReference"/>
          <w:lang w:val="es"/>
        </w:rPr>
        <w:footnoteReference w:id="2"/>
      </w:r>
      <w:r>
        <w:rPr>
          <w:lang w:val="es"/>
        </w:rPr>
        <w:t xml:space="preserve"> la COI tiene su propia línea en el programa y presupuesto de la UNESCO ("C/5") y ya no forma parte del Gran Programa II Ciencias Exactas y Naturales. Esto ha aumentado la visibilidad de la COI pero, por otra parte, podría haber creado entre muchos la impresión de que la COI es un "sector de la UNESCO" al </w:t>
      </w:r>
      <w:r>
        <w:rPr>
          <w:lang w:val="es"/>
        </w:rPr>
        <w:lastRenderedPageBreak/>
        <w:t xml:space="preserve">mismo nivel que la educación, las ciencias y la cultura, que no tienen Estados Miembros ni órganos rectores diferenciados.   </w:t>
      </w:r>
    </w:p>
    <w:p w14:paraId="00977B86" w14:textId="77777777" w:rsidR="00025564" w:rsidRPr="003C0A90" w:rsidRDefault="00025564" w:rsidP="00025564">
      <w:pPr>
        <w:pStyle w:val="BodyText"/>
        <w:rPr>
          <w:lang w:val="fr-FR"/>
        </w:rPr>
      </w:pPr>
      <w:r>
        <w:rPr>
          <w:lang w:val="es"/>
        </w:rPr>
        <w:t>Para sus recursos, la COI depende en parte (44 % en 2024-2025) de la asignación de un porcentaje fijo del presupuesto ordinario de la UNESCO (3 % desde 2024-2025; 2 % antes), financiado a su vez por los Estados Miembros de la UNESCO colectivamente, y en parte de las contribuciones directas y voluntarias de los Estados Miembros de la COI a título individual (28 %), otras organizaciones de las Naciones Unidas (19 %) y donantes privados (9 %)</w:t>
      </w:r>
      <w:r>
        <w:rPr>
          <w:rStyle w:val="FootnoteReference"/>
          <w:lang w:val="es"/>
        </w:rPr>
        <w:footnoteReference w:id="3"/>
      </w:r>
      <w:r>
        <w:rPr>
          <w:lang w:val="es"/>
        </w:rPr>
        <w:t xml:space="preserve">, así como de las contribuciones en especie de los Estados Miembros y los proveedores de tecnología. Si se tienen en cuenta (sobre la base de los importes de 2022-2023), la contribución total de los Estados Miembros asciende al 79 %: 47 % del total general en contribuciones directas y 32 % colectivamente a través del presupuesto ordinario de la UNESCO. </w:t>
      </w:r>
    </w:p>
    <w:p w14:paraId="4E6A621A" w14:textId="77777777" w:rsidR="00025564" w:rsidRPr="003C0A90" w:rsidRDefault="00025564" w:rsidP="00025564">
      <w:pPr>
        <w:pStyle w:val="BodyText"/>
        <w:rPr>
          <w:lang w:val="fr-FR"/>
        </w:rPr>
      </w:pPr>
      <w:r>
        <w:rPr>
          <w:lang w:val="es"/>
        </w:rPr>
        <w:t>Cabe señalar que "no existe una Convención que sustente el funcionamiento de la COI, por lo que las decisiones no son vinculantes ni ejecutables"</w:t>
      </w:r>
      <w:r>
        <w:rPr>
          <w:rStyle w:val="FootnoteReference"/>
          <w:lang w:val="es"/>
        </w:rPr>
        <w:footnoteReference w:id="4"/>
      </w:r>
      <w:r>
        <w:rPr>
          <w:lang w:val="es"/>
        </w:rPr>
        <w:t xml:space="preserve"> y las contribuciones directas y voluntarias son menos fiables que el presupuesto ordinario de la UNESCO. También hay que tener en cuenta que EE.UU., que es el mayor contribuyente individual tanto al presupuesto ordinario de la UNESCO como al de la COI, dejó de financiar a la UNESCO o retuvo su financiación en 1984-2003 y de nuevo en 2011-2023, lo que llevó a la UNESCO a reducir proporcionalmente la partida de la COI en su presupuesto. En ambas ocasiones, sin embargo, Estados Unidos optó por seguir siendo miembro de la COI, y en 1984-2003 continuó con su contribución voluntaria, basándose en la autonomía funcional de la COI dentro de la UNESCO. </w:t>
      </w:r>
    </w:p>
    <w:p w14:paraId="62424F8B" w14:textId="77777777" w:rsidR="00025564" w:rsidRPr="003C0A90" w:rsidRDefault="00025564" w:rsidP="00025564">
      <w:pPr>
        <w:pStyle w:val="BodyText"/>
        <w:rPr>
          <w:lang w:val="fr-FR"/>
        </w:rPr>
      </w:pPr>
      <w:r>
        <w:rPr>
          <w:lang w:val="es"/>
        </w:rPr>
        <w:t>A pesar de la evolución mencionada, la comprensión práctica de la "autonomía funcional" de la COI siempre ha seguido siendo una cuestión que se planteaba repetidamente en informes internos y externos.</w:t>
      </w:r>
      <w:r>
        <w:rPr>
          <w:rStyle w:val="FootnoteReference"/>
          <w:lang w:val="es"/>
        </w:rPr>
        <w:footnoteReference w:id="5"/>
      </w:r>
      <w:r>
        <w:rPr>
          <w:lang w:val="es"/>
        </w:rPr>
        <w:t xml:space="preserve"> Por ejemplo, la COI está bastante limitada en los criterios y el proceso de contratación para los puestos profesionales internacionales: actualmente, la decisión final la toma la Directora General para todos los puestos, y el Director de Gestión de Recursos Humanos revisa la selección de la COI en términos de prioridad para la movilidad interna, el Estado miembro y la representatividad de género.</w:t>
      </w:r>
      <w:r>
        <w:rPr>
          <w:rStyle w:val="FootnoteReference"/>
          <w:lang w:val="es"/>
        </w:rPr>
        <w:footnoteReference w:id="6"/>
      </w:r>
      <w:r>
        <w:rPr>
          <w:lang w:val="es"/>
        </w:rPr>
        <w:t xml:space="preserve"> En cambio, en 1995 el Director General Adjunto de la UNESCO había otorgado una delegación de autoridad al Secretario de la COI, que abarcaba (entre otros puntos) el nombramiento de los grados P/1 a P/3, siendo los grados P/4 y P/5 nombrados por el Director General Adjunto previa recomendación de la COI (sin interferencia de la gestión de recursos humanos). Así, los órganos de la COI tienen menos peso en el nombramiento de P-1 a P-5 que en el de su Secretario Ejecutivo.</w:t>
      </w:r>
      <w:r>
        <w:rPr>
          <w:rStyle w:val="FootnoteReference"/>
          <w:lang w:val="es"/>
        </w:rPr>
        <w:footnoteReference w:id="7"/>
      </w:r>
      <w:r>
        <w:rPr>
          <w:lang w:val="es"/>
        </w:rPr>
        <w:t xml:space="preserve">  </w:t>
      </w:r>
      <w:r>
        <w:rPr>
          <w:lang w:val="es"/>
        </w:rPr>
        <w:tab/>
        <w:t xml:space="preserve">  </w:t>
      </w:r>
    </w:p>
    <w:p w14:paraId="24F27378" w14:textId="77777777" w:rsidR="00025564" w:rsidRPr="003C0A90" w:rsidRDefault="00025564" w:rsidP="00025564">
      <w:pPr>
        <w:pStyle w:val="BodyText"/>
        <w:rPr>
          <w:lang w:val="fr-FR"/>
        </w:rPr>
      </w:pPr>
      <w:r>
        <w:rPr>
          <w:lang w:val="es"/>
        </w:rPr>
        <w:lastRenderedPageBreak/>
        <w:t>El desequilibrio entre los miembros de la COI y el control de la UNESCO también se ha manifestado en los procesos de planificación. Cuando la participación de la COI en el presupuesto ordinario de la UNESCOS se incrementó del 2 % al 3 %, a petición de los Estados Miembros, y los Estados Unidos volvieron a la UNESCO y reanudaron los pagos, los Estados Miembros de la COI se vieron en la necesidad de comprobar que aquello conducía efectivamente a la mejora de la ejecución del programa. Lo que ocurrió fue que la ventana de oportunidad para presentar un presupuesto ordinario revisado al Consejo Ejecutivo y a la Conferencia General se abrió justo después de las reuniones ordinarias del Consejo Ejecutivo de la COI y de la Asamblea de junio de 2023, y durante solo 3 semanas, lo que era demasiado corto para implicar reuniones especiales del Consejo Ejecutivo y de la Asamblea de la COI. Estas circunstancias "no ofrecían las condiciones más óptimas para realizar consultas de calidad con los Estados Miembros de la COI"</w:t>
      </w:r>
      <w:r>
        <w:rPr>
          <w:vertAlign w:val="superscript"/>
          <w:lang w:val="es"/>
        </w:rPr>
        <w:footnoteReference w:id="8"/>
      </w:r>
      <w:r>
        <w:rPr>
          <w:lang w:val="es"/>
        </w:rPr>
        <w:t xml:space="preserve"> sobre cómo gestionar de la manera más eficaz y responsable lo que, por lo demás, era una bendición largamente esperada por la COI.</w:t>
      </w:r>
    </w:p>
    <w:p w14:paraId="0444929F" w14:textId="77777777" w:rsidR="00025564" w:rsidRPr="003C0A90" w:rsidRDefault="00025564" w:rsidP="00025564">
      <w:pPr>
        <w:pStyle w:val="BodyText"/>
        <w:rPr>
          <w:lang w:val="fr-FR"/>
        </w:rPr>
      </w:pPr>
      <w:r>
        <w:rPr>
          <w:lang w:val="es"/>
        </w:rPr>
        <w:t xml:space="preserve">Los Estados Miembros de la COI han tenido una experiencia similar de falta de oportunidades de consulta en los preparativos en curso del próximo programa y presupuesto para 2026-27. </w:t>
      </w:r>
    </w:p>
    <w:p w14:paraId="55B990F0" w14:textId="77777777" w:rsidR="00025564" w:rsidRPr="003C0A90" w:rsidRDefault="00025564" w:rsidP="00025564">
      <w:pPr>
        <w:pStyle w:val="BodyText"/>
        <w:rPr>
          <w:lang w:val="fr-FR"/>
        </w:rPr>
      </w:pPr>
      <w:r>
        <w:rPr>
          <w:lang w:val="es"/>
        </w:rPr>
        <w:t>Estos antecedentes ponen de relieve que el estatus y la relación de la COI con respecto a la UNESCO, su autonomía funcional y su doble gobernanza y procesos de gestión, constituyen el núcleo de la cuestión.</w:t>
      </w:r>
    </w:p>
    <w:p w14:paraId="4AFA2359" w14:textId="77777777" w:rsidR="00025564" w:rsidRPr="000036B2" w:rsidRDefault="00025564" w:rsidP="00025564">
      <w:pPr>
        <w:pStyle w:val="Titrealign"/>
        <w:keepNext/>
        <w:numPr>
          <w:ilvl w:val="0"/>
          <w:numId w:val="31"/>
        </w:numPr>
        <w:ind w:left="284" w:hanging="294"/>
      </w:pPr>
      <w:r>
        <w:rPr>
          <w:bCs/>
          <w:lang w:val="es"/>
        </w:rPr>
        <w:t>Resultados de las entrevistas</w:t>
      </w:r>
    </w:p>
    <w:p w14:paraId="792AF734" w14:textId="77777777" w:rsidR="00025564" w:rsidRPr="003C0A90" w:rsidRDefault="00025564" w:rsidP="00025564">
      <w:pPr>
        <w:pStyle w:val="BodyText"/>
        <w:keepNext/>
        <w:rPr>
          <w:lang w:val="fr-FR"/>
        </w:rPr>
      </w:pPr>
      <w:r>
        <w:rPr>
          <w:lang w:val="es"/>
        </w:rPr>
        <w:t xml:space="preserve">En relación con el proceso 1. Planificación y revisión estratégicas, en relación con la planificación y el control de programas y presupuestos </w:t>
      </w:r>
    </w:p>
    <w:p w14:paraId="005A78FC" w14:textId="77777777" w:rsidR="00025564" w:rsidRPr="003C0A90" w:rsidRDefault="00025564" w:rsidP="00025564">
      <w:pPr>
        <w:pStyle w:val="Point"/>
        <w:rPr>
          <w:lang w:val="fr-FR"/>
        </w:rPr>
      </w:pPr>
      <w:r>
        <w:rPr>
          <w:lang w:val="es"/>
        </w:rPr>
        <w:t xml:space="preserve">La mayoría de los entrevistados afirmaron que el presupuesto y la plantilla de la Secretaría de la COI no están a la altura de las exigencias de su misión y de los retos a los que se enfrenta el océano en el mundo actual. </w:t>
      </w:r>
    </w:p>
    <w:p w14:paraId="29E00F06" w14:textId="77777777" w:rsidR="00025564" w:rsidRPr="003C0A90" w:rsidRDefault="00025564" w:rsidP="00025564">
      <w:pPr>
        <w:pStyle w:val="Point"/>
        <w:rPr>
          <w:lang w:val="fr-FR"/>
        </w:rPr>
      </w:pPr>
      <w:r>
        <w:rPr>
          <w:lang w:val="es"/>
        </w:rPr>
        <w:t xml:space="preserve">Varios señalaron que la COI, que se esfuerza por satisfacer las demandas cada vez mayores de tantos países, se ve arrastrada a lanzar nuevos proyectos sin poder poner fin a los existentes.          </w:t>
      </w:r>
    </w:p>
    <w:p w14:paraId="13AD2ADB" w14:textId="77777777" w:rsidR="00025564" w:rsidRPr="003C0A90" w:rsidRDefault="00025564" w:rsidP="00025564">
      <w:pPr>
        <w:pStyle w:val="Point"/>
        <w:rPr>
          <w:lang w:val="fr-FR"/>
        </w:rPr>
      </w:pPr>
      <w:r>
        <w:rPr>
          <w:lang w:val="es"/>
        </w:rPr>
        <w:t xml:space="preserve">Dado que las contribuciones voluntarias se destinan casi en su totalidad a programas específicos, el proceso de presupuestación gira esencialmente en torno a la asignación de la parte normalmente fija de la COI del presupuesto ordinario de la UNESCO a sus diversas funciones, programas y lugares o subcomisiones, y está limitado, en lo que respecta a la parte de personal/puestos, por los criterios de dotación de personal de la UNESCO (descentralización, diversidad). </w:t>
      </w:r>
    </w:p>
    <w:p w14:paraId="7551D4F8" w14:textId="77777777" w:rsidR="00025564" w:rsidRPr="003C0A90" w:rsidRDefault="00025564" w:rsidP="00025564">
      <w:pPr>
        <w:pStyle w:val="Point"/>
        <w:rPr>
          <w:lang w:val="fr-FR"/>
        </w:rPr>
      </w:pPr>
      <w:r>
        <w:rPr>
          <w:lang w:val="es"/>
        </w:rPr>
        <w:t xml:space="preserve">Dado este marco de proceso presupuestario tan restringido, no es de extrañar que la mayoría de los entrevistados que habían experimentado el proceso presupuestario subrayaran la falta de control estratégico que se deja a los órganos de gobierno de la COI, sintiendo que solo se espera de ellos que "marquen y den la vuelta" y den el visto bueno. Tanto más cuanto que, por lo general, reciben los documentos mucho después del plazo normal (a menudo debido a la falta de personal de la Secretaría y a retrasos en el calendario de reuniones de los órganos subsidiarios), demasiado tarde para que los </w:t>
      </w:r>
      <w:r>
        <w:rPr>
          <w:lang w:val="es"/>
        </w:rPr>
        <w:lastRenderedPageBreak/>
        <w:t xml:space="preserve">distintos organismos y ministerios de un determinado Estado elaboren una posición común. </w:t>
      </w:r>
    </w:p>
    <w:p w14:paraId="5F641DE3" w14:textId="77777777" w:rsidR="00025564" w:rsidRPr="003C0A90" w:rsidRDefault="00025564" w:rsidP="00025564">
      <w:pPr>
        <w:pStyle w:val="Point"/>
        <w:rPr>
          <w:lang w:val="fr-FR"/>
        </w:rPr>
      </w:pPr>
      <w:r>
        <w:rPr>
          <w:lang w:val="es"/>
        </w:rPr>
        <w:t xml:space="preserve">Varios entrevistados señalaron la debilidad de la COI en materia de control de la gestión de programas (definición de objetivos, indicadores clave de rendimiento) y cálculo de costes demasiado optimista.  </w:t>
      </w:r>
    </w:p>
    <w:p w14:paraId="1EDB679B" w14:textId="77777777" w:rsidR="00025564" w:rsidRPr="003C0A90" w:rsidRDefault="00025564" w:rsidP="00025564">
      <w:pPr>
        <w:pStyle w:val="Point"/>
        <w:rPr>
          <w:lang w:val="fr-FR"/>
        </w:rPr>
      </w:pPr>
      <w:r>
        <w:rPr>
          <w:lang w:val="es"/>
        </w:rPr>
        <w:t xml:space="preserve">Varios Estados Miembros entrevistados no podían permitirse desplazar personal o becarios a París debido al coste de la vida, pero estarían encantados de hacerlo localmente.  </w:t>
      </w:r>
    </w:p>
    <w:p w14:paraId="62226C7D" w14:textId="77777777" w:rsidR="00025564" w:rsidRPr="003C0A90" w:rsidRDefault="00025564" w:rsidP="00025564">
      <w:pPr>
        <w:pStyle w:val="Point"/>
        <w:rPr>
          <w:lang w:val="fr-FR"/>
        </w:rPr>
      </w:pPr>
      <w:r>
        <w:rPr>
          <w:lang w:val="es"/>
        </w:rPr>
        <w:t xml:space="preserve">Otras cuestiones se plantearon individualmente: </w:t>
      </w:r>
    </w:p>
    <w:p w14:paraId="5DA8E6AD" w14:textId="77777777" w:rsidR="00025564" w:rsidRPr="003C0A90" w:rsidRDefault="00025564" w:rsidP="00025564">
      <w:pPr>
        <w:pStyle w:val="Tiret"/>
        <w:rPr>
          <w:lang w:val="fr-FR"/>
        </w:rPr>
      </w:pPr>
      <w:r>
        <w:rPr>
          <w:lang w:val="es"/>
        </w:rPr>
        <w:t xml:space="preserve">"Los gastos generales cobrados por la UNESCO (9 % normalmente) para cubrir los costes indirectos de los servicios centrales: tesorería, asesoría jurídica, gestión de subvenciones y negociaciones, supervisión interna, etc. son excesivos" </w:t>
      </w:r>
    </w:p>
    <w:p w14:paraId="33A670F0" w14:textId="77777777" w:rsidR="00025564" w:rsidRPr="003C0A90" w:rsidRDefault="00025564" w:rsidP="00025564">
      <w:pPr>
        <w:pStyle w:val="Tiret"/>
        <w:rPr>
          <w:lang w:val="fr-FR"/>
        </w:rPr>
      </w:pPr>
      <w:r>
        <w:rPr>
          <w:lang w:val="es"/>
        </w:rPr>
        <w:t xml:space="preserve">"Los costes de la Secretaría superan los del programa", </w:t>
      </w:r>
    </w:p>
    <w:p w14:paraId="134764DB" w14:textId="77777777" w:rsidR="00025564" w:rsidRPr="003C0A90" w:rsidRDefault="00025564" w:rsidP="00025564">
      <w:pPr>
        <w:pStyle w:val="Tiret"/>
        <w:rPr>
          <w:lang w:val="fr-FR"/>
        </w:rPr>
      </w:pPr>
      <w:r>
        <w:rPr>
          <w:lang w:val="es"/>
        </w:rPr>
        <w:t>"La COI depende demasiado de Flandes/Ostende para las funciones básicas del IODE".</w:t>
      </w:r>
    </w:p>
    <w:p w14:paraId="34F4EBD8" w14:textId="77777777" w:rsidR="00025564" w:rsidRPr="003C0A90" w:rsidRDefault="00025564" w:rsidP="00025564">
      <w:pPr>
        <w:pStyle w:val="Tiret"/>
        <w:rPr>
          <w:lang w:val="fr-FR"/>
        </w:rPr>
      </w:pPr>
      <w:r>
        <w:rPr>
          <w:lang w:val="es"/>
        </w:rPr>
        <w:t xml:space="preserve">Oportunidad de implicar a más empresas privadas con interés en las corrientes oceánicas, el oleaje, etc., y con datos sobre el tema, por ejemplo petroleras, pesquerías, transportistas, etc.  </w:t>
      </w:r>
    </w:p>
    <w:p w14:paraId="33087F7B" w14:textId="77777777" w:rsidR="00025564" w:rsidRPr="003C0A90" w:rsidRDefault="00025564" w:rsidP="00025564">
      <w:pPr>
        <w:pStyle w:val="Tiret"/>
        <w:rPr>
          <w:lang w:val="fr-FR"/>
        </w:rPr>
      </w:pPr>
      <w:r>
        <w:rPr>
          <w:lang w:val="es"/>
        </w:rPr>
        <w:t xml:space="preserve">"En los servicios de creación de capacidades (educación y formación), la OHI hace más con menos". </w:t>
      </w:r>
    </w:p>
    <w:p w14:paraId="680F6C7F" w14:textId="77777777" w:rsidR="00025564" w:rsidRPr="003C0A90" w:rsidRDefault="00025564" w:rsidP="00025564">
      <w:pPr>
        <w:pStyle w:val="BodyText"/>
        <w:rPr>
          <w:lang w:val="fr-FR"/>
        </w:rPr>
      </w:pPr>
      <w:r>
        <w:rPr>
          <w:lang w:val="es"/>
        </w:rPr>
        <w:t>En relación con el proceso 2. Planificación y gestión de recursos humanos, especialmente contratación</w:t>
      </w:r>
    </w:p>
    <w:p w14:paraId="32C223AC" w14:textId="77777777" w:rsidR="00025564" w:rsidRPr="003C0A90" w:rsidRDefault="00025564" w:rsidP="00025564">
      <w:pPr>
        <w:pStyle w:val="Point"/>
        <w:rPr>
          <w:lang w:val="fr-FR"/>
        </w:rPr>
      </w:pPr>
      <w:r>
        <w:rPr>
          <w:lang w:val="es"/>
        </w:rPr>
        <w:t xml:space="preserve">En 2023 se revocó la delegación de autoridad concedida por la DG de la UNESCO a todos los Subdirectores Generales para nombrar al personal del Cuadro Orgánico hasta la categoría P-4, y actualmente es la DG quien nombra a todo el personal del Cuadro Orgánico de la Secretaría de la UNESCO, incluido el de la COI. La mayoría de los entrevistados consideran que los criterios de contratación de la UNESCO limitan la eficacia de la organización (coste de la descentralización) y, a veces, las competencias individuales (coste de la diversidad). El proceso de contratación se considera excesivamente largo (más de 6 meses) y algo opaco para las personas alejadas del centro.    </w:t>
      </w:r>
    </w:p>
    <w:p w14:paraId="5CDF47A9" w14:textId="77777777" w:rsidR="00025564" w:rsidRPr="003C0A90" w:rsidRDefault="00025564" w:rsidP="00025564">
      <w:pPr>
        <w:pStyle w:val="Point"/>
        <w:rPr>
          <w:lang w:val="fr-FR"/>
        </w:rPr>
      </w:pPr>
      <w:r>
        <w:rPr>
          <w:lang w:val="es"/>
        </w:rPr>
        <w:t xml:space="preserve">En cuanto a las oficinas fuera de la Sede, algunos señalaron la falta de coordinación entre el personal local de la COI, la jerarquía del programa de la COI, la dirección de la oficina de la UNESCO y los agentes del país anfitrión. </w:t>
      </w:r>
    </w:p>
    <w:p w14:paraId="7CCD17DA" w14:textId="77777777" w:rsidR="00025564" w:rsidRPr="00112A2E" w:rsidRDefault="00025564" w:rsidP="00025564">
      <w:pPr>
        <w:pStyle w:val="Point"/>
      </w:pPr>
      <w:r>
        <w:rPr>
          <w:lang w:val="es"/>
        </w:rPr>
        <w:t xml:space="preserve">Otras cuestiones planteadas y sugerencias formuladas a título individual: </w:t>
      </w:r>
    </w:p>
    <w:p w14:paraId="6318F0E4" w14:textId="77777777" w:rsidR="00025564" w:rsidRPr="003C0A90" w:rsidRDefault="00025564" w:rsidP="00025564">
      <w:pPr>
        <w:pStyle w:val="Tiret"/>
        <w:rPr>
          <w:lang w:val="fr-FR"/>
        </w:rPr>
      </w:pPr>
      <w:r>
        <w:rPr>
          <w:lang w:val="es"/>
        </w:rPr>
        <w:t xml:space="preserve">África está infrarrepresentada entre el personal de la Secretaría (2 puestos actualmente) </w:t>
      </w:r>
    </w:p>
    <w:p w14:paraId="4EDE4DD8" w14:textId="77777777" w:rsidR="00025564" w:rsidRPr="003C0A90" w:rsidRDefault="00025564" w:rsidP="00025564">
      <w:pPr>
        <w:pStyle w:val="Tiret"/>
        <w:rPr>
          <w:lang w:val="fr-FR"/>
        </w:rPr>
      </w:pPr>
      <w:r>
        <w:rPr>
          <w:lang w:val="es"/>
        </w:rPr>
        <w:t>La COI/UNESCO debería subvencionar el coste de la vida en París de los becarios (en particular de los procedentes de pequeños Estados insulares).</w:t>
      </w:r>
    </w:p>
    <w:p w14:paraId="415D2A57" w14:textId="77777777" w:rsidR="00025564" w:rsidRPr="003C0A90" w:rsidRDefault="00025564" w:rsidP="00025564">
      <w:pPr>
        <w:pStyle w:val="Tiret"/>
        <w:rPr>
          <w:lang w:val="fr-FR"/>
        </w:rPr>
      </w:pPr>
      <w:r>
        <w:rPr>
          <w:lang w:val="es"/>
        </w:rPr>
        <w:t xml:space="preserve">La COI debería ser flexible a la hora de contratar personal en comisión de servicio localmente, en lugar de en París. </w:t>
      </w:r>
    </w:p>
    <w:p w14:paraId="2E2E2166" w14:textId="77777777" w:rsidR="00025564" w:rsidRPr="003C0A90" w:rsidRDefault="00025564" w:rsidP="00025564">
      <w:pPr>
        <w:pStyle w:val="BodyText"/>
        <w:rPr>
          <w:lang w:val="fr-FR"/>
        </w:rPr>
      </w:pPr>
      <w:r>
        <w:rPr>
          <w:lang w:val="es"/>
        </w:rPr>
        <w:t xml:space="preserve">En relación con el proceso 3. Interacciones de la COI con los Departamentos de la UNESCO y requisitos impuestos por éstos </w:t>
      </w:r>
    </w:p>
    <w:p w14:paraId="3AC41F12" w14:textId="77777777" w:rsidR="00025564" w:rsidRPr="003C0A90" w:rsidRDefault="00025564" w:rsidP="00025564">
      <w:pPr>
        <w:pStyle w:val="Point"/>
        <w:rPr>
          <w:lang w:val="fr-FR"/>
        </w:rPr>
      </w:pPr>
      <w:r>
        <w:rPr>
          <w:lang w:val="es"/>
        </w:rPr>
        <w:t xml:space="preserve">Se calcula que las solicitudes de la UNESCO no directamente relacionadas con la misión de la COI ocupan entre un 10 y un 25 % del tiempo de un jefe de sección de la Secretaría </w:t>
      </w:r>
      <w:r>
        <w:rPr>
          <w:lang w:val="es"/>
        </w:rPr>
        <w:lastRenderedPageBreak/>
        <w:t xml:space="preserve">de la COI: redacción de notas ad hoc, doble presentación de informes (ya que el formato de los informes de la UNESCO no suele corresponderse con el desglose pertinente de la COI), participación en reuniones de la UNESCO que tienen poco que ver con la misión de la COI (por ejemplo, el Sector de Ciencias de la UNESCO se ocupa de la hidrografía terrestre, que no tiene nada que ver con la ciencia y la política marinas, ya que las aguas terrestres están totalmente bajo jurisdicción nacional, a diferencia de los océanos).   </w:t>
      </w:r>
    </w:p>
    <w:p w14:paraId="10E8C74A" w14:textId="77777777" w:rsidR="00025564" w:rsidRPr="003C0A90" w:rsidRDefault="00025564" w:rsidP="00025564">
      <w:pPr>
        <w:pStyle w:val="Point"/>
        <w:rPr>
          <w:lang w:val="fr-FR"/>
        </w:rPr>
      </w:pPr>
      <w:r>
        <w:rPr>
          <w:lang w:val="es"/>
        </w:rPr>
        <w:t xml:space="preserve">Un entrevistado sugirió que la COI revise el formato del C/5 conjuntamente con la UNESCO y acuerde un formato común para la sección de la COI que cumpla tanto los requisitos de la COI como los de la UNESCO, a fin de poner fin a la doble presentación de informes;  </w:t>
      </w:r>
    </w:p>
    <w:p w14:paraId="4D321BE0" w14:textId="77777777" w:rsidR="00025564" w:rsidRPr="003C0A90" w:rsidRDefault="00025564" w:rsidP="00025564">
      <w:pPr>
        <w:pStyle w:val="BodyText"/>
        <w:rPr>
          <w:lang w:val="fr-FR"/>
        </w:rPr>
      </w:pPr>
      <w:r>
        <w:rPr>
          <w:lang w:val="es"/>
        </w:rPr>
        <w:t>En relación con el proceso 4. Participación de la COI en los procesos multilaterales pertinentes</w:t>
      </w:r>
    </w:p>
    <w:p w14:paraId="166450D8" w14:textId="77777777" w:rsidR="00025564" w:rsidRPr="003C0A90" w:rsidRDefault="00025564" w:rsidP="00025564">
      <w:pPr>
        <w:pStyle w:val="Point"/>
        <w:rPr>
          <w:lang w:val="fr-FR"/>
        </w:rPr>
      </w:pPr>
      <w:r>
        <w:rPr>
          <w:lang w:val="es"/>
        </w:rPr>
        <w:t xml:space="preserve">Entre las organizaciones y procesos multilaterales más relevantes para la COI (y más que la UNESCO) se encuentran: OMM (Organización Meteorológica Mundial), FAO (Organización de las Naciones Unidas para la Agricultura y la Alimentación), OHI (Organización Hidrográfica Internacional), DOALOS (División de Asuntos Oceánicos y del Derecho del Mar de la Secretaría General de las Naciones Unidas), CMNUCC (Convención Marco de las Naciones Unidas sobre el Cambio Climático), CDB (Convenio de las Naciones Unidas sobre la Diversidad Biológica) y BBNJ (Diversidad Biológica Marina de las Zonas Situadas Fuera de la Jurisdicción Nacional). Los entrevistados informaron de casos en los que la COI está acreditada independientemente de la UNESCO, pero en los que la UNESCO ha asumido la gestión de la delegación y las contribuciones de la COI. En los últimos años, la COI no ha recibido acreditación independiente para algunos procesos relevantes de las Naciones Unidas, incluida paradójicamente las Conferencia sobre el océano de las Naciones Unidas (UNOC). </w:t>
      </w:r>
      <w:r>
        <w:rPr>
          <w:lang w:val="es"/>
        </w:rPr>
        <w:tab/>
        <w:t xml:space="preserve">  </w:t>
      </w:r>
    </w:p>
    <w:p w14:paraId="217E3A99" w14:textId="77777777" w:rsidR="00025564" w:rsidRPr="003C0A90" w:rsidRDefault="00025564" w:rsidP="00025564">
      <w:pPr>
        <w:pStyle w:val="Point"/>
        <w:rPr>
          <w:lang w:val="fr-FR"/>
        </w:rPr>
      </w:pPr>
      <w:r>
        <w:rPr>
          <w:lang w:val="es"/>
        </w:rPr>
        <w:t xml:space="preserve">Casi todos los entrevistados consideraron poco prácticas y, en principio, inaceptables las restricciones o autorizaciones previas impuestas por la UNESCO, y concedidas solo en el último momento, para los viajes de las delegaciones de la COI y/o del Secretario Ejecutivo. </w:t>
      </w:r>
    </w:p>
    <w:p w14:paraId="029AC80B" w14:textId="77777777" w:rsidR="00025564" w:rsidRPr="003C0A90" w:rsidRDefault="00025564" w:rsidP="00025564">
      <w:pPr>
        <w:pStyle w:val="Point"/>
        <w:rPr>
          <w:lang w:val="fr-FR"/>
        </w:rPr>
      </w:pPr>
      <w:r>
        <w:rPr>
          <w:lang w:val="es"/>
        </w:rPr>
        <w:t>Un entrevistado sugirió que la COI debería interesarse por otras disciplinas además de la oceanografía: educación, patrimonio, sociedad.</w:t>
      </w:r>
    </w:p>
    <w:p w14:paraId="06F8F3EA" w14:textId="77777777" w:rsidR="00025564" w:rsidRPr="003C0A90" w:rsidRDefault="00025564" w:rsidP="00025564">
      <w:pPr>
        <w:pStyle w:val="BodyText"/>
        <w:rPr>
          <w:lang w:val="fr-FR"/>
        </w:rPr>
      </w:pPr>
      <w:r>
        <w:rPr>
          <w:lang w:val="es"/>
        </w:rPr>
        <w:t>En relación con el proceso 5. Comunicación y difusión de la investigación y los conocimientos oceánicos producidos por la COI y los Estados miembros (creación de marca, reconocimiento de la propiedad intelectual)</w:t>
      </w:r>
    </w:p>
    <w:p w14:paraId="17B2080B" w14:textId="77777777" w:rsidR="00025564" w:rsidRPr="003C0A90" w:rsidRDefault="00025564" w:rsidP="00025564">
      <w:pPr>
        <w:pStyle w:val="Point"/>
        <w:rPr>
          <w:lang w:val="fr-FR"/>
        </w:rPr>
      </w:pPr>
      <w:r>
        <w:rPr>
          <w:lang w:val="es"/>
        </w:rPr>
        <w:t xml:space="preserve">Todos los entrevistados han señalado que la UNESCO elimina ahora sistemáticamente el nombre de la COI de todas las comunicaciones: comunicados de prensa y entrevistas, Twitter/X, folletos y carteles. Lo consideran injustificado, ya que la UNESCO no tiene ninguna competencia real en materia de océanos fuera de la COI. Además, la "mano dura" de la UNESCO en la organización del acto de presentación de StOR 2024 fue muy mal percibida por Islandia como una señal de que la COI carece de hecho de autonomía funcional.   </w:t>
      </w:r>
    </w:p>
    <w:p w14:paraId="23EB42AA" w14:textId="77777777" w:rsidR="00025564" w:rsidRPr="003C0A90" w:rsidRDefault="00025564" w:rsidP="00025564">
      <w:pPr>
        <w:pStyle w:val="Point"/>
        <w:rPr>
          <w:lang w:val="fr-FR"/>
        </w:rPr>
      </w:pPr>
      <w:r>
        <w:rPr>
          <w:lang w:val="es"/>
        </w:rPr>
        <w:t>La mayoría de los entrevistados considera que esta situación es potencialmente perjudicial, por dos razones.</w:t>
      </w:r>
    </w:p>
    <w:p w14:paraId="13693297" w14:textId="77777777" w:rsidR="00025564" w:rsidRPr="003C0A90" w:rsidRDefault="00025564" w:rsidP="00025564">
      <w:pPr>
        <w:pStyle w:val="Tiret"/>
        <w:rPr>
          <w:lang w:val="fr-FR"/>
        </w:rPr>
      </w:pPr>
      <w:r>
        <w:rPr>
          <w:lang w:val="es"/>
        </w:rPr>
        <w:t xml:space="preserve">Disuade a los Estados Miembros (por ejemplo, India para el IOTWMS) y a otros socios (por ejemplo, la Fundación Nippon para el programa Seabed 2023, el ISC...) de aportar una contribución intelectual o financiera, ya que consideran que solo la COI (y no la UNESCO) es competente para hacer un buen uso de su contribución.   </w:t>
      </w:r>
    </w:p>
    <w:p w14:paraId="45C676E0" w14:textId="77777777" w:rsidR="00025564" w:rsidRPr="003C0A90" w:rsidRDefault="00025564" w:rsidP="00025564">
      <w:pPr>
        <w:pStyle w:val="Tiret"/>
        <w:rPr>
          <w:lang w:val="fr-FR"/>
        </w:rPr>
      </w:pPr>
      <w:r>
        <w:rPr>
          <w:lang w:val="es"/>
        </w:rPr>
        <w:lastRenderedPageBreak/>
        <w:t>Podría incitar a los Estados Miembros que no son miembros de la UNESCO a abandonar también la COI por considerar que la autonomía funcional no es real y que no se respetan los Estatutos de la COI.</w:t>
      </w:r>
    </w:p>
    <w:p w14:paraId="69CB516B" w14:textId="77777777" w:rsidR="00025564" w:rsidRPr="003C0A90" w:rsidRDefault="00025564" w:rsidP="00025564">
      <w:pPr>
        <w:pStyle w:val="Point"/>
        <w:rPr>
          <w:lang w:val="fr-FR"/>
        </w:rPr>
      </w:pPr>
      <w:r>
        <w:rPr>
          <w:lang w:val="es"/>
        </w:rPr>
        <w:t xml:space="preserve">Todos los entrevistados insistieron en que, para que la COI optimice su eficacia como órgano especializado en los océanos, debe promocionarse a sí misma como COI. "La UNESCO es más conocida por el gran público y los políticos, pero la COI es más respetada en la comunidad oceánica". </w:t>
      </w:r>
    </w:p>
    <w:p w14:paraId="37FF5688" w14:textId="77777777" w:rsidR="00025564" w:rsidRPr="003C0A90" w:rsidRDefault="00025564" w:rsidP="00025564">
      <w:pPr>
        <w:pStyle w:val="Point"/>
        <w:rPr>
          <w:b/>
          <w:lang w:val="fr-FR"/>
        </w:rPr>
      </w:pPr>
      <w:r>
        <w:rPr>
          <w:lang w:val="es"/>
        </w:rPr>
        <w:t xml:space="preserve">Varios entrevistados sugirieron que la COI debería desarrollar una estrategia para aumentar su visibilidad. </w:t>
      </w:r>
    </w:p>
    <w:p w14:paraId="59A75F05" w14:textId="77777777" w:rsidR="00025564" w:rsidRPr="003C0A90" w:rsidRDefault="00025564" w:rsidP="00025564">
      <w:pPr>
        <w:pStyle w:val="BodyText"/>
        <w:rPr>
          <w:lang w:val="fr-FR"/>
        </w:rPr>
      </w:pPr>
      <w:r>
        <w:rPr>
          <w:lang w:val="es"/>
        </w:rPr>
        <w:t>En relación con el proceso 6. Consejo Ejecutivo y Asamblea de la COI (participación de los Estados Miembros)</w:t>
      </w:r>
    </w:p>
    <w:p w14:paraId="04F524D4" w14:textId="77777777" w:rsidR="00025564" w:rsidRPr="00112A2E" w:rsidRDefault="00025564" w:rsidP="00025564">
      <w:pPr>
        <w:pStyle w:val="Point"/>
      </w:pPr>
      <w:r>
        <w:rPr>
          <w:lang w:val="es"/>
        </w:rPr>
        <w:t xml:space="preserve">En una de las respuestas se señaló que las decisiones de la Asamblea y del Consejo Ejecutivo no son realmente vinculantes para los Estados Miembros, ya que la COI, a diferencia de la OMM, no se basa en un convenio de las Naciones Unidas. Pero nadie sugirió buscar una convención de la ONU.  </w:t>
      </w:r>
    </w:p>
    <w:p w14:paraId="4B927C9B" w14:textId="77777777" w:rsidR="00025564" w:rsidRPr="003C0A90" w:rsidRDefault="00025564" w:rsidP="00025564">
      <w:pPr>
        <w:pStyle w:val="Point"/>
        <w:rPr>
          <w:lang w:val="fr-FR"/>
        </w:rPr>
      </w:pPr>
      <w:r>
        <w:rPr>
          <w:lang w:val="es"/>
        </w:rPr>
        <w:t>Uno de los entrevistados señaló la desigual representación de los Estados Miembros en el Consejo Ejecutivo en función de su grupo electoral: Grupo 1: 10 escaños/24 Estados; G2: 3/14; G3: 9/30; G4: 9/35; G5: 9/47:</w:t>
      </w:r>
    </w:p>
    <w:p w14:paraId="4DC32ADD" w14:textId="77777777" w:rsidR="00025564" w:rsidRPr="003C0A90" w:rsidRDefault="00025564" w:rsidP="00025564">
      <w:pPr>
        <w:pStyle w:val="Point"/>
        <w:rPr>
          <w:lang w:val="fr-FR"/>
        </w:rPr>
      </w:pPr>
      <w:r>
        <w:rPr>
          <w:lang w:val="es"/>
        </w:rPr>
        <w:t>Casi todos los representantes de los Estados Miembros entrevistados se quejaron de que siempre reciben los documentos mucho después del plazo normal de dos meses, demasiado tarde para que los distintos organismos y ministerios de su Estado lleguen a una posición común. Esta situación puede explicarse en parte por el retraso de las aportaciones de los órganos subsidiarios y los grupos de trabajo, pero también por la escasa capacidad del personal.</w:t>
      </w:r>
      <w:r>
        <w:rPr>
          <w:lang w:val="es"/>
        </w:rPr>
        <w:tab/>
      </w:r>
    </w:p>
    <w:p w14:paraId="535030FB" w14:textId="77777777" w:rsidR="00025564" w:rsidRPr="003C0A90" w:rsidRDefault="00025564" w:rsidP="00025564">
      <w:pPr>
        <w:pStyle w:val="Point"/>
        <w:rPr>
          <w:lang w:val="fr-FR"/>
        </w:rPr>
      </w:pPr>
      <w:r>
        <w:rPr>
          <w:lang w:val="es"/>
        </w:rPr>
        <w:t xml:space="preserve">La asistencia y la participación activa en la Asamblea y el Consejo Ejecutivo son demasiado bajas, aunque hayan aumentado en los últimos años. Posibles causas: los debates son "aburridos", se centran demasiado en la redacción y no lo suficiente en el fondo; los Estados Miembros con recursos limitados no pueden permitirse enviar expertos como delegados. </w:t>
      </w:r>
    </w:p>
    <w:p w14:paraId="4673FF13" w14:textId="77777777" w:rsidR="00025564" w:rsidRPr="003C0A90" w:rsidRDefault="00025564" w:rsidP="00025564">
      <w:pPr>
        <w:pStyle w:val="Point"/>
        <w:rPr>
          <w:lang w:val="fr-FR"/>
        </w:rPr>
      </w:pPr>
      <w:r>
        <w:rPr>
          <w:lang w:val="es"/>
        </w:rPr>
        <w:t>Dificultad permanente para implicar a los responsables políticos de los Estados Miembros más allá de los científicos.</w:t>
      </w:r>
    </w:p>
    <w:p w14:paraId="6B0D5956" w14:textId="77777777" w:rsidR="00025564" w:rsidRPr="00112A2E" w:rsidRDefault="00025564" w:rsidP="00025564">
      <w:pPr>
        <w:pStyle w:val="Point"/>
      </w:pPr>
      <w:r>
        <w:rPr>
          <w:lang w:val="es"/>
        </w:rPr>
        <w:t xml:space="preserve">Uno de los encuestados planteó la cuestión del papel y la posición de la Secretaría en relación con los Estados Miembros y los órganos rectores. "Se ha convertido en algo más que una secretaría, tiene su propia agenda y sus propios programas, a diferencia de la Secretaría de la OMM y la División de Asuntos Oceánicos y del Derecho del Mar. La Secretaría del COI debe ceñirse a su papel" </w:t>
      </w:r>
    </w:p>
    <w:p w14:paraId="7A29257C" w14:textId="77777777" w:rsidR="00025564" w:rsidRPr="00112A2E" w:rsidRDefault="00025564" w:rsidP="00025564">
      <w:pPr>
        <w:pStyle w:val="Point"/>
      </w:pPr>
      <w:r>
        <w:rPr>
          <w:lang w:val="es"/>
        </w:rPr>
        <w:t xml:space="preserve">Sugerencias prácticas </w:t>
      </w:r>
    </w:p>
    <w:p w14:paraId="178FFFF5" w14:textId="77777777" w:rsidR="00025564" w:rsidRPr="003C0A90" w:rsidRDefault="00025564" w:rsidP="00025564">
      <w:pPr>
        <w:pStyle w:val="Tiret"/>
        <w:rPr>
          <w:lang w:val="fr-FR"/>
        </w:rPr>
      </w:pPr>
      <w:r>
        <w:rPr>
          <w:lang w:val="es"/>
        </w:rPr>
        <w:t xml:space="preserve">Difundir información de referencia antes de las reuniones; hacer que los Programas pregunten a los Estados Miembros su posición antes de finalizar las propuestas de decisión. </w:t>
      </w:r>
    </w:p>
    <w:p w14:paraId="0A5B21DD" w14:textId="77777777" w:rsidR="00025564" w:rsidRPr="00112A2E" w:rsidRDefault="00025564" w:rsidP="00025564">
      <w:pPr>
        <w:pStyle w:val="Tiret"/>
      </w:pPr>
      <w:r>
        <w:rPr>
          <w:lang w:val="es"/>
        </w:rPr>
        <w:t>Enviar una versión preliminar de los documentos, sin esperar a la traducción. Si los documentos no están listos, eliminar el tema del orden del día.</w:t>
      </w:r>
    </w:p>
    <w:p w14:paraId="652ED62D" w14:textId="77777777" w:rsidR="00025564" w:rsidRPr="003C0A90" w:rsidRDefault="00025564" w:rsidP="00025564">
      <w:pPr>
        <w:pStyle w:val="Tiret"/>
        <w:rPr>
          <w:lang w:val="fr-FR"/>
        </w:rPr>
      </w:pPr>
      <w:r>
        <w:rPr>
          <w:lang w:val="es"/>
        </w:rPr>
        <w:t>Invitar a los Estados Miembros a presentar sus declaraciones por escrito en lugar de leerlas en la reunión.</w:t>
      </w:r>
    </w:p>
    <w:p w14:paraId="50DB73B5" w14:textId="77777777" w:rsidR="00025564" w:rsidRPr="003C0A90" w:rsidRDefault="00025564" w:rsidP="00025564">
      <w:pPr>
        <w:pStyle w:val="Tiret"/>
        <w:rPr>
          <w:lang w:val="fr-FR"/>
        </w:rPr>
      </w:pPr>
      <w:r>
        <w:rPr>
          <w:lang w:val="es"/>
        </w:rPr>
        <w:lastRenderedPageBreak/>
        <w:t>Permitir la participación a distancia (por vídeo)</w:t>
      </w:r>
    </w:p>
    <w:p w14:paraId="0DF2CE29" w14:textId="77777777" w:rsidR="00025564" w:rsidRPr="00112A2E" w:rsidRDefault="00025564" w:rsidP="00025564">
      <w:pPr>
        <w:pStyle w:val="Tiret"/>
      </w:pPr>
      <w:r>
        <w:rPr>
          <w:lang w:val="es"/>
        </w:rPr>
        <w:t xml:space="preserve">Implicar a las oficinas regionales </w:t>
      </w:r>
    </w:p>
    <w:p w14:paraId="36DBA17C" w14:textId="77777777" w:rsidR="00025564" w:rsidRPr="00112A2E" w:rsidRDefault="00025564" w:rsidP="00025564">
      <w:pPr>
        <w:pStyle w:val="Tiret"/>
      </w:pPr>
      <w:r>
        <w:rPr>
          <w:lang w:val="es"/>
        </w:rPr>
        <w:t xml:space="preserve">Integrar mejor a los recién llegados (nuevas delegaciones, nuevos miembros de delegaciones experimentadas). </w:t>
      </w:r>
    </w:p>
    <w:p w14:paraId="22CEDA6E" w14:textId="77777777" w:rsidR="00025564" w:rsidRPr="003C0A90" w:rsidRDefault="00025564" w:rsidP="00025564">
      <w:pPr>
        <w:pStyle w:val="Tiret"/>
        <w:rPr>
          <w:b/>
          <w:lang w:val="fr-FR"/>
        </w:rPr>
      </w:pPr>
      <w:r>
        <w:rPr>
          <w:lang w:val="es"/>
        </w:rPr>
        <w:t>Programar una introducción de una hora al principio de la semana de reuniones de la Asamblea para explicar el programa, que es intensivo, y la organización, que es compleja.</w:t>
      </w:r>
    </w:p>
    <w:p w14:paraId="749E7344" w14:textId="77777777" w:rsidR="00025564" w:rsidRPr="00112A2E" w:rsidRDefault="00025564" w:rsidP="00025564">
      <w:pPr>
        <w:pStyle w:val="BodyText"/>
        <w:keepNext/>
      </w:pPr>
      <w:r>
        <w:rPr>
          <w:lang w:val="es"/>
        </w:rPr>
        <w:t>Acerca de la autonomía funcional</w:t>
      </w:r>
    </w:p>
    <w:p w14:paraId="7DB8F894" w14:textId="77777777" w:rsidR="00025564" w:rsidRPr="003C0A90" w:rsidRDefault="00025564" w:rsidP="00025564">
      <w:pPr>
        <w:pStyle w:val="Point"/>
        <w:keepNext/>
        <w:rPr>
          <w:lang w:val="fr-FR"/>
        </w:rPr>
      </w:pPr>
      <w:r>
        <w:rPr>
          <w:lang w:val="es"/>
        </w:rPr>
        <w:t xml:space="preserve">Para algunos encuestados, la autonomía funcional prevista en los estatutos de la COI es fundamental porque está vinculada a la independencia de los miembros de la COI con respecto a los de la UNESCO, y hay que defenderla porque lo que está en juego es crucial.  </w:t>
      </w:r>
    </w:p>
    <w:p w14:paraId="3C252FCA" w14:textId="77777777" w:rsidR="00025564" w:rsidRPr="003C0A90" w:rsidRDefault="00025564" w:rsidP="00025564">
      <w:pPr>
        <w:pStyle w:val="Tiret"/>
        <w:keepNext/>
        <w:rPr>
          <w:lang w:val="fr-FR"/>
        </w:rPr>
      </w:pPr>
      <w:r>
        <w:rPr>
          <w:lang w:val="es"/>
        </w:rPr>
        <w:t xml:space="preserve">Algunos Estados son miembros de la COI y no de la UNESCO. Es el caso de Israel en la actualidad y, en determinados momentos del pasado, de Estados Unidos, Reino Unido, Singapur y otros. Esta situación podría repetirse. Obviamente, los Estados que se encuentran en esta situación no pueden financiar la COI a través del presupuesto ordinario de la UNESCO, pero pueden hacerlo 1) mediante contribuciones voluntarias directas, 2) en especie (el 56 % de los flotadores Argo - 2 286 de 4 091 - fueron aportados por Estados Unidos), 3) a través de socios como la OMM. </w:t>
      </w:r>
    </w:p>
    <w:p w14:paraId="79A7331E" w14:textId="77777777" w:rsidR="00025564" w:rsidRPr="003C0A90" w:rsidRDefault="00025564" w:rsidP="00025564">
      <w:pPr>
        <w:pStyle w:val="Point"/>
        <w:rPr>
          <w:lang w:val="fr-FR"/>
        </w:rPr>
      </w:pPr>
      <w:r>
        <w:rPr>
          <w:lang w:val="es"/>
        </w:rPr>
        <w:t>Para otros, la cuestión de la autonomía funcional, aunque planteada una y otra vez, parece más una reivindicación de estatus que de fondo, demasiado menor o demasiado vaga para ser defendida en el seno de la UNESCO.</w:t>
      </w:r>
    </w:p>
    <w:p w14:paraId="1E6104D4" w14:textId="77777777" w:rsidR="00025564" w:rsidRPr="003C0A90" w:rsidRDefault="00025564" w:rsidP="00025564">
      <w:pPr>
        <w:pStyle w:val="Tiret"/>
        <w:rPr>
          <w:lang w:val="fr-FR"/>
        </w:rPr>
      </w:pPr>
      <w:r>
        <w:rPr>
          <w:lang w:val="es"/>
        </w:rPr>
        <w:t xml:space="preserve">La tendencia de la UNESCO a la microgestión depende del responsable. </w:t>
      </w:r>
    </w:p>
    <w:p w14:paraId="0B030778" w14:textId="77777777" w:rsidR="00025564" w:rsidRDefault="00025564" w:rsidP="00025564">
      <w:pPr>
        <w:pStyle w:val="Tiret"/>
      </w:pPr>
      <w:r>
        <w:rPr>
          <w:lang w:val="es"/>
        </w:rPr>
        <w:t>Las luchas internar en el seno de la UNESCO solo benefician a sus enemigos.</w:t>
      </w:r>
    </w:p>
    <w:p w14:paraId="0E4240E4" w14:textId="77777777" w:rsidR="00025564" w:rsidRPr="003C0A90" w:rsidRDefault="00025564" w:rsidP="00025564">
      <w:pPr>
        <w:pStyle w:val="Point"/>
        <w:rPr>
          <w:lang w:val="fr-FR"/>
        </w:rPr>
      </w:pPr>
      <w:r>
        <w:rPr>
          <w:lang w:val="es"/>
        </w:rPr>
        <w:t>Todos están de acuerdo en defender firmemente los siguientes puntos concretos</w:t>
      </w:r>
    </w:p>
    <w:p w14:paraId="1EC02A72" w14:textId="77777777" w:rsidR="00025564" w:rsidRPr="003C0A90" w:rsidRDefault="00025564" w:rsidP="00025564">
      <w:pPr>
        <w:pStyle w:val="Tiret"/>
        <w:rPr>
          <w:lang w:val="fr-FR"/>
        </w:rPr>
      </w:pPr>
      <w:r>
        <w:rPr>
          <w:lang w:val="es"/>
        </w:rPr>
        <w:t xml:space="preserve">Respetar y proteger la marca COI </w:t>
      </w:r>
    </w:p>
    <w:p w14:paraId="4D29130E" w14:textId="77777777" w:rsidR="00025564" w:rsidRPr="003C0A90" w:rsidRDefault="00025564" w:rsidP="00025564">
      <w:pPr>
        <w:pStyle w:val="Tiret"/>
        <w:rPr>
          <w:lang w:val="fr-FR"/>
        </w:rPr>
      </w:pPr>
      <w:r>
        <w:rPr>
          <w:lang w:val="es"/>
        </w:rPr>
        <w:t>El Secretario Ejecutivo de la COI tiene el mismo rango que un Subdirector General de la UNESCO, pero no lo es y no debe ser gestionado como tal. En particular, debe tener libertad para viajar y participar en reuniones externas sin autorización previa, y para autorizar al personal de la Secretaría a viajar y participar en reuniones por iniciativa propia.</w:t>
      </w:r>
    </w:p>
    <w:p w14:paraId="3BCCF067" w14:textId="77777777" w:rsidR="00025564" w:rsidRPr="003C0A90" w:rsidRDefault="00025564" w:rsidP="00025564">
      <w:pPr>
        <w:pStyle w:val="Tiret"/>
        <w:rPr>
          <w:lang w:val="fr-FR"/>
        </w:rPr>
      </w:pPr>
      <w:r>
        <w:rPr>
          <w:lang w:val="es"/>
        </w:rPr>
        <w:t xml:space="preserve">Más autonomía y flexibilidad en la ubicación de los puestos y en la selección de candidatos. </w:t>
      </w:r>
    </w:p>
    <w:p w14:paraId="402F83F9" w14:textId="77777777" w:rsidR="00025564" w:rsidRPr="006979D1" w:rsidRDefault="00025564" w:rsidP="00025564">
      <w:pPr>
        <w:pStyle w:val="Titrealign"/>
        <w:keepNext/>
        <w:numPr>
          <w:ilvl w:val="0"/>
          <w:numId w:val="31"/>
        </w:numPr>
        <w:ind w:left="284" w:hanging="294"/>
      </w:pPr>
      <w:r>
        <w:rPr>
          <w:bCs/>
          <w:lang w:val="es"/>
        </w:rPr>
        <w:t xml:space="preserve">Recomendaciones </w:t>
      </w:r>
    </w:p>
    <w:p w14:paraId="79E6B827" w14:textId="77777777" w:rsidR="00025564" w:rsidRPr="003C0A90" w:rsidRDefault="00025564" w:rsidP="00025564">
      <w:pPr>
        <w:pStyle w:val="BodyText"/>
        <w:rPr>
          <w:lang w:val="fr-FR"/>
        </w:rPr>
      </w:pPr>
      <w:r>
        <w:rPr>
          <w:lang w:val="es"/>
        </w:rPr>
        <w:t xml:space="preserve">Al solicitar una evaluación externa de los procesos de gobernanza y gestión de la COI, el Consejo Ejecutivo pretendía </w:t>
      </w:r>
      <w:r>
        <w:rPr>
          <w:i/>
          <w:iCs/>
          <w:lang w:val="es"/>
        </w:rPr>
        <w:t>"racionalizar las operaciones y optimizar el uso de los recursos a fin de estar realmente en condiciones de responder a la rápida evolución de la agenda oceánica y a las crecientes demandas de los Estados Miembros y los procesos multilaterales".</w:t>
      </w:r>
      <w:r>
        <w:rPr>
          <w:lang w:val="es"/>
        </w:rPr>
        <w:t xml:space="preserve"> </w:t>
      </w:r>
    </w:p>
    <w:p w14:paraId="2333A210" w14:textId="77777777" w:rsidR="00025564" w:rsidRPr="003C0A90" w:rsidRDefault="00025564" w:rsidP="00025564">
      <w:pPr>
        <w:pStyle w:val="BodyText"/>
        <w:rPr>
          <w:lang w:val="fr-FR"/>
        </w:rPr>
      </w:pPr>
      <w:r>
        <w:rPr>
          <w:lang w:val="es"/>
        </w:rPr>
        <w:t xml:space="preserve">La principal conclusión de esta evaluación es que existen importantes oportunidades para dicha racionalización y optimización. En el centro del desafío se encuentran las prácticas duales de gobernanza y gestión en la relación entre la COI y la UNESCO. Más arriba se describen varios ejemplos de estas prácticas. El resultado es la falta de claridad en la rendición de cuentas, la duplicación del trabajo y la ineficacia en la asignación y el uso de los recursos. </w:t>
      </w:r>
    </w:p>
    <w:p w14:paraId="0EDCF6E3" w14:textId="77777777" w:rsidR="00025564" w:rsidRPr="003C0A90" w:rsidRDefault="00025564" w:rsidP="00025564">
      <w:pPr>
        <w:pStyle w:val="BodyText"/>
        <w:rPr>
          <w:lang w:val="fr-FR"/>
        </w:rPr>
      </w:pPr>
      <w:r>
        <w:rPr>
          <w:lang w:val="es"/>
        </w:rPr>
        <w:lastRenderedPageBreak/>
        <w:t xml:space="preserve">La recomendación general de esta evaluación es que, para lograr la racionalización y optimización deseadas, los Estados Miembros deben aclarar y aplicar los principios y prácticas de gobierno y gestión de la COI definidos en los Estatutos de la COI. Según los Estatutos de la COI, "la Asamblea es el órgano principal de la Comisión y desempeñará todas sus funciones". Por lo tanto, la próxima Asamblea de la COI es una oportunidad para que los Estados Miembros determinen cómo, sobre la base de la situación descrita en este informe, desean optimizar la gobernanza y la gestión para la mejora de la planificación y ejecución del programa, la asignación de recursos humanos y financieros, las comunicaciones y la identidad visual, así como el papel y la identidad de la COI en el sistema multilateral. </w:t>
      </w:r>
    </w:p>
    <w:p w14:paraId="4DF82959" w14:textId="77777777" w:rsidR="00025564" w:rsidRPr="003C0A90" w:rsidRDefault="00025564" w:rsidP="00025564">
      <w:pPr>
        <w:pStyle w:val="BodyText"/>
        <w:rPr>
          <w:lang w:val="fr-FR"/>
        </w:rPr>
      </w:pPr>
      <w:r>
        <w:rPr>
          <w:lang w:val="es"/>
        </w:rPr>
        <w:t>Al garantizar de este modo una mayor claridad en la rendición de cuentas y unos procesos de gobernanza/gestión más eficientes, también existe la oportunidad de hacer que las futuras reuniones de la Asamblea y el Consejo Ejecutivo de la COI sean más atractivas y estén más orientadas a los resultados para los Estados Miembros.</w:t>
      </w:r>
    </w:p>
    <w:p w14:paraId="44570EBA" w14:textId="77777777" w:rsidR="00025564" w:rsidRPr="003C0A90" w:rsidRDefault="00025564" w:rsidP="00025564">
      <w:pPr>
        <w:pStyle w:val="BodyText"/>
        <w:rPr>
          <w:lang w:val="fr-FR"/>
        </w:rPr>
      </w:pPr>
    </w:p>
    <w:p w14:paraId="5ADCD5C7" w14:textId="77777777" w:rsidR="00025564" w:rsidRPr="006979D1" w:rsidRDefault="00025564" w:rsidP="00025564">
      <w:pPr>
        <w:pStyle w:val="BodyText"/>
        <w:jc w:val="center"/>
      </w:pPr>
      <w:r>
        <w:rPr>
          <w:lang w:val="es"/>
        </w:rPr>
        <w:t>*   * *</w:t>
      </w:r>
    </w:p>
    <w:p w14:paraId="1C0C1406" w14:textId="77777777" w:rsidR="00025564" w:rsidRPr="00DF5129" w:rsidRDefault="00025564" w:rsidP="00025564">
      <w:pPr>
        <w:pStyle w:val="Titrealign"/>
      </w:pPr>
      <w:r>
        <w:rPr>
          <w:bCs/>
          <w:lang w:val="es"/>
        </w:rPr>
        <w:t xml:space="preserve">Apéndice 1: documentos examinados    </w:t>
      </w:r>
    </w:p>
    <w:p w14:paraId="1668F1E4" w14:textId="77777777" w:rsidR="00025564" w:rsidRPr="003C0A90" w:rsidRDefault="00025564" w:rsidP="00025564">
      <w:pPr>
        <w:pStyle w:val="Point"/>
        <w:rPr>
          <w:lang w:val="fr-FR"/>
        </w:rPr>
      </w:pPr>
      <w:r>
        <w:rPr>
          <w:lang w:val="es"/>
        </w:rPr>
        <w:t>1999-05-04 156</w:t>
      </w:r>
      <w:r>
        <w:rPr>
          <w:vertAlign w:val="superscript"/>
          <w:lang w:val="es"/>
        </w:rPr>
        <w:t>ª</w:t>
      </w:r>
      <w:r>
        <w:rPr>
          <w:lang w:val="es"/>
        </w:rPr>
        <w:t xml:space="preserve"> reunión del Consejo Ejecutivo de la UNESCO  </w:t>
      </w:r>
    </w:p>
    <w:p w14:paraId="531464C9" w14:textId="77777777" w:rsidR="00025564" w:rsidRPr="003C0A90" w:rsidRDefault="00025564" w:rsidP="00025564">
      <w:pPr>
        <w:pStyle w:val="Tiret"/>
        <w:rPr>
          <w:lang w:val="fr-FR"/>
        </w:rPr>
      </w:pPr>
      <w:r>
        <w:rPr>
          <w:lang w:val="es"/>
        </w:rPr>
        <w:t xml:space="preserve">1999-05-04 156EX/9 Informe sobre las disposiciones administrativas y financieras acordes con el estatuto de la COI </w:t>
      </w:r>
    </w:p>
    <w:p w14:paraId="506B4C42" w14:textId="77777777" w:rsidR="00025564" w:rsidRDefault="00025564" w:rsidP="00025564">
      <w:pPr>
        <w:pStyle w:val="Tiret"/>
      </w:pPr>
      <w:r>
        <w:rPr>
          <w:lang w:val="es"/>
        </w:rPr>
        <w:t>1999-05-04 156EX/Decisiones</w:t>
      </w:r>
    </w:p>
    <w:p w14:paraId="3F5966A1" w14:textId="77777777" w:rsidR="00025564" w:rsidRDefault="00025564" w:rsidP="00025564">
      <w:pPr>
        <w:pStyle w:val="Point"/>
      </w:pPr>
      <w:r>
        <w:rPr>
          <w:lang w:val="es"/>
        </w:rPr>
        <w:t xml:space="preserve">Estatutos de la COI, </w:t>
      </w:r>
    </w:p>
    <w:p w14:paraId="63C3027B" w14:textId="77777777" w:rsidR="00025564" w:rsidRDefault="00025564" w:rsidP="00025564">
      <w:pPr>
        <w:pStyle w:val="Tiret"/>
      </w:pPr>
      <w:r>
        <w:rPr>
          <w:lang w:val="es"/>
        </w:rPr>
        <w:t>Versión inicial (1960)</w:t>
      </w:r>
    </w:p>
    <w:p w14:paraId="4B431A46" w14:textId="77777777" w:rsidR="00025564" w:rsidRDefault="00025564" w:rsidP="00025564">
      <w:pPr>
        <w:pStyle w:val="Tiret"/>
      </w:pPr>
      <w:r>
        <w:rPr>
          <w:lang w:val="es"/>
        </w:rPr>
        <w:t>revisión de 1970</w:t>
      </w:r>
    </w:p>
    <w:p w14:paraId="6853D75A" w14:textId="77777777" w:rsidR="00025564" w:rsidRDefault="00025564" w:rsidP="00025564">
      <w:pPr>
        <w:pStyle w:val="Tiret"/>
      </w:pPr>
      <w:r>
        <w:rPr>
          <w:lang w:val="es"/>
        </w:rPr>
        <w:t>revisión de 1987</w:t>
      </w:r>
    </w:p>
    <w:p w14:paraId="7379956C" w14:textId="77777777" w:rsidR="00025564" w:rsidRPr="003C0A90" w:rsidRDefault="00025564" w:rsidP="00025564">
      <w:pPr>
        <w:pStyle w:val="Tiret"/>
        <w:rPr>
          <w:lang w:val="fr-FR"/>
        </w:rPr>
      </w:pPr>
      <w:r>
        <w:rPr>
          <w:lang w:val="es"/>
        </w:rPr>
        <w:t xml:space="preserve">última revisión adoptada por la Conferencia General de la UNESCO 30ª reunión, 27/10/1999. </w:t>
      </w:r>
    </w:p>
    <w:p w14:paraId="1A66487F" w14:textId="77777777" w:rsidR="00025564" w:rsidRPr="003C0A90" w:rsidRDefault="00025564" w:rsidP="00025564">
      <w:pPr>
        <w:pStyle w:val="Point"/>
        <w:rPr>
          <w:lang w:val="fr-FR"/>
        </w:rPr>
      </w:pPr>
      <w:r>
        <w:rPr>
          <w:lang w:val="es"/>
        </w:rPr>
        <w:t>1991-01-17 DG/Note/91/3 Delegación de autoridad en el Secretario de la COI</w:t>
      </w:r>
    </w:p>
    <w:p w14:paraId="60F7F824" w14:textId="77777777" w:rsidR="00025564" w:rsidRDefault="00025564" w:rsidP="00025564">
      <w:pPr>
        <w:pStyle w:val="Point"/>
      </w:pPr>
      <w:r>
        <w:rPr>
          <w:lang w:val="es"/>
        </w:rPr>
        <w:t xml:space="preserve">1995-03-01 DDG92/Memo 66 Autonomía funcional experimental </w:t>
      </w:r>
    </w:p>
    <w:p w14:paraId="23F76C46" w14:textId="77777777" w:rsidR="00025564" w:rsidRPr="003C0A90" w:rsidRDefault="00025564" w:rsidP="00025564">
      <w:pPr>
        <w:pStyle w:val="Point"/>
        <w:rPr>
          <w:lang w:val="fr-FR"/>
        </w:rPr>
      </w:pPr>
      <w:r>
        <w:rPr>
          <w:lang w:val="es"/>
        </w:rPr>
        <w:t xml:space="preserve">Reglamento interno de la COI, última versión aprobada por la 21ª reunión de la Asamblea de la COI, 11/07/2001 </w:t>
      </w:r>
    </w:p>
    <w:p w14:paraId="6601822F" w14:textId="77777777" w:rsidR="00025564" w:rsidRPr="003C0A90" w:rsidRDefault="00025564" w:rsidP="00025564">
      <w:pPr>
        <w:pStyle w:val="Point"/>
        <w:rPr>
          <w:lang w:val="fr-FR"/>
        </w:rPr>
      </w:pPr>
      <w:r>
        <w:rPr>
          <w:lang w:val="es"/>
        </w:rPr>
        <w:t>Programa y presupuesto aprobados de la UNESCO para 2022-2023 (41/C5) y 2024-2025 (42/C5)</w:t>
      </w:r>
    </w:p>
    <w:p w14:paraId="62EC2D39" w14:textId="77777777" w:rsidR="00025564" w:rsidRPr="00AF2E35" w:rsidRDefault="00025564" w:rsidP="00025564">
      <w:pPr>
        <w:pStyle w:val="Point"/>
      </w:pPr>
      <w:r>
        <w:rPr>
          <w:lang w:val="es"/>
        </w:rPr>
        <w:t>1992-17-27, Comisión ad hoc de estudio sobre el desarrollo, el funcionamiento, la estructura y las funciones de la COI, 3ª reunión, Informe de síntesis "Quo vadis COI?" (48 páginas)</w:t>
      </w:r>
    </w:p>
    <w:p w14:paraId="198FCFFB" w14:textId="77777777" w:rsidR="00025564" w:rsidRPr="003C0A90" w:rsidRDefault="00025564" w:rsidP="00025564">
      <w:pPr>
        <w:pStyle w:val="Point"/>
        <w:rPr>
          <w:lang w:val="fr-FR"/>
        </w:rPr>
      </w:pPr>
      <w:r>
        <w:rPr>
          <w:lang w:val="es"/>
        </w:rPr>
        <w:t xml:space="preserve">2008-02-19, Grupo de Trabajo de la COI sobre el Futuro de la COI 1ª reunión, Informes de las Reuniones de Expertos y Órganos Equivalentes (74 páginas)  </w:t>
      </w:r>
    </w:p>
    <w:p w14:paraId="3D2A95B8" w14:textId="77777777" w:rsidR="00025564" w:rsidRPr="003C0A90" w:rsidRDefault="00025564" w:rsidP="00025564">
      <w:pPr>
        <w:pStyle w:val="Point"/>
        <w:rPr>
          <w:lang w:val="fr-FR"/>
        </w:rPr>
      </w:pPr>
      <w:r>
        <w:rPr>
          <w:lang w:val="es"/>
        </w:rPr>
        <w:t>2009-12-16 Manual de RRHH de la UNESCO, 5.3. Contratación para puestos profesionales internacionales y superiores</w:t>
      </w:r>
    </w:p>
    <w:p w14:paraId="25BE7CE7" w14:textId="77777777" w:rsidR="00025564" w:rsidRPr="00AF2E35" w:rsidRDefault="00025564" w:rsidP="00025564">
      <w:pPr>
        <w:pStyle w:val="Point"/>
      </w:pPr>
      <w:r>
        <w:rPr>
          <w:lang w:val="es"/>
        </w:rPr>
        <w:lastRenderedPageBreak/>
        <w:t>2010 Geoff HOLLAND y David PUGH (ed.), Troubled waters. Ocean science and governance. Cambridge Press ISBN: 978-0-521-76581-7, [Texto de referencia sobre la historia de la COI] (315 páginas)</w:t>
      </w:r>
    </w:p>
    <w:p w14:paraId="17CA6138" w14:textId="77777777" w:rsidR="00025564" w:rsidRPr="003C0A90" w:rsidRDefault="00025564" w:rsidP="00025564">
      <w:pPr>
        <w:pStyle w:val="Point"/>
        <w:rPr>
          <w:lang w:val="fr-FR"/>
        </w:rPr>
      </w:pPr>
      <w:r>
        <w:rPr>
          <w:lang w:val="es"/>
        </w:rPr>
        <w:t>2014-05-01 OC/INF-1316 Consulta para el nombramiento del Secretario Ejecutivo de la COI: proceso de elaboración de una lista restringida de candidatos para su presentación a la DG de la UNESCO</w:t>
      </w:r>
    </w:p>
    <w:p w14:paraId="4A0056C4" w14:textId="77777777" w:rsidR="00025564" w:rsidRPr="003C0A90" w:rsidRDefault="00025564" w:rsidP="00025564">
      <w:pPr>
        <w:pStyle w:val="Point"/>
        <w:rPr>
          <w:lang w:val="fr-FR"/>
        </w:rPr>
      </w:pPr>
      <w:r>
        <w:rPr>
          <w:lang w:val="es"/>
        </w:rPr>
        <w:t>47ª reunión del Consejo Ejecutivo de la COI (01-04/07/2014)</w:t>
      </w:r>
    </w:p>
    <w:p w14:paraId="0A0D8A9A" w14:textId="77777777" w:rsidR="00025564" w:rsidRPr="003C0A90" w:rsidRDefault="00025564" w:rsidP="00025564">
      <w:pPr>
        <w:pStyle w:val="Tiret"/>
        <w:rPr>
          <w:lang w:val="fr-FR"/>
        </w:rPr>
      </w:pPr>
      <w:r>
        <w:rPr>
          <w:lang w:val="es"/>
        </w:rPr>
        <w:t xml:space="preserve">2014-07-02 IOC-EC-XLVII/Dec. 4, </w:t>
      </w:r>
      <w:r>
        <w:rPr>
          <w:i/>
          <w:iCs/>
          <w:lang w:val="es"/>
        </w:rPr>
        <w:t>El futuro de la COI</w:t>
      </w:r>
      <w:r>
        <w:rPr>
          <w:lang w:val="es"/>
        </w:rPr>
        <w:t xml:space="preserve"> (2 páginas)</w:t>
      </w:r>
    </w:p>
    <w:p w14:paraId="448AF0EA" w14:textId="77777777" w:rsidR="00025564" w:rsidRPr="003C0A90" w:rsidRDefault="00025564" w:rsidP="00025564">
      <w:pPr>
        <w:pStyle w:val="Point"/>
        <w:rPr>
          <w:lang w:val="fr-FR"/>
        </w:rPr>
      </w:pPr>
      <w:r>
        <w:rPr>
          <w:lang w:val="es"/>
        </w:rPr>
        <w:t>28</w:t>
      </w:r>
      <w:r>
        <w:rPr>
          <w:vertAlign w:val="superscript"/>
          <w:lang w:val="es"/>
        </w:rPr>
        <w:t>ª</w:t>
      </w:r>
      <w:r>
        <w:rPr>
          <w:lang w:val="es"/>
        </w:rPr>
        <w:t xml:space="preserve"> reunión de la Asamblea de la COI (18-25/06/2015)</w:t>
      </w:r>
    </w:p>
    <w:p w14:paraId="214918FA" w14:textId="77777777" w:rsidR="00025564" w:rsidRPr="003C0A90" w:rsidRDefault="00025564" w:rsidP="00025564">
      <w:pPr>
        <w:pStyle w:val="Tiret"/>
        <w:rPr>
          <w:lang w:val="fr-FR"/>
        </w:rPr>
      </w:pPr>
      <w:r>
        <w:rPr>
          <w:lang w:val="es"/>
        </w:rPr>
        <w:t xml:space="preserve">2015-06-17, IOC-XXVIII/2 Anexo 4 Punto 4 del orden del día provisional, Informe del presidente del grupo de trabajo entre reuniones sobre "El futuro de la COI" (87 páginas) </w:t>
      </w:r>
    </w:p>
    <w:p w14:paraId="0C4FEBBE" w14:textId="77777777" w:rsidR="00025564" w:rsidRPr="003C0A90" w:rsidRDefault="00025564" w:rsidP="00025564">
      <w:pPr>
        <w:pStyle w:val="Tiret"/>
        <w:rPr>
          <w:lang w:val="fr-FR"/>
        </w:rPr>
      </w:pPr>
      <w:r>
        <w:rPr>
          <w:lang w:val="es"/>
        </w:rPr>
        <w:t xml:space="preserve">2015-06-25, Resolución XXVIII-3 de la COI </w:t>
      </w:r>
      <w:r>
        <w:rPr>
          <w:i/>
          <w:iCs/>
          <w:lang w:val="es"/>
        </w:rPr>
        <w:t>Asuntos financieros de la Comisión</w:t>
      </w:r>
      <w:r>
        <w:rPr>
          <w:lang w:val="es"/>
        </w:rPr>
        <w:t xml:space="preserve"> (6 páginas)</w:t>
      </w:r>
    </w:p>
    <w:p w14:paraId="71137EFC" w14:textId="77777777" w:rsidR="00025564" w:rsidRPr="003C0A90" w:rsidRDefault="00025564" w:rsidP="00025564">
      <w:pPr>
        <w:pStyle w:val="Point"/>
        <w:rPr>
          <w:lang w:val="fr-FR"/>
        </w:rPr>
      </w:pPr>
      <w:r>
        <w:rPr>
          <w:lang w:val="es"/>
        </w:rPr>
        <w:t>49</w:t>
      </w:r>
      <w:r>
        <w:rPr>
          <w:vertAlign w:val="superscript"/>
          <w:lang w:val="es"/>
        </w:rPr>
        <w:t>ª</w:t>
      </w:r>
      <w:r>
        <w:rPr>
          <w:lang w:val="es"/>
        </w:rPr>
        <w:t xml:space="preserve"> reunión del Consejo Ejecutivo de la COI (07-10/06/2016)</w:t>
      </w:r>
    </w:p>
    <w:p w14:paraId="13FB74C6" w14:textId="77777777" w:rsidR="00025564" w:rsidRPr="003C0A90" w:rsidRDefault="00025564" w:rsidP="00025564">
      <w:pPr>
        <w:pStyle w:val="Tiret"/>
        <w:rPr>
          <w:lang w:val="fr-FR"/>
        </w:rPr>
      </w:pPr>
      <w:r>
        <w:rPr>
          <w:lang w:val="es"/>
        </w:rPr>
        <w:t xml:space="preserve">2016-05-09 IOCEC-XLIX2 Anexo 9 Rev. Punto 5 del orden del día provisional, </w:t>
      </w:r>
      <w:r>
        <w:rPr>
          <w:i/>
          <w:iCs/>
          <w:lang w:val="es"/>
        </w:rPr>
        <w:t>Contribución al futuro de la hoja de ruta de la Ejecutiva de la COI</w:t>
      </w:r>
      <w:r>
        <w:rPr>
          <w:lang w:val="es"/>
        </w:rPr>
        <w:t xml:space="preserve"> (43 páginas) </w:t>
      </w:r>
    </w:p>
    <w:p w14:paraId="30BB80B6" w14:textId="77777777" w:rsidR="00025564" w:rsidRPr="003C0A90" w:rsidRDefault="00025564" w:rsidP="00025564">
      <w:pPr>
        <w:pStyle w:val="Tiret"/>
        <w:rPr>
          <w:lang w:val="fr-FR"/>
        </w:rPr>
      </w:pPr>
      <w:r>
        <w:rPr>
          <w:lang w:val="es"/>
        </w:rPr>
        <w:t xml:space="preserve">2016-06-02 IOC/EC-XLIX/2 Anexo 10 Puntos del orden del día provisionales 3.1, 5 &amp; 6.2 Seguimiento de las recomendaciones sobre el Informe sobre la Gobernanza de la UNESCO y los fondos, programas y entidades dependientes (16 páginas) </w:t>
      </w:r>
    </w:p>
    <w:p w14:paraId="2445831C" w14:textId="77777777" w:rsidR="00025564" w:rsidRPr="003C0A90" w:rsidRDefault="00025564" w:rsidP="00025564">
      <w:pPr>
        <w:pStyle w:val="Tiret"/>
        <w:rPr>
          <w:lang w:val="fr-FR"/>
        </w:rPr>
      </w:pPr>
      <w:r>
        <w:rPr>
          <w:lang w:val="es"/>
        </w:rPr>
        <w:t xml:space="preserve">2017-03-01 Informes de los órganos rectores y de los principales órganos subsidiarios (135 páginas), en particular el anexo V El futuro del COI: notas sobre su autonomía funcional (2 páginas) </w:t>
      </w:r>
    </w:p>
    <w:p w14:paraId="19C39D78" w14:textId="77777777" w:rsidR="00025564" w:rsidRPr="003C0A90" w:rsidRDefault="00025564" w:rsidP="00025564">
      <w:pPr>
        <w:pStyle w:val="Point"/>
        <w:rPr>
          <w:lang w:val="fr-FR"/>
        </w:rPr>
      </w:pPr>
      <w:r>
        <w:rPr>
          <w:lang w:val="es"/>
        </w:rPr>
        <w:t xml:space="preserve">2016 IOC/EC-XLIX/2 Anexo 9 Rev. -08-23, Tribunal de Cuentas, </w:t>
      </w:r>
      <w:r>
        <w:rPr>
          <w:lang w:val="es"/>
        </w:rPr>
        <w:tab/>
        <w:t xml:space="preserve">"Informe de auditoría sobre la COI 2013-2016", en Auditoría externa de la UNESCO 200 EX/20.INF.2 (81 páginas) </w:t>
      </w:r>
    </w:p>
    <w:p w14:paraId="007CC556" w14:textId="77777777" w:rsidR="00025564" w:rsidRPr="003C0A90" w:rsidRDefault="00025564" w:rsidP="00025564">
      <w:pPr>
        <w:pStyle w:val="Point"/>
        <w:rPr>
          <w:lang w:val="fr-FR"/>
        </w:rPr>
      </w:pPr>
      <w:r>
        <w:rPr>
          <w:lang w:val="es"/>
        </w:rPr>
        <w:t xml:space="preserve">2017-06-19 Documento de la UNESCO: Subgrupo 2: Estructura, composición y métodos de trabajo de los órganos internacionales e intergubernamentales de la UNESCO (IIBs) Proyectos de Recomendaciones (11 páginas) </w:t>
      </w:r>
    </w:p>
    <w:p w14:paraId="4DAB2552" w14:textId="77777777" w:rsidR="00025564" w:rsidRPr="003C0A90" w:rsidRDefault="00025564" w:rsidP="00025564">
      <w:pPr>
        <w:pStyle w:val="Point"/>
        <w:rPr>
          <w:lang w:val="fr-FR"/>
        </w:rPr>
      </w:pPr>
      <w:r>
        <w:rPr>
          <w:lang w:val="es"/>
        </w:rPr>
        <w:t xml:space="preserve">29ª Reunión de la Asamblea de la COI (21-29/06/2017) </w:t>
      </w:r>
    </w:p>
    <w:p w14:paraId="39C393A8" w14:textId="77777777" w:rsidR="00025564" w:rsidRPr="003C0A90" w:rsidRDefault="00025564" w:rsidP="00025564">
      <w:pPr>
        <w:pStyle w:val="Tiret"/>
        <w:rPr>
          <w:lang w:val="fr-FR"/>
        </w:rPr>
      </w:pPr>
      <w:r>
        <w:rPr>
          <w:lang w:val="es"/>
        </w:rPr>
        <w:t xml:space="preserve">2017-05-23 IOC-XXIX/2 Anexo 8 Punto 4.1 del orden del día provisional </w:t>
      </w:r>
      <w:r>
        <w:rPr>
          <w:i/>
          <w:iCs/>
          <w:lang w:val="es"/>
        </w:rPr>
        <w:t>Contribución de la futura hoja de ruta de la Ejecutiva de la COI</w:t>
      </w:r>
      <w:r>
        <w:rPr>
          <w:lang w:val="es"/>
        </w:rPr>
        <w:t xml:space="preserve"> (59 páginas) </w:t>
      </w:r>
    </w:p>
    <w:p w14:paraId="1F04634F" w14:textId="77777777" w:rsidR="00025564" w:rsidRPr="003C0A90" w:rsidRDefault="00025564" w:rsidP="00025564">
      <w:pPr>
        <w:pStyle w:val="Tiret"/>
        <w:rPr>
          <w:lang w:val="fr-FR"/>
        </w:rPr>
      </w:pPr>
      <w:r>
        <w:rPr>
          <w:lang w:val="es"/>
        </w:rPr>
        <w:t xml:space="preserve">2017-06-13 IOC-XXIX/2 Anexo 3 Puntos del orden del día provisionales 3.2.2 y 11.1 </w:t>
      </w:r>
      <w:r>
        <w:rPr>
          <w:i/>
          <w:iCs/>
          <w:lang w:val="es"/>
        </w:rPr>
        <w:t>Auditoría de la COI por auditores externos de la UNESCO: proyecto de plan de ejecución</w:t>
      </w:r>
      <w:r>
        <w:rPr>
          <w:lang w:val="es"/>
        </w:rPr>
        <w:t xml:space="preserve"> (22 páginas) </w:t>
      </w:r>
    </w:p>
    <w:p w14:paraId="066287EC" w14:textId="77777777" w:rsidR="00025564" w:rsidRPr="003C0A90" w:rsidRDefault="00025564" w:rsidP="00025564">
      <w:pPr>
        <w:pStyle w:val="Tiret"/>
        <w:rPr>
          <w:lang w:val="fr-FR"/>
        </w:rPr>
      </w:pPr>
      <w:r>
        <w:rPr>
          <w:lang w:val="es"/>
        </w:rPr>
        <w:t xml:space="preserve">2017-06-13 IOC-XXIX/2 Anexo 3 Add.1 Puntos del orden del día provisionales 3.2.2 y 11.1 Auditoría de la COI por auditores externos de la UNESCO: proyecto de plan de ejecución \ Examen de las posibilidades de compartir los informes de la COI con sus órganos rectores (18 páginas) </w:t>
      </w:r>
    </w:p>
    <w:p w14:paraId="0D052162" w14:textId="77777777" w:rsidR="00025564" w:rsidRPr="003C0A90" w:rsidRDefault="00025564" w:rsidP="00025564">
      <w:pPr>
        <w:pStyle w:val="Tiret"/>
        <w:rPr>
          <w:lang w:val="fr-FR"/>
        </w:rPr>
      </w:pPr>
      <w:r>
        <w:rPr>
          <w:lang w:val="es"/>
        </w:rPr>
        <w:t>2017-06-20 IOC-XXIX/2 Anexo 4 Puntos 3.2.3 y 11.1 del orden del día provisional Informe del presidente del Grupo de Trabajo del Consejo Ejecutivo sobre las recomendaciones, los métodos de trabajo y los procedimientos de la Comisión (3 páginas)</w:t>
      </w:r>
      <w:r>
        <w:rPr>
          <w:lang w:val="es"/>
        </w:rPr>
        <w:tab/>
      </w:r>
    </w:p>
    <w:p w14:paraId="18DE6C5E" w14:textId="77777777" w:rsidR="00025564" w:rsidRPr="003C0A90" w:rsidRDefault="00025564" w:rsidP="00025564">
      <w:pPr>
        <w:pStyle w:val="Point"/>
        <w:rPr>
          <w:lang w:val="fr-FR"/>
        </w:rPr>
      </w:pPr>
      <w:r>
        <w:rPr>
          <w:lang w:val="es"/>
        </w:rPr>
        <w:t>51</w:t>
      </w:r>
      <w:r>
        <w:rPr>
          <w:vertAlign w:val="superscript"/>
          <w:lang w:val="es"/>
        </w:rPr>
        <w:t>ª</w:t>
      </w:r>
      <w:r>
        <w:rPr>
          <w:lang w:val="es"/>
        </w:rPr>
        <w:t xml:space="preserve"> reunión del Consejo Ejecutivo de la COI (03-06/07/2018)</w:t>
      </w:r>
    </w:p>
    <w:p w14:paraId="27F01BBB" w14:textId="77777777" w:rsidR="00025564" w:rsidRPr="003C0A90" w:rsidRDefault="00025564" w:rsidP="00025564">
      <w:pPr>
        <w:pStyle w:val="Tiret"/>
        <w:rPr>
          <w:lang w:val="fr-FR"/>
        </w:rPr>
      </w:pPr>
      <w:r>
        <w:rPr>
          <w:lang w:val="es"/>
        </w:rPr>
        <w:lastRenderedPageBreak/>
        <w:t>2018-04-19 IOC/EC-LI/2 Anexo 13 Puntos 6.1 y 6.2 revisados del orden del día provisional Gobernanza de la COI Proyecto de plan de ejecución de las recomendaciones del grupo de trabajo de composición abierta de la UNESCO sobre gobernanza (16 páginas)</w:t>
      </w:r>
    </w:p>
    <w:p w14:paraId="416496A5" w14:textId="77777777" w:rsidR="00025564" w:rsidRPr="003C0A90" w:rsidRDefault="00025564" w:rsidP="00025564">
      <w:pPr>
        <w:pStyle w:val="Point"/>
        <w:rPr>
          <w:lang w:val="fr-FR"/>
        </w:rPr>
      </w:pPr>
      <w:r>
        <w:rPr>
          <w:lang w:val="es"/>
        </w:rPr>
        <w:t>31</w:t>
      </w:r>
      <w:r>
        <w:rPr>
          <w:vertAlign w:val="superscript"/>
          <w:lang w:val="es"/>
        </w:rPr>
        <w:t>ª</w:t>
      </w:r>
      <w:r>
        <w:rPr>
          <w:lang w:val="es"/>
        </w:rPr>
        <w:t xml:space="preserve"> reunión de la Asamblea de la COI (14-25/06/2021) </w:t>
      </w:r>
    </w:p>
    <w:p w14:paraId="4AF41D3E" w14:textId="77777777" w:rsidR="00025564" w:rsidRPr="003C0A90" w:rsidRDefault="00025564" w:rsidP="00025564">
      <w:pPr>
        <w:pStyle w:val="Tiret"/>
        <w:rPr>
          <w:lang w:val="fr-FR"/>
        </w:rPr>
      </w:pPr>
      <w:r>
        <w:rPr>
          <w:lang w:val="es"/>
        </w:rPr>
        <w:t xml:space="preserve">2021-06-14, </w:t>
      </w:r>
      <w:r>
        <w:rPr>
          <w:i/>
          <w:iCs/>
          <w:lang w:val="es"/>
        </w:rPr>
        <w:t>Estrategia a Medio Plazo de la COI 2022-2029</w:t>
      </w:r>
      <w:r>
        <w:rPr>
          <w:lang w:val="es"/>
        </w:rPr>
        <w:t>, aprobada por la Resolución A-31/2 de la 31ª reunión de la Asamblea de la COI (comúnmente denominada "COI óptima") (30 páginas)</w:t>
      </w:r>
    </w:p>
    <w:p w14:paraId="1212C38B" w14:textId="77777777" w:rsidR="00025564" w:rsidRPr="003C0A90" w:rsidRDefault="00025564" w:rsidP="00025564">
      <w:pPr>
        <w:pStyle w:val="Point"/>
        <w:rPr>
          <w:lang w:val="fr-FR"/>
        </w:rPr>
      </w:pPr>
      <w:r>
        <w:rPr>
          <w:lang w:val="es"/>
        </w:rPr>
        <w:t>2021-08-16, 212</w:t>
      </w:r>
      <w:r>
        <w:rPr>
          <w:vertAlign w:val="superscript"/>
          <w:lang w:val="es"/>
        </w:rPr>
        <w:t>ª</w:t>
      </w:r>
      <w:r>
        <w:rPr>
          <w:lang w:val="es"/>
        </w:rPr>
        <w:t xml:space="preserve"> reunión de la Comisión Ejecutiva de la COI </w:t>
      </w:r>
    </w:p>
    <w:p w14:paraId="74E4742C" w14:textId="77777777" w:rsidR="00025564" w:rsidRPr="003C0A90" w:rsidRDefault="00025564" w:rsidP="00025564">
      <w:pPr>
        <w:pStyle w:val="Tiret"/>
        <w:rPr>
          <w:lang w:val="fr-FR"/>
        </w:rPr>
      </w:pPr>
      <w:r>
        <w:rPr>
          <w:lang w:val="es"/>
        </w:rPr>
        <w:t xml:space="preserve">2021-08-16, 212X/9 Punto 9 del orden del día provisional, Evaluación por el Servicio Internacional de Supervisión del posicionamiento estratégico de la COI (Resumen y respuesta de la dirección de la COI) (9 páginas)  </w:t>
      </w:r>
    </w:p>
    <w:p w14:paraId="7B49C387" w14:textId="77777777" w:rsidR="00025564" w:rsidRPr="003C0A90" w:rsidRDefault="00025564" w:rsidP="00025564">
      <w:pPr>
        <w:pStyle w:val="Point"/>
        <w:rPr>
          <w:lang w:val="fr-FR"/>
        </w:rPr>
      </w:pPr>
      <w:r>
        <w:rPr>
          <w:lang w:val="es"/>
        </w:rPr>
        <w:t>2021-08-01, Servicio de Supervisión Interna de la UNESCO, Evaluación del posicionamiento estratégico de COI-UNESCO (61 páginas)</w:t>
      </w:r>
    </w:p>
    <w:p w14:paraId="57DF0282" w14:textId="77777777" w:rsidR="00025564" w:rsidRPr="003C0A90" w:rsidRDefault="00025564" w:rsidP="00025564">
      <w:pPr>
        <w:pStyle w:val="Point"/>
        <w:rPr>
          <w:lang w:val="fr-FR"/>
        </w:rPr>
      </w:pPr>
      <w:r>
        <w:rPr>
          <w:lang w:val="es"/>
        </w:rPr>
        <w:t>2022-06-04 IOC/INF-1322 Rev. Actualización sobre la situación de los órganos subsidiarios de la COI, 2015 (7 páginas)</w:t>
      </w:r>
    </w:p>
    <w:p w14:paraId="217027CB" w14:textId="77777777" w:rsidR="00025564" w:rsidRPr="003C0A90" w:rsidRDefault="00025564" w:rsidP="00025564">
      <w:pPr>
        <w:pStyle w:val="Point"/>
        <w:rPr>
          <w:lang w:val="fr-FR"/>
        </w:rPr>
      </w:pPr>
      <w:r>
        <w:rPr>
          <w:lang w:val="es"/>
        </w:rPr>
        <w:t>57ª reunión del Consejo Ejecutivo de la COI (14-17/06/2022)</w:t>
      </w:r>
    </w:p>
    <w:p w14:paraId="66B3662B" w14:textId="77777777" w:rsidR="00025564" w:rsidRPr="003C0A90" w:rsidRDefault="00025564" w:rsidP="00025564">
      <w:pPr>
        <w:pStyle w:val="Tiret"/>
        <w:rPr>
          <w:lang w:val="fr-FR"/>
        </w:rPr>
      </w:pPr>
      <w:r>
        <w:rPr>
          <w:lang w:val="es"/>
        </w:rPr>
        <w:t>22-05-19 Punto 3.2 del orden del día provisional Proyecto de plan de acción en respuesta a la evaluación por el Servicio Internacional de Supervisión del posicionamiento estratégico de la COI (14 páginas)</w:t>
      </w:r>
    </w:p>
    <w:p w14:paraId="0B636E25" w14:textId="77777777" w:rsidR="00025564" w:rsidRPr="003C0A90" w:rsidRDefault="00025564" w:rsidP="00025564">
      <w:pPr>
        <w:pStyle w:val="Point"/>
        <w:rPr>
          <w:lang w:val="fr-FR"/>
        </w:rPr>
      </w:pPr>
      <w:r>
        <w:rPr>
          <w:lang w:val="es"/>
        </w:rPr>
        <w:t>2022-11-14, Carta Circular de la COI nº 2912 dirigida a los Órganos Nacionales de Coordinación para el enlace con la COI (Estados Miembros de la COI) re Seguimiento de la Evaluación del Servicio de Supervisión Interna del Posicionamiento Estratégico de la COI (conocido como "COI Óptimo") (18 páginas)</w:t>
      </w:r>
    </w:p>
    <w:p w14:paraId="008531D9" w14:textId="77777777" w:rsidR="00025564" w:rsidRPr="003C0A90" w:rsidRDefault="00025564" w:rsidP="00025564">
      <w:pPr>
        <w:pStyle w:val="Point"/>
        <w:rPr>
          <w:lang w:val="fr-FR"/>
        </w:rPr>
      </w:pPr>
      <w:r>
        <w:rPr>
          <w:lang w:val="es"/>
        </w:rPr>
        <w:t>32ª reunión de la Asamblea de la COI (21-30/06/2023)</w:t>
      </w:r>
    </w:p>
    <w:p w14:paraId="10D61259" w14:textId="77777777" w:rsidR="00025564" w:rsidRPr="003C0A90" w:rsidRDefault="00025564" w:rsidP="00025564">
      <w:pPr>
        <w:pStyle w:val="Tiret"/>
        <w:rPr>
          <w:lang w:val="fr-FR"/>
        </w:rPr>
      </w:pPr>
      <w:r>
        <w:rPr>
          <w:lang w:val="es"/>
        </w:rPr>
        <w:t>2023-05-15, IOC-32/5.Doc(1) Punto 5 del orden del día provisional La COI y el futuro de los océanos: ejecución y expansión sostenibles de las actividades de la COI (19 páginas)</w:t>
      </w:r>
    </w:p>
    <w:p w14:paraId="7F8AA2DE" w14:textId="77777777" w:rsidR="00025564" w:rsidRPr="003C0A90" w:rsidRDefault="00025564" w:rsidP="00025564">
      <w:pPr>
        <w:pStyle w:val="Tiret"/>
        <w:rPr>
          <w:lang w:val="fr-FR"/>
        </w:rPr>
      </w:pPr>
      <w:r>
        <w:rPr>
          <w:lang w:val="es"/>
        </w:rPr>
        <w:t>2023-06-29, Proyecto de Resolución A-32/DR.[6.4] presentado por 30 Estados Miembros de la COI (17 páginas)</w:t>
      </w:r>
    </w:p>
    <w:p w14:paraId="04970F62" w14:textId="77777777" w:rsidR="00025564" w:rsidRDefault="00025564" w:rsidP="00025564">
      <w:pPr>
        <w:pStyle w:val="Point"/>
      </w:pPr>
      <w:r>
        <w:rPr>
          <w:lang w:val="es"/>
        </w:rPr>
        <w:t>2024-01-01 Organigrama de la COI</w:t>
      </w:r>
    </w:p>
    <w:p w14:paraId="3235CDB0" w14:textId="77777777" w:rsidR="00025564" w:rsidRPr="003C0A90" w:rsidRDefault="00025564" w:rsidP="00025564">
      <w:pPr>
        <w:pStyle w:val="Point"/>
        <w:rPr>
          <w:lang w:val="fr-FR"/>
        </w:rPr>
      </w:pPr>
      <w:r>
        <w:rPr>
          <w:lang w:val="es"/>
        </w:rPr>
        <w:t>57</w:t>
      </w:r>
      <w:r>
        <w:rPr>
          <w:vertAlign w:val="superscript"/>
          <w:lang w:val="es"/>
        </w:rPr>
        <w:t>ª</w:t>
      </w:r>
      <w:r>
        <w:rPr>
          <w:lang w:val="es"/>
        </w:rPr>
        <w:t xml:space="preserve"> reunión del Consejo Ejecutivo de la COI (25-28/06/2024)</w:t>
      </w:r>
    </w:p>
    <w:p w14:paraId="55209D6C" w14:textId="77777777" w:rsidR="00025564" w:rsidRPr="003C0A90" w:rsidRDefault="00025564" w:rsidP="00025564">
      <w:pPr>
        <w:pStyle w:val="Tiret"/>
        <w:rPr>
          <w:lang w:val="fr-FR"/>
        </w:rPr>
      </w:pPr>
      <w:r>
        <w:rPr>
          <w:lang w:val="es"/>
        </w:rPr>
        <w:t xml:space="preserve">2024-04-25, Puntos 3.1 y 5.4 del orden del día provisional "Situación financiera de la cuenta especial de la COI a finales de 2023; y previsiones para 2024-2025", IOC/EC-57/3.1.Doc(3) (10 páginas) </w:t>
      </w:r>
    </w:p>
    <w:p w14:paraId="5F4412D2" w14:textId="77777777" w:rsidR="00025564" w:rsidRDefault="00025564" w:rsidP="00025564">
      <w:pPr>
        <w:pStyle w:val="Tiret"/>
      </w:pPr>
      <w:r>
        <w:rPr>
          <w:lang w:val="es"/>
        </w:rPr>
        <w:t>2024-04-25, Orden del día provisional, punto 5.1 "Programa y presupuesto revisado 2024-2025 (42 C/5) y propuestas preliminares para 2026-2029 (Proyecto 43/C5) (27 páginas)</w:t>
      </w:r>
    </w:p>
    <w:p w14:paraId="5192F348" w14:textId="77777777" w:rsidR="00025564" w:rsidRDefault="00025564" w:rsidP="00025564">
      <w:pPr>
        <w:pStyle w:val="Tiret"/>
      </w:pPr>
      <w:r>
        <w:rPr>
          <w:lang w:val="es"/>
        </w:rPr>
        <w:t>2024-05-13, Puntos 3.1 y 5.4 del orden del día provisional "Informe sobre la ejecución del presupuesto 2022-2023 (41 C/5) a 31/12/2023" (11 páginas)</w:t>
      </w:r>
    </w:p>
    <w:p w14:paraId="0D8BE7B4" w14:textId="77777777" w:rsidR="00025564" w:rsidRDefault="00025564" w:rsidP="00025564">
      <w:pPr>
        <w:pStyle w:val="Tiret"/>
      </w:pPr>
      <w:r>
        <w:rPr>
          <w:lang w:val="es"/>
        </w:rPr>
        <w:t xml:space="preserve">2024-05-13, Puntos 3.1, 5.1, 5.2 y 5.3 del orden del día provisional "Informe del presidente del Grupo Asesor Financiero entre reuniones (IFAG) Período entre reuniones enero-junio 2024" (17 páginas)  </w:t>
      </w:r>
    </w:p>
    <w:p w14:paraId="4B449000" w14:textId="77777777" w:rsidR="00025564" w:rsidRDefault="00025564" w:rsidP="00025564">
      <w:pPr>
        <w:pStyle w:val="Tiret"/>
      </w:pPr>
      <w:r>
        <w:rPr>
          <w:lang w:val="es"/>
        </w:rPr>
        <w:t>2024-06-28 Decisiones adoptadas y resoluciones (22 páginas)</w:t>
      </w:r>
    </w:p>
    <w:p w14:paraId="20551EE7" w14:textId="77777777" w:rsidR="00025564" w:rsidRPr="003C0A90" w:rsidRDefault="00025564" w:rsidP="00025564">
      <w:pPr>
        <w:pStyle w:val="Point"/>
        <w:rPr>
          <w:lang w:val="fr-FR"/>
        </w:rPr>
      </w:pPr>
      <w:r>
        <w:rPr>
          <w:lang w:val="es"/>
        </w:rPr>
        <w:lastRenderedPageBreak/>
        <w:t>2024-08-06 Carta Circular de la COI nº 3003 dirigida a los Órganos Coordinadores Oficiales Nacionales de la COI para el enlace con la COI relativa a la reconstitución del Grupo Asesor Financiero entre reuniones de composición abierta para el periodo septiembre de 2024 - junio de 2025 (1 página)</w:t>
      </w:r>
    </w:p>
    <w:p w14:paraId="7C8F41A8" w14:textId="77777777" w:rsidR="00025564" w:rsidRPr="003C0A90" w:rsidRDefault="00025564" w:rsidP="00025564">
      <w:pPr>
        <w:pStyle w:val="Point"/>
        <w:rPr>
          <w:lang w:val="fr-FR"/>
        </w:rPr>
      </w:pPr>
      <w:r>
        <w:rPr>
          <w:lang w:val="es"/>
        </w:rPr>
        <w:t>2024-09-01, Calendario de actos de la COI ("Rueda de planificación")</w:t>
      </w:r>
    </w:p>
    <w:p w14:paraId="1ED6BDA6" w14:textId="77777777" w:rsidR="00025564" w:rsidRPr="003C0A90" w:rsidRDefault="00025564" w:rsidP="00025564">
      <w:pPr>
        <w:pStyle w:val="Point"/>
        <w:rPr>
          <w:lang w:val="fr-FR"/>
        </w:rPr>
      </w:pPr>
      <w:r>
        <w:rPr>
          <w:lang w:val="es"/>
        </w:rPr>
        <w:t xml:space="preserve">2024-09-13 Retiro de la dirección de la COI </w:t>
      </w:r>
    </w:p>
    <w:p w14:paraId="2F364746" w14:textId="77777777" w:rsidR="00025564" w:rsidRDefault="00025564" w:rsidP="00025564">
      <w:pPr>
        <w:pStyle w:val="Tiret"/>
      </w:pPr>
      <w:r>
        <w:rPr>
          <w:lang w:val="es"/>
        </w:rPr>
        <w:t xml:space="preserve">2024-08-28 (pre-retiro) Investigación con fines específicos (consultores), </w:t>
      </w:r>
      <w:r>
        <w:rPr>
          <w:i/>
          <w:iCs/>
          <w:lang w:val="es"/>
        </w:rPr>
        <w:t>UNESCO IOC_insight from 121s and recommendations</w:t>
      </w:r>
      <w:r>
        <w:rPr>
          <w:lang w:val="es"/>
        </w:rPr>
        <w:t xml:space="preserve"> (10 páginas)</w:t>
      </w:r>
    </w:p>
    <w:p w14:paraId="50590439" w14:textId="77777777" w:rsidR="00025564" w:rsidRPr="003C0A90" w:rsidRDefault="00025564" w:rsidP="00025564">
      <w:pPr>
        <w:pStyle w:val="Tiret"/>
        <w:rPr>
          <w:lang w:val="fr-FR"/>
        </w:rPr>
      </w:pPr>
      <w:r>
        <w:rPr>
          <w:lang w:val="es"/>
        </w:rPr>
        <w:t xml:space="preserve">2024-1-07 Investigación con fines específicos (consultores), </w:t>
      </w:r>
      <w:r>
        <w:rPr>
          <w:i/>
          <w:iCs/>
          <w:lang w:val="es"/>
        </w:rPr>
        <w:t xml:space="preserve">Informe de retiro </w:t>
      </w:r>
      <w:r>
        <w:rPr>
          <w:lang w:val="es"/>
        </w:rPr>
        <w:t>(27 páginas)</w:t>
      </w:r>
    </w:p>
    <w:p w14:paraId="0203D69A" w14:textId="77777777" w:rsidR="00025564" w:rsidRPr="003C0A90" w:rsidRDefault="00025564" w:rsidP="00025564">
      <w:pPr>
        <w:pStyle w:val="Point"/>
        <w:rPr>
          <w:lang w:val="fr-FR"/>
        </w:rPr>
      </w:pPr>
      <w:r>
        <w:rPr>
          <w:lang w:val="es"/>
        </w:rPr>
        <w:t xml:space="preserve">2024-10-22 Carta Circular de la COI nº 3009 a los Estados Miembros de la Subcomisión de la COI para el Pacífico Occidental (WESTPAC) relativa a la invitación a la 15ª reunión intergubernamental de la Subcomisión de la COI para el Pacífico Occidental (WESTPAC-XV), Tokio, Japón, 11-13 de marzo de 2025 (8 páginas) </w:t>
      </w:r>
    </w:p>
    <w:p w14:paraId="684C87E4" w14:textId="77777777" w:rsidR="00025564" w:rsidRPr="003C0A90" w:rsidRDefault="00025564" w:rsidP="00025564">
      <w:pPr>
        <w:pStyle w:val="Point"/>
        <w:rPr>
          <w:lang w:val="fr-FR"/>
        </w:rPr>
      </w:pPr>
      <w:r>
        <w:rPr>
          <w:lang w:val="es"/>
        </w:rPr>
        <w:t>2024-06-01, COI de la UNESCO, Informe sobre la situación del océano (89 páginas)</w:t>
      </w:r>
    </w:p>
    <w:p w14:paraId="5B062DA4" w14:textId="77777777" w:rsidR="00025564" w:rsidRPr="003C0A90" w:rsidRDefault="00025564" w:rsidP="00025564">
      <w:pPr>
        <w:pStyle w:val="Point"/>
        <w:rPr>
          <w:lang w:val="fr-FR"/>
        </w:rPr>
      </w:pPr>
      <w:r>
        <w:rPr>
          <w:lang w:val="es"/>
        </w:rPr>
        <w:t>2024-10-01, IOC-2022/WS/2/REV03 "Programas oceánicos de la UNESCO " folleto (40 páginas)</w:t>
      </w:r>
    </w:p>
    <w:p w14:paraId="1711C812" w14:textId="77777777" w:rsidR="00025564" w:rsidRDefault="00025564" w:rsidP="00025564">
      <w:pPr>
        <w:pStyle w:val="Point"/>
      </w:pPr>
      <w:r>
        <w:rPr>
          <w:lang w:val="es"/>
        </w:rPr>
        <w:t xml:space="preserve">2024-10-22, </w:t>
      </w:r>
      <w:r>
        <w:rPr>
          <w:i/>
          <w:iCs/>
          <w:lang w:val="es"/>
        </w:rPr>
        <w:t>Manual de contacto nacional</w:t>
      </w:r>
      <w:r>
        <w:rPr>
          <w:lang w:val="es"/>
        </w:rPr>
        <w:t xml:space="preserve"> (47 páginas)</w:t>
      </w:r>
    </w:p>
    <w:p w14:paraId="203505B3" w14:textId="77777777" w:rsidR="00025564" w:rsidRDefault="00025564" w:rsidP="00025564">
      <w:pPr>
        <w:pStyle w:val="BodyText"/>
      </w:pPr>
    </w:p>
    <w:p w14:paraId="2D286F7B" w14:textId="77777777" w:rsidR="00025564" w:rsidRPr="006979D1" w:rsidRDefault="00025564" w:rsidP="00025564">
      <w:pPr>
        <w:pStyle w:val="BodyText"/>
        <w:jc w:val="center"/>
      </w:pPr>
      <w:r>
        <w:rPr>
          <w:lang w:val="es"/>
        </w:rPr>
        <w:t>*   * *</w:t>
      </w:r>
    </w:p>
    <w:p w14:paraId="03499828" w14:textId="77777777" w:rsidR="00025564" w:rsidRDefault="00025564" w:rsidP="00025564">
      <w:pPr>
        <w:rPr>
          <w:rFonts w:asciiTheme="minorHAnsi" w:hAnsiTheme="minorHAnsi"/>
        </w:rPr>
      </w:pPr>
      <w:r>
        <w:rPr>
          <w:lang w:val="es"/>
        </w:rPr>
        <w:br w:type="page"/>
      </w:r>
    </w:p>
    <w:p w14:paraId="395EDB2C" w14:textId="77777777" w:rsidR="00025564" w:rsidRPr="000D0270" w:rsidRDefault="00025564" w:rsidP="00025564">
      <w:pPr>
        <w:pStyle w:val="Titrealign"/>
      </w:pPr>
      <w:r>
        <w:rPr>
          <w:bCs/>
          <w:lang w:val="es"/>
        </w:rPr>
        <w:lastRenderedPageBreak/>
        <w:t>Apéndice 2. Entrevistados</w:t>
      </w:r>
    </w:p>
    <w:p w14:paraId="070AFA03" w14:textId="77777777" w:rsidR="00025564" w:rsidRPr="000D0270" w:rsidRDefault="00025564" w:rsidP="00025564">
      <w:pPr>
        <w:pStyle w:val="Point"/>
      </w:pPr>
      <w:r>
        <w:rPr>
          <w:lang w:val="es"/>
        </w:rPr>
        <w:t>Secretaría</w:t>
      </w:r>
    </w:p>
    <w:p w14:paraId="4B25F318" w14:textId="77777777" w:rsidR="00025564" w:rsidRPr="003C0A90" w:rsidRDefault="00025564" w:rsidP="00025564">
      <w:pPr>
        <w:pStyle w:val="Tiret"/>
        <w:rPr>
          <w:lang w:val="fr-FR"/>
        </w:rPr>
      </w:pPr>
      <w:r>
        <w:rPr>
          <w:lang w:val="es"/>
        </w:rPr>
        <w:t xml:space="preserve">Vladimir RYABININ (ex Secretario Ejecutivo de la COI) </w:t>
      </w:r>
    </w:p>
    <w:p w14:paraId="09EBCDCB" w14:textId="77777777" w:rsidR="00025564" w:rsidRPr="000D0270" w:rsidRDefault="00025564" w:rsidP="00025564">
      <w:pPr>
        <w:pStyle w:val="Tiret"/>
      </w:pPr>
      <w:r>
        <w:rPr>
          <w:lang w:val="es"/>
        </w:rPr>
        <w:t xml:space="preserve">Bernardo ALIAGA (Secretaría, Sección de Resistencia a los Tsunamis) </w:t>
      </w:r>
    </w:p>
    <w:p w14:paraId="364291B4" w14:textId="77777777" w:rsidR="00025564" w:rsidRPr="000D0270" w:rsidRDefault="00025564" w:rsidP="00025564">
      <w:pPr>
        <w:pStyle w:val="Tiret"/>
      </w:pPr>
      <w:r>
        <w:rPr>
          <w:lang w:val="es"/>
        </w:rPr>
        <w:t xml:space="preserve">Julian BARBIERE (Secretaría, política marina y sección de coordinación regional) </w:t>
      </w:r>
    </w:p>
    <w:p w14:paraId="32DC7FA2" w14:textId="77777777" w:rsidR="00025564" w:rsidRPr="003E5731" w:rsidRDefault="00025564" w:rsidP="00025564">
      <w:pPr>
        <w:pStyle w:val="Tiret"/>
      </w:pPr>
      <w:r>
        <w:rPr>
          <w:lang w:val="es"/>
        </w:rPr>
        <w:t>Srinivasa Kumar TUMMALA (India, IOT WMS)</w:t>
      </w:r>
      <w:r>
        <w:rPr>
          <w:lang w:val="es"/>
        </w:rPr>
        <w:tab/>
      </w:r>
    </w:p>
    <w:p w14:paraId="50192A24" w14:textId="77777777" w:rsidR="00025564" w:rsidRPr="000D0270" w:rsidRDefault="00025564" w:rsidP="00025564">
      <w:pPr>
        <w:pStyle w:val="Point"/>
      </w:pPr>
      <w:r>
        <w:rPr>
          <w:lang w:val="es"/>
        </w:rPr>
        <w:t>Órganos subsidiarios regionales</w:t>
      </w:r>
    </w:p>
    <w:p w14:paraId="70727B12" w14:textId="77777777" w:rsidR="00025564" w:rsidRPr="000D0270" w:rsidRDefault="00025564" w:rsidP="00025564">
      <w:pPr>
        <w:pStyle w:val="Tiret"/>
      </w:pPr>
      <w:r>
        <w:rPr>
          <w:lang w:val="es"/>
        </w:rPr>
        <w:t xml:space="preserve">Mark ODUBER (Aruba, Países Bajos, IOCARRIBE) </w:t>
      </w:r>
    </w:p>
    <w:p w14:paraId="72E85321" w14:textId="77777777" w:rsidR="00025564" w:rsidRPr="000D0270" w:rsidRDefault="00025564" w:rsidP="00025564">
      <w:pPr>
        <w:pStyle w:val="Tiret"/>
      </w:pPr>
      <w:r>
        <w:rPr>
          <w:lang w:val="es"/>
        </w:rPr>
        <w:t>Kentaro ANDO (Japón, WESTPAC)</w:t>
      </w:r>
    </w:p>
    <w:p w14:paraId="55CA00EA" w14:textId="77777777" w:rsidR="00025564" w:rsidRPr="003C0A90" w:rsidRDefault="00025564" w:rsidP="00025564">
      <w:pPr>
        <w:pStyle w:val="Tiret"/>
        <w:rPr>
          <w:lang w:val="fr-FR"/>
        </w:rPr>
      </w:pPr>
      <w:r>
        <w:rPr>
          <w:lang w:val="es"/>
        </w:rPr>
        <w:t>Kouadio AFFIAN (Costa de Marfil, COI AFRICA)</w:t>
      </w:r>
    </w:p>
    <w:p w14:paraId="4191E873" w14:textId="77777777" w:rsidR="00025564" w:rsidRPr="003C0A90" w:rsidRDefault="00025564" w:rsidP="00025564">
      <w:pPr>
        <w:pStyle w:val="Point"/>
        <w:rPr>
          <w:lang w:val="fr-FR"/>
        </w:rPr>
      </w:pPr>
      <w:r>
        <w:rPr>
          <w:lang w:val="es"/>
        </w:rPr>
        <w:t>Puntos focales de los Estados Miembros, también representantes de las agencias contribuyentes</w:t>
      </w:r>
    </w:p>
    <w:p w14:paraId="158F5CA5" w14:textId="77777777" w:rsidR="00025564" w:rsidRPr="000D0270" w:rsidRDefault="00025564" w:rsidP="00025564">
      <w:pPr>
        <w:pStyle w:val="Tiret"/>
      </w:pPr>
      <w:r>
        <w:rPr>
          <w:lang w:val="es"/>
        </w:rPr>
        <w:t>Matthias WUNSCH, Alemania, Agencia Federal Marítima e Hidrográfica de Alemania</w:t>
      </w:r>
    </w:p>
    <w:p w14:paraId="37E1E9C1" w14:textId="77777777" w:rsidR="00025564" w:rsidRPr="000D0270" w:rsidRDefault="00025564" w:rsidP="00025564">
      <w:pPr>
        <w:pStyle w:val="Tiret"/>
      </w:pPr>
      <w:r>
        <w:rPr>
          <w:lang w:val="es"/>
        </w:rPr>
        <w:t>Gert VERREET, Bélgica, Flandes</w:t>
      </w:r>
    </w:p>
    <w:p w14:paraId="70D15359" w14:textId="77777777" w:rsidR="00025564" w:rsidRPr="000D0270" w:rsidRDefault="00025564" w:rsidP="00025564">
      <w:pPr>
        <w:pStyle w:val="Tiret"/>
      </w:pPr>
      <w:r>
        <w:rPr>
          <w:lang w:val="es"/>
        </w:rPr>
        <w:t xml:space="preserve">John SIDDORN y Allan EVANS, Reino Unido, Centro Nacional de Oceanografía </w:t>
      </w:r>
    </w:p>
    <w:p w14:paraId="29776D0D" w14:textId="4A52F0C6" w:rsidR="00025564" w:rsidRPr="00041320" w:rsidRDefault="00041320" w:rsidP="00025564">
      <w:pPr>
        <w:pStyle w:val="Tiret"/>
        <w:rPr>
          <w:lang w:val="en-US"/>
        </w:rPr>
      </w:pPr>
      <w:r w:rsidRPr="000D0270">
        <w:t xml:space="preserve">Nichole BRINSMEAD </w:t>
      </w:r>
      <w:r>
        <w:t>y</w:t>
      </w:r>
      <w:r w:rsidRPr="000D0270">
        <w:t xml:space="preserve"> Louise WICKS, </w:t>
      </w:r>
      <w:r w:rsidRPr="004C15D2">
        <w:rPr>
          <w:lang w:val="en-AU"/>
        </w:rPr>
        <w:t>Bureau of Meteorology, Australia</w:t>
      </w:r>
    </w:p>
    <w:p w14:paraId="659F5EF7" w14:textId="77777777" w:rsidR="00025564" w:rsidRPr="00041320" w:rsidRDefault="00025564" w:rsidP="00025564">
      <w:pPr>
        <w:pStyle w:val="Tiret"/>
        <w:rPr>
          <w:lang w:val="en-US"/>
        </w:rPr>
      </w:pPr>
      <w:r>
        <w:rPr>
          <w:lang w:val="es"/>
        </w:rPr>
        <w:t xml:space="preserve">Hrönn </w:t>
      </w:r>
      <w:r>
        <w:rPr>
          <w:caps/>
          <w:lang w:val="es"/>
        </w:rPr>
        <w:t>Egilsdóttir</w:t>
      </w:r>
      <w:r>
        <w:rPr>
          <w:lang w:val="es"/>
        </w:rPr>
        <w:t xml:space="preserve"> (HAFRO); Auðbjörg </w:t>
      </w:r>
      <w:r>
        <w:rPr>
          <w:caps/>
          <w:lang w:val="es"/>
        </w:rPr>
        <w:t>Halldórsdóttir</w:t>
      </w:r>
      <w:r>
        <w:rPr>
          <w:lang w:val="es"/>
        </w:rPr>
        <w:t xml:space="preserve">, Kristín </w:t>
      </w:r>
      <w:r>
        <w:rPr>
          <w:caps/>
          <w:lang w:val="es"/>
        </w:rPr>
        <w:t>Halla</w:t>
      </w:r>
      <w:r>
        <w:rPr>
          <w:lang w:val="es"/>
        </w:rPr>
        <w:t xml:space="preserve"> y Guðrún </w:t>
      </w:r>
      <w:r>
        <w:rPr>
          <w:caps/>
          <w:lang w:val="es"/>
        </w:rPr>
        <w:t>Þorsteinsd</w:t>
      </w:r>
      <w:r>
        <w:rPr>
          <w:lang w:val="es"/>
        </w:rPr>
        <w:t xml:space="preserve"> (delegación ante la UNESCO), Islandia</w:t>
      </w:r>
    </w:p>
    <w:p w14:paraId="2E0B225E" w14:textId="77777777" w:rsidR="00025564" w:rsidRPr="00041320" w:rsidRDefault="00025564" w:rsidP="00025564">
      <w:pPr>
        <w:pStyle w:val="Tiret"/>
        <w:rPr>
          <w:lang w:val="en-US"/>
        </w:rPr>
      </w:pPr>
      <w:r>
        <w:rPr>
          <w:lang w:val="es"/>
        </w:rPr>
        <w:t>Arran McPHERSON (Viceministro adjunto), Keith LENNON (Asesor principal, dir. programa de ciencias oceánicas), Andrew STEWART, Fisheries and Oceans Canada; Dominique LEVASSEUR (delegación permanente ante la UNESCO); Canadá</w:t>
      </w:r>
    </w:p>
    <w:p w14:paraId="7C32348E" w14:textId="77777777" w:rsidR="00025564" w:rsidRPr="000D0270" w:rsidRDefault="00025564" w:rsidP="00025564">
      <w:pPr>
        <w:pStyle w:val="Tiret"/>
      </w:pPr>
      <w:r>
        <w:rPr>
          <w:lang w:val="es"/>
        </w:rPr>
        <w:t>Luis PINHEIRO (Portugal)</w:t>
      </w:r>
    </w:p>
    <w:p w14:paraId="2D172592" w14:textId="77777777" w:rsidR="00025564" w:rsidRPr="000D0270" w:rsidRDefault="00025564" w:rsidP="00025564">
      <w:pPr>
        <w:pStyle w:val="Point"/>
      </w:pPr>
      <w:r>
        <w:rPr>
          <w:lang w:val="es"/>
        </w:rPr>
        <w:t xml:space="preserve">Antigua Gobernanza </w:t>
      </w:r>
    </w:p>
    <w:p w14:paraId="6C0920C9" w14:textId="77777777" w:rsidR="00025564" w:rsidRPr="003C0A90" w:rsidRDefault="00025564" w:rsidP="00025564">
      <w:pPr>
        <w:pStyle w:val="Tiret"/>
        <w:rPr>
          <w:lang w:val="fr-FR"/>
        </w:rPr>
      </w:pPr>
      <w:r>
        <w:rPr>
          <w:lang w:val="es"/>
        </w:rPr>
        <w:t xml:space="preserve">Peter M HAUGAN, expresidente de la COI </w:t>
      </w:r>
    </w:p>
    <w:p w14:paraId="353BBB8D" w14:textId="77777777" w:rsidR="00025564" w:rsidRPr="000D0270" w:rsidRDefault="00025564" w:rsidP="00025564">
      <w:pPr>
        <w:pStyle w:val="Tiret"/>
      </w:pPr>
      <w:r>
        <w:rPr>
          <w:lang w:val="es"/>
        </w:rPr>
        <w:t xml:space="preserve">Neville SMITH, ex delegado de Australia y Vicepresidente </w:t>
      </w:r>
    </w:p>
    <w:p w14:paraId="4F96E5DD" w14:textId="77777777" w:rsidR="00025564" w:rsidRPr="000D0270" w:rsidRDefault="00025564" w:rsidP="00025564">
      <w:pPr>
        <w:pStyle w:val="Point"/>
      </w:pPr>
      <w:r>
        <w:rPr>
          <w:lang w:val="es"/>
        </w:rPr>
        <w:t>Otros</w:t>
      </w:r>
    </w:p>
    <w:p w14:paraId="6AFD40B9" w14:textId="77777777" w:rsidR="00025564" w:rsidRPr="003C0A90" w:rsidRDefault="00025564" w:rsidP="00025564">
      <w:pPr>
        <w:pStyle w:val="Tiret"/>
        <w:rPr>
          <w:lang w:val="fr-FR"/>
        </w:rPr>
      </w:pPr>
      <w:r>
        <w:rPr>
          <w:lang w:val="es"/>
        </w:rPr>
        <w:t xml:space="preserve">Albert FISCHER, Jefe del Departamento de Observación de la OMM y de la Secretaría de la COI. </w:t>
      </w:r>
    </w:p>
    <w:p w14:paraId="10A8F990" w14:textId="77777777" w:rsidR="00025564" w:rsidRPr="003C0A90" w:rsidRDefault="00025564" w:rsidP="00025564">
      <w:pPr>
        <w:pStyle w:val="BodyText"/>
        <w:rPr>
          <w:lang w:val="fr-FR"/>
        </w:rPr>
      </w:pPr>
      <w:r>
        <w:rPr>
          <w:lang w:val="es"/>
        </w:rPr>
        <w:t>Se contactó con otras nueve personas para entrevistarlas, pero no respondieron o se negaron.</w:t>
      </w:r>
    </w:p>
    <w:p w14:paraId="3D7AC2A2" w14:textId="77777777" w:rsidR="00025564" w:rsidRPr="003C0A90" w:rsidRDefault="00025564" w:rsidP="00025564">
      <w:pPr>
        <w:pStyle w:val="BodyText"/>
        <w:rPr>
          <w:lang w:val="fr-FR"/>
        </w:rPr>
      </w:pPr>
    </w:p>
    <w:p w14:paraId="298998F8" w14:textId="77777777" w:rsidR="00025564" w:rsidRPr="006979D1" w:rsidRDefault="00025564" w:rsidP="00025564">
      <w:pPr>
        <w:pStyle w:val="BodyText"/>
        <w:jc w:val="center"/>
      </w:pPr>
      <w:r>
        <w:rPr>
          <w:lang w:val="es"/>
        </w:rPr>
        <w:t>*   * *</w:t>
      </w:r>
    </w:p>
    <w:p w14:paraId="1EBE2CF3" w14:textId="77777777" w:rsidR="00025564" w:rsidRPr="006979D1" w:rsidRDefault="00025564" w:rsidP="00025564">
      <w:pPr>
        <w:rPr>
          <w:rFonts w:asciiTheme="minorHAnsi" w:hAnsiTheme="minorHAnsi"/>
          <w:b/>
        </w:rPr>
      </w:pPr>
    </w:p>
    <w:p w14:paraId="4DAD8058" w14:textId="296D4268" w:rsidR="00167255" w:rsidRDefault="00167255" w:rsidP="00025564">
      <w:pPr>
        <w:pStyle w:val="Marge"/>
        <w:ind w:left="-687"/>
        <w:jc w:val="left"/>
        <w:rPr>
          <w:rFonts w:ascii="Arial" w:hAnsi="Arial" w:cs="Arial"/>
          <w:sz w:val="22"/>
          <w:szCs w:val="22"/>
        </w:rPr>
      </w:pPr>
    </w:p>
    <w:sectPr w:rsidR="00167255" w:rsidSect="00025564">
      <w:headerReference w:type="even" r:id="rId16"/>
      <w:headerReference w:type="default" r:id="rId17"/>
      <w:headerReference w:type="first" r:id="rId18"/>
      <w:type w:val="oddPage"/>
      <w:pgSz w:w="11906" w:h="16838"/>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6302" w14:textId="77777777" w:rsidR="002E09D4" w:rsidRDefault="002E09D4">
      <w:r>
        <w:separator/>
      </w:r>
    </w:p>
  </w:endnote>
  <w:endnote w:type="continuationSeparator" w:id="0">
    <w:p w14:paraId="3C19738E" w14:textId="77777777" w:rsidR="002E09D4" w:rsidRDefault="002E09D4">
      <w:r>
        <w:continuationSeparator/>
      </w:r>
    </w:p>
  </w:endnote>
  <w:endnote w:type="continuationNotice" w:id="1">
    <w:p w14:paraId="4C5465E7" w14:textId="77777777" w:rsidR="002E09D4" w:rsidRDefault="002E0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CF48" w14:textId="77777777" w:rsidR="003C0A90" w:rsidRDefault="003C0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99C4" w14:textId="77777777" w:rsidR="003C0A90" w:rsidRDefault="003C0A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0A3F" w14:textId="77777777" w:rsidR="003C0A90" w:rsidRDefault="003C0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853FD" w14:textId="77777777" w:rsidR="002E09D4" w:rsidRDefault="002E09D4">
      <w:r>
        <w:separator/>
      </w:r>
    </w:p>
  </w:footnote>
  <w:footnote w:type="continuationSeparator" w:id="0">
    <w:p w14:paraId="1495B56A" w14:textId="77777777" w:rsidR="002E09D4" w:rsidRDefault="002E09D4">
      <w:r>
        <w:continuationSeparator/>
      </w:r>
    </w:p>
  </w:footnote>
  <w:footnote w:type="continuationNotice" w:id="1">
    <w:p w14:paraId="71A787A2" w14:textId="77777777" w:rsidR="002E09D4" w:rsidRDefault="002E09D4"/>
  </w:footnote>
  <w:footnote w:id="2">
    <w:p w14:paraId="00CF2B5E" w14:textId="77777777" w:rsidR="00025564" w:rsidRPr="003C0A90" w:rsidRDefault="00025564" w:rsidP="00025564">
      <w:pPr>
        <w:pStyle w:val="FootnoteText"/>
        <w:rPr>
          <w:lang w:val="fr-FR"/>
        </w:rPr>
      </w:pPr>
      <w:r>
        <w:rPr>
          <w:rStyle w:val="FootnoteReference"/>
          <w:lang w:val="es"/>
        </w:rPr>
        <w:footnoteRef/>
      </w:r>
      <w:r>
        <w:rPr>
          <w:lang w:val="es"/>
        </w:rPr>
        <w:t xml:space="preserve"> 200 EX/20 e INF</w:t>
      </w:r>
    </w:p>
  </w:footnote>
  <w:footnote w:id="3">
    <w:p w14:paraId="26BF5465" w14:textId="77777777" w:rsidR="00025564" w:rsidRPr="003C0A90" w:rsidRDefault="00025564" w:rsidP="00025564">
      <w:pPr>
        <w:pStyle w:val="FootnoteText"/>
        <w:rPr>
          <w:rFonts w:asciiTheme="minorHAnsi" w:hAnsiTheme="minorHAnsi" w:cstheme="minorHAnsi"/>
          <w:lang w:val="fr-FR"/>
        </w:rPr>
      </w:pPr>
      <w:r>
        <w:rPr>
          <w:rStyle w:val="FootnoteReference"/>
          <w:rFonts w:asciiTheme="minorHAnsi" w:hAnsiTheme="minorHAnsi" w:cstheme="minorHAnsi"/>
          <w:lang w:val="es"/>
        </w:rPr>
        <w:footnoteRef/>
      </w:r>
      <w:r>
        <w:rPr>
          <w:rFonts w:asciiTheme="minorHAnsi" w:hAnsiTheme="minorHAnsi" w:cstheme="minorHAnsi"/>
          <w:lang w:val="es"/>
        </w:rPr>
        <w:t xml:space="preserve"> El desglose de la contribución voluntaria entre los Estados Miembros, otras organizaciones de las Naciones Unidas y donantes privados es el de los acuerdos de financiación firmados del 1 de enero de 2022 al 31 de diciembre de 2023 (fuente: IOC/EC-57/3.1.Doc(2)</w:t>
      </w:r>
    </w:p>
  </w:footnote>
  <w:footnote w:id="4">
    <w:p w14:paraId="151576B8" w14:textId="77777777" w:rsidR="00025564" w:rsidRPr="0031087C" w:rsidRDefault="00025564" w:rsidP="00025564">
      <w:pPr>
        <w:pStyle w:val="FootnoteText"/>
        <w:rPr>
          <w:rFonts w:asciiTheme="minorHAnsi" w:hAnsiTheme="minorHAnsi" w:cstheme="minorHAnsi"/>
        </w:rPr>
      </w:pPr>
      <w:r>
        <w:rPr>
          <w:rStyle w:val="FootnoteReference"/>
          <w:rFonts w:asciiTheme="minorHAnsi" w:hAnsiTheme="minorHAnsi" w:cstheme="minorHAnsi"/>
          <w:lang w:val="es"/>
        </w:rPr>
        <w:footnoteRef/>
      </w:r>
      <w:r>
        <w:rPr>
          <w:rFonts w:asciiTheme="minorHAnsi" w:hAnsiTheme="minorHAnsi" w:cstheme="minorHAnsi"/>
          <w:lang w:val="es"/>
        </w:rPr>
        <w:t xml:space="preserve"> SMITH Neville, " The future ", en HOLLAND Geoff y PUGH David, </w:t>
      </w:r>
      <w:r>
        <w:rPr>
          <w:rFonts w:asciiTheme="minorHAnsi" w:hAnsiTheme="minorHAnsi" w:cstheme="minorHAnsi"/>
          <w:i/>
          <w:iCs/>
          <w:lang w:val="es"/>
        </w:rPr>
        <w:t>Troubled waters. Ocean science and governance</w:t>
      </w:r>
      <w:r>
        <w:rPr>
          <w:rFonts w:asciiTheme="minorHAnsi" w:hAnsiTheme="minorHAnsi" w:cstheme="minorHAnsi"/>
          <w:lang w:val="es"/>
        </w:rPr>
        <w:t xml:space="preserve">, Cambridge University Press, Nueva York 2010, p. 289 </w:t>
      </w:r>
    </w:p>
  </w:footnote>
  <w:footnote w:id="5">
    <w:p w14:paraId="73782F85" w14:textId="77777777" w:rsidR="00025564" w:rsidRPr="00D37D8F" w:rsidRDefault="00025564" w:rsidP="00025564">
      <w:pPr>
        <w:pStyle w:val="FootnoteText"/>
        <w:rPr>
          <w:rFonts w:asciiTheme="minorHAnsi" w:hAnsiTheme="minorHAnsi" w:cstheme="minorHAnsi"/>
        </w:rPr>
      </w:pPr>
      <w:r>
        <w:rPr>
          <w:rStyle w:val="FootnoteReference"/>
          <w:rFonts w:asciiTheme="minorHAnsi" w:hAnsiTheme="minorHAnsi" w:cstheme="minorHAnsi"/>
          <w:lang w:val="es"/>
        </w:rPr>
        <w:footnoteRef/>
      </w:r>
      <w:r>
        <w:rPr>
          <w:rFonts w:asciiTheme="minorHAnsi" w:hAnsiTheme="minorHAnsi" w:cstheme="minorHAnsi"/>
          <w:lang w:val="es"/>
        </w:rPr>
        <w:t xml:space="preserve"> Consulte al menos los siguientes informes. 1) Grupo de trabajo de la COI sobre el futuro de la COI,1</w:t>
      </w:r>
      <w:r>
        <w:rPr>
          <w:rFonts w:asciiTheme="minorHAnsi" w:hAnsiTheme="minorHAnsi" w:cstheme="minorHAnsi"/>
          <w:vertAlign w:val="superscript"/>
          <w:lang w:val="es"/>
        </w:rPr>
        <w:t>ª</w:t>
      </w:r>
      <w:r>
        <w:rPr>
          <w:rFonts w:asciiTheme="minorHAnsi" w:hAnsiTheme="minorHAnsi" w:cstheme="minorHAnsi"/>
          <w:lang w:val="es"/>
        </w:rPr>
        <w:t xml:space="preserve"> reunión, 19-20/02/2008; 2) Auditor Externo de la UNESCO, Informe de auditoría sobre la COI, doc. 200 EX/20.INF.2, 23/08/2016, punto 20 "20. The Commission’s statutory autonomy does not seem to be sufficiently reflected in UNESCO’s budgetary documents. The elements of this autonomy are nonetheless clearly stated in several articles of its Statutes:"; 3) Servicio de Supervisión Interna de la UNESCO (IOS) « Evaluation of the strategic positioning of IOC-UNESCO », doc. IOS/EVS/PI 197, agosto 2021, página 10 « The optimal institutional relationship between UNESCO and IOC-UNESCO is yet to be clarified » </w:t>
      </w:r>
    </w:p>
  </w:footnote>
  <w:footnote w:id="6">
    <w:p w14:paraId="64C3EC20" w14:textId="77777777" w:rsidR="00025564" w:rsidRPr="003C0A90" w:rsidRDefault="00025564" w:rsidP="00025564">
      <w:pPr>
        <w:pStyle w:val="FootnoteText"/>
        <w:rPr>
          <w:rFonts w:asciiTheme="minorHAnsi" w:hAnsiTheme="minorHAnsi" w:cstheme="minorHAnsi"/>
          <w:lang w:val="fr-FR"/>
        </w:rPr>
      </w:pPr>
      <w:r>
        <w:rPr>
          <w:rStyle w:val="FootnoteReference"/>
          <w:rFonts w:asciiTheme="minorHAnsi" w:hAnsiTheme="minorHAnsi" w:cstheme="minorHAnsi"/>
          <w:lang w:val="es"/>
        </w:rPr>
        <w:footnoteRef/>
      </w:r>
      <w:r>
        <w:rPr>
          <w:rFonts w:asciiTheme="minorHAnsi" w:hAnsiTheme="minorHAnsi" w:cstheme="minorHAnsi"/>
          <w:lang w:val="es"/>
        </w:rPr>
        <w:t xml:space="preserve"> Véase Manual de RRHH de la UNESCO 5.3.83</w:t>
      </w:r>
    </w:p>
  </w:footnote>
  <w:footnote w:id="7">
    <w:p w14:paraId="4B4671F3" w14:textId="77777777" w:rsidR="00025564" w:rsidRPr="00B2724D" w:rsidRDefault="00025564" w:rsidP="00025564">
      <w:pPr>
        <w:pStyle w:val="FootnoteText"/>
        <w:rPr>
          <w:rFonts w:asciiTheme="minorHAnsi" w:hAnsiTheme="minorHAnsi" w:cstheme="minorHAnsi"/>
        </w:rPr>
      </w:pPr>
      <w:r>
        <w:rPr>
          <w:rStyle w:val="FootnoteReference"/>
          <w:lang w:val="es"/>
        </w:rPr>
        <w:footnoteRef/>
      </w:r>
      <w:r>
        <w:rPr>
          <w:lang w:val="es"/>
        </w:rPr>
        <w:t xml:space="preserve"> </w:t>
      </w:r>
      <w:r>
        <w:rPr>
          <w:rFonts w:asciiTheme="minorHAnsi" w:hAnsiTheme="minorHAnsi"/>
          <w:lang w:val="es"/>
        </w:rPr>
        <w:t>Véase OC/INF-1316 Consultation for the appointment of the Executive Secretary of the IOC: process for the establishment of a short-list of applicants for submission to the DG of UNESCO (2/05/20214)</w:t>
      </w:r>
    </w:p>
  </w:footnote>
  <w:footnote w:id="8">
    <w:p w14:paraId="688E4773" w14:textId="77777777" w:rsidR="00025564" w:rsidRPr="003C0A90" w:rsidRDefault="00025564" w:rsidP="00025564">
      <w:pPr>
        <w:pStyle w:val="FootnoteText"/>
        <w:rPr>
          <w:rFonts w:asciiTheme="minorHAnsi" w:hAnsiTheme="minorHAnsi" w:cstheme="minorHAnsi"/>
          <w:lang w:val="fr-FR"/>
        </w:rPr>
      </w:pPr>
      <w:r>
        <w:rPr>
          <w:rStyle w:val="FootnoteReference"/>
          <w:rFonts w:asciiTheme="minorHAnsi" w:hAnsiTheme="minorHAnsi" w:cstheme="minorHAnsi"/>
          <w:lang w:val="es"/>
        </w:rPr>
        <w:footnoteRef/>
      </w:r>
      <w:r>
        <w:rPr>
          <w:rFonts w:asciiTheme="minorHAnsi" w:hAnsiTheme="minorHAnsi" w:cstheme="minorHAnsi"/>
          <w:lang w:val="es"/>
        </w:rPr>
        <w:t xml:space="preserve"> OC/EC-57/5.2.Doc(2) informe del presidente del Grupo Asesor Financiero entre Reuniones de la COI a la reunión de la COI-CE de junio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030A" w14:textId="100AF818" w:rsidR="003B6FC5" w:rsidRPr="00FF54F5" w:rsidRDefault="00352423" w:rsidP="00FF54F5">
    <w:pPr>
      <w:pStyle w:val="Header"/>
      <w:rPr>
        <w:rFonts w:ascii="Arial" w:hAnsi="Arial" w:cs="Arial"/>
        <w:bCs/>
        <w:sz w:val="22"/>
        <w:szCs w:val="22"/>
      </w:rPr>
    </w:pPr>
    <w:r>
      <w:rPr>
        <w:rFonts w:ascii="Arial" w:hAnsi="Arial" w:cs="Arial"/>
        <w:sz w:val="22"/>
        <w:szCs w:val="22"/>
        <w:lang w:val="es"/>
      </w:rPr>
      <w:t>IOC/A-33/3.2.Doc</w:t>
    </w:r>
    <w:sdt>
      <w:sdtPr>
        <w:rPr>
          <w:rFonts w:ascii="Arial" w:hAnsi="Arial" w:cs="Arial"/>
          <w:bCs/>
          <w:sz w:val="22"/>
          <w:szCs w:val="22"/>
        </w:rPr>
        <w:id w:val="554519101"/>
        <w:docPartObj>
          <w:docPartGallery w:val="Page Numbers (Top of Page)"/>
          <w:docPartUnique/>
        </w:docPartObj>
      </w:sdtPr>
      <w:sdtEndPr/>
      <w:sdtContent>
        <w:r>
          <w:rPr>
            <w:rFonts w:ascii="Arial" w:hAnsi="Arial" w:cs="Arial"/>
            <w:sz w:val="22"/>
            <w:szCs w:val="22"/>
            <w:lang w:val="es"/>
          </w:rPr>
          <w:t xml:space="preserve">(3) - página </w:t>
        </w:r>
        <w:r>
          <w:rPr>
            <w:rFonts w:ascii="Arial" w:hAnsi="Arial" w:cs="Arial"/>
            <w:sz w:val="22"/>
            <w:szCs w:val="22"/>
            <w:lang w:val="es"/>
          </w:rPr>
          <w:fldChar w:fldCharType="begin"/>
        </w:r>
        <w:r>
          <w:rPr>
            <w:rFonts w:ascii="Arial" w:hAnsi="Arial" w:cs="Arial"/>
            <w:sz w:val="22"/>
            <w:szCs w:val="22"/>
            <w:lang w:val="es"/>
          </w:rPr>
          <w:instrText xml:space="preserve"> PAGE   \* MERGEFORMAT </w:instrText>
        </w:r>
        <w:r>
          <w:rPr>
            <w:rFonts w:ascii="Arial" w:hAnsi="Arial" w:cs="Arial"/>
            <w:sz w:val="22"/>
            <w:szCs w:val="22"/>
            <w:lang w:val="es"/>
          </w:rPr>
          <w:fldChar w:fldCharType="separate"/>
        </w:r>
        <w:r>
          <w:rPr>
            <w:rFonts w:ascii="Arial" w:hAnsi="Arial" w:cs="Arial"/>
            <w:noProof/>
            <w:sz w:val="22"/>
            <w:szCs w:val="22"/>
            <w:lang w:val="es"/>
          </w:rPr>
          <w:t>1</w:t>
        </w:r>
        <w:r>
          <w:rPr>
            <w:rFonts w:ascii="Arial" w:hAnsi="Arial" w:cs="Arial"/>
            <w:noProof/>
            <w:sz w:val="22"/>
            <w:szCs w:val="22"/>
            <w:lang w:val="es"/>
          </w:rPr>
          <w:fldChar w:fldCharType="end"/>
        </w:r>
      </w:sdtContent>
    </w:sdt>
  </w:p>
  <w:p w14:paraId="7669745D" w14:textId="77777777" w:rsidR="003B6FC5" w:rsidRPr="00D7566D" w:rsidRDefault="003B6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B357" w14:textId="218FEA08" w:rsidR="00FF54F5" w:rsidRPr="00DD55DA" w:rsidRDefault="00E01FDA" w:rsidP="00FF54F5">
    <w:pPr>
      <w:pStyle w:val="Header"/>
      <w:jc w:val="right"/>
      <w:rPr>
        <w:rFonts w:ascii="Arial" w:hAnsi="Arial" w:cs="Arial"/>
        <w:bCs/>
        <w:sz w:val="22"/>
        <w:szCs w:val="22"/>
      </w:rPr>
    </w:pPr>
    <w:r>
      <w:rPr>
        <w:rFonts w:ascii="Arial" w:hAnsi="Arial" w:cs="Arial"/>
        <w:sz w:val="22"/>
        <w:szCs w:val="22"/>
        <w:lang w:val="es"/>
      </w:rPr>
      <w:t xml:space="preserve">IOC/A-33/3.2.Doc(3) - página </w:t>
    </w:r>
    <w:r>
      <w:rPr>
        <w:rFonts w:ascii="Arial" w:hAnsi="Arial" w:cs="Arial"/>
        <w:sz w:val="22"/>
        <w:szCs w:val="22"/>
        <w:lang w:val="es"/>
      </w:rPr>
      <w:fldChar w:fldCharType="begin"/>
    </w:r>
    <w:r>
      <w:rPr>
        <w:rFonts w:ascii="Arial" w:hAnsi="Arial" w:cs="Arial"/>
        <w:sz w:val="22"/>
        <w:szCs w:val="22"/>
        <w:lang w:val="es"/>
      </w:rPr>
      <w:instrText xml:space="preserve"> PAGE   \* MERGEFORMAT </w:instrText>
    </w:r>
    <w:r>
      <w:rPr>
        <w:rFonts w:ascii="Arial" w:hAnsi="Arial" w:cs="Arial"/>
        <w:sz w:val="22"/>
        <w:szCs w:val="22"/>
        <w:lang w:val="es"/>
      </w:rPr>
      <w:fldChar w:fldCharType="separate"/>
    </w:r>
    <w:r>
      <w:rPr>
        <w:rFonts w:ascii="Arial" w:hAnsi="Arial" w:cs="Arial"/>
        <w:noProof/>
        <w:sz w:val="22"/>
        <w:szCs w:val="22"/>
        <w:lang w:val="es"/>
      </w:rPr>
      <w:t>1</w:t>
    </w:r>
    <w:r>
      <w:rPr>
        <w:rFonts w:ascii="Arial" w:hAnsi="Arial" w:cs="Arial"/>
        <w:noProof/>
        <w:sz w:val="22"/>
        <w:szCs w:val="22"/>
        <w:lang w:val="es"/>
      </w:rPr>
      <w:fldChar w:fldCharType="end"/>
    </w:r>
  </w:p>
  <w:p w14:paraId="115C0040" w14:textId="77777777" w:rsidR="00FF54F5" w:rsidRPr="00DD55DA" w:rsidRDefault="00FF54F5" w:rsidP="00FF54F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2890" w14:textId="776806DD" w:rsidR="00F62C19" w:rsidRPr="003C0A90" w:rsidRDefault="008B77EB" w:rsidP="00230818">
    <w:pPr>
      <w:pStyle w:val="Marge"/>
      <w:tabs>
        <w:tab w:val="left" w:pos="5812"/>
      </w:tabs>
      <w:spacing w:after="0"/>
      <w:rPr>
        <w:rFonts w:ascii="Arial" w:hAnsi="Arial" w:cs="Arial"/>
        <w:b/>
        <w:sz w:val="36"/>
        <w:szCs w:val="36"/>
        <w:lang w:val="fr-FR"/>
      </w:rPr>
    </w:pPr>
    <w:r>
      <w:rPr>
        <w:rFonts w:ascii="Arial" w:hAnsi="Arial" w:cs="Arial"/>
        <w:sz w:val="22"/>
        <w:szCs w:val="22"/>
        <w:lang w:val="es"/>
      </w:rPr>
      <w:t>Distribución restringida</w:t>
    </w:r>
    <w:r>
      <w:rPr>
        <w:lang w:val="es"/>
      </w:rPr>
      <w:tab/>
    </w:r>
    <w:bookmarkStart w:id="0" w:name="_Hlk54263549"/>
    <w:r>
      <w:rPr>
        <w:rFonts w:ascii="Arial" w:hAnsi="Arial" w:cs="Arial"/>
        <w:b/>
        <w:bCs/>
        <w:sz w:val="36"/>
        <w:szCs w:val="36"/>
        <w:lang w:val="es"/>
      </w:rPr>
      <w:t>IOC/A-33/5.2</w:t>
    </w:r>
    <w:bookmarkEnd w:id="0"/>
    <w:r>
      <w:rPr>
        <w:rFonts w:ascii="Arial" w:hAnsi="Arial" w:cs="Arial"/>
        <w:b/>
        <w:bCs/>
        <w:sz w:val="36"/>
        <w:szCs w:val="36"/>
        <w:lang w:val="es"/>
      </w:rPr>
      <w:t>.doc(1)</w:t>
    </w:r>
  </w:p>
  <w:p w14:paraId="4FD70AD5" w14:textId="61668BE8" w:rsidR="004B7754" w:rsidRPr="003C0A90" w:rsidRDefault="008B77EB" w:rsidP="00230818">
    <w:pPr>
      <w:pStyle w:val="Marge"/>
      <w:tabs>
        <w:tab w:val="left" w:pos="5812"/>
      </w:tabs>
      <w:spacing w:after="0"/>
      <w:rPr>
        <w:rFonts w:ascii="Arial" w:hAnsi="Arial" w:cs="Arial"/>
        <w:sz w:val="22"/>
        <w:szCs w:val="22"/>
        <w:lang w:val="fr-FR"/>
      </w:rPr>
    </w:pPr>
    <w:r>
      <w:rPr>
        <w:rFonts w:cs="Arial"/>
        <w:noProof/>
        <w:snapToGrid/>
        <w:szCs w:val="22"/>
        <w:lang w:val="es"/>
      </w:rPr>
      <w:drawing>
        <wp:anchor distT="0" distB="0" distL="114300" distR="114300" simplePos="0" relativeHeight="251731968"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lang w:val="es"/>
      </w:rPr>
      <w:tab/>
    </w:r>
    <w:r>
      <w:rPr>
        <w:rFonts w:ascii="Arial" w:hAnsi="Arial" w:cs="Arial"/>
        <w:sz w:val="22"/>
        <w:szCs w:val="22"/>
        <w:lang w:val="es"/>
      </w:rPr>
      <w:t xml:space="preserve">París, 10 de abril de 2025 </w:t>
    </w:r>
  </w:p>
  <w:p w14:paraId="07C76426" w14:textId="18A2F05C" w:rsidR="004B7754" w:rsidRPr="003C0A90" w:rsidRDefault="004B7754" w:rsidP="00230818">
    <w:pPr>
      <w:pStyle w:val="Marge"/>
      <w:tabs>
        <w:tab w:val="left" w:pos="5812"/>
      </w:tabs>
      <w:rPr>
        <w:rFonts w:ascii="Arial" w:hAnsi="Arial" w:cs="Arial"/>
        <w:sz w:val="22"/>
        <w:szCs w:val="22"/>
        <w:lang w:val="fr-FR"/>
      </w:rPr>
    </w:pPr>
    <w:r>
      <w:rPr>
        <w:rFonts w:ascii="Arial" w:hAnsi="Arial" w:cs="Arial"/>
        <w:sz w:val="22"/>
        <w:szCs w:val="22"/>
        <w:lang w:val="es"/>
      </w:rPr>
      <w:tab/>
      <w:t>Original: Inglés</w:t>
    </w:r>
  </w:p>
  <w:p w14:paraId="0759C652" w14:textId="6ACD3015" w:rsidR="004B7754" w:rsidRPr="003C0A90" w:rsidRDefault="004B77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fr-FR"/>
      </w:rPr>
    </w:pPr>
  </w:p>
  <w:p w14:paraId="5CBA7A2E" w14:textId="7CD94594" w:rsidR="00B17054" w:rsidRPr="003C0A90" w:rsidRDefault="00B17054"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lang w:val="fr-FR"/>
      </w:rPr>
    </w:pPr>
  </w:p>
  <w:p w14:paraId="364F293E" w14:textId="4E082054" w:rsidR="00B17054" w:rsidRPr="003C0A90"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lang w:val="fr-FR"/>
      </w:rPr>
    </w:pPr>
  </w:p>
  <w:p w14:paraId="28CD0B7C" w14:textId="77777777" w:rsidR="008B77EB" w:rsidRPr="003C0A90" w:rsidRDefault="008B77EB"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lang w:val="fr-FR"/>
      </w:rPr>
    </w:pPr>
  </w:p>
  <w:p w14:paraId="1D868DB4" w14:textId="77777777" w:rsidR="00B17054" w:rsidRPr="003C0A90" w:rsidRDefault="00B17054"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lang w:val="fr-FR"/>
      </w:rPr>
    </w:pPr>
  </w:p>
  <w:p w14:paraId="71A52761" w14:textId="56DB973C" w:rsidR="004B7754" w:rsidRPr="003C0A90"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fr-FR"/>
      </w:rPr>
    </w:pPr>
    <w:r>
      <w:rPr>
        <w:rFonts w:ascii="Arial" w:hAnsi="Arial" w:cs="Arial"/>
        <w:b/>
        <w:bCs/>
        <w:lang w:val="es"/>
      </w:rPr>
      <w:t>COMISIÓN OCEANOGRÁFICA INTERGUBERNAMENTAL</w:t>
    </w:r>
  </w:p>
  <w:p w14:paraId="67E49D49" w14:textId="77777777" w:rsidR="004B7754" w:rsidRPr="003C0A90" w:rsidRDefault="004B7754"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lang w:val="fr-FR"/>
      </w:rPr>
    </w:pPr>
    <w:r>
      <w:rPr>
        <w:rFonts w:ascii="Arial" w:hAnsi="Arial" w:cs="Arial"/>
        <w:lang w:val="es"/>
      </w:rPr>
      <w:t>(de la UNESCO)</w:t>
    </w:r>
  </w:p>
  <w:p w14:paraId="4872ECD5" w14:textId="77777777" w:rsidR="004B7754" w:rsidRPr="003C0A90" w:rsidRDefault="004B7754"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lang w:val="fr-FR"/>
      </w:rPr>
    </w:pPr>
  </w:p>
  <w:p w14:paraId="7BF4961F" w14:textId="15E30785" w:rsidR="004B7754" w:rsidRPr="003C0A90" w:rsidRDefault="00265773"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lang w:val="fr-FR"/>
      </w:rPr>
    </w:pPr>
    <w:r>
      <w:rPr>
        <w:rFonts w:ascii="Arial" w:hAnsi="Arial" w:cs="Arial"/>
        <w:b/>
        <w:bCs/>
        <w:lang w:val="es"/>
      </w:rPr>
      <w:t>33ª reunión de la Asamblea</w:t>
    </w:r>
  </w:p>
  <w:p w14:paraId="71300EEE" w14:textId="6785CB47" w:rsidR="004B7754" w:rsidRPr="003C0A90" w:rsidRDefault="004B7754"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lang w:val="fr-FR"/>
      </w:rPr>
    </w:pPr>
    <w:r>
      <w:rPr>
        <w:rFonts w:ascii="Arial" w:hAnsi="Arial" w:cs="Arial"/>
        <w:lang w:val="es"/>
      </w:rPr>
      <w:t>UNESCO, París, 25 de junio-3 de julio de 2025</w:t>
    </w:r>
  </w:p>
  <w:p w14:paraId="5BB9C169" w14:textId="77777777" w:rsidR="004B7754" w:rsidRPr="003C0A90" w:rsidRDefault="004B7754"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003DCA37" w14:textId="77777777" w:rsidR="004B7754" w:rsidRPr="003C0A90" w:rsidRDefault="004B7754" w:rsidP="00B17054">
    <w:pPr>
      <w:jc w:val="center"/>
      <w:rPr>
        <w:rFonts w:cs="Arial"/>
        <w:szCs w:val="22"/>
        <w:lang w:val="fr-FR"/>
      </w:rPr>
    </w:pPr>
  </w:p>
  <w:p w14:paraId="4AE80372" w14:textId="30A91906" w:rsidR="00FA68D9" w:rsidRPr="003C0A90" w:rsidRDefault="00FA68D9" w:rsidP="00FA68D9">
    <w:pPr>
      <w:keepNext/>
      <w:widowControl w:val="0"/>
      <w:tabs>
        <w:tab w:val="right" w:pos="9540"/>
      </w:tabs>
      <w:adjustRightInd w:val="0"/>
      <w:jc w:val="both"/>
      <w:textAlignment w:val="baseline"/>
      <w:outlineLvl w:val="6"/>
      <w:rPr>
        <w:rFonts w:ascii="Arial" w:eastAsia="Times New Roman" w:hAnsi="Arial" w:cs="Arial"/>
        <w:lang w:val="fr-FR"/>
      </w:rPr>
    </w:pPr>
    <w:r>
      <w:rPr>
        <w:rFonts w:ascii="Arial" w:eastAsia="Times New Roman" w:hAnsi="Arial" w:cs="Arial"/>
        <w:u w:val="single"/>
        <w:lang w:val="es"/>
      </w:rPr>
      <w:t xml:space="preserve">Puntos </w:t>
    </w:r>
    <w:r>
      <w:rPr>
        <w:rFonts w:ascii="Arial" w:eastAsia="Times New Roman" w:hAnsi="Arial" w:cs="Arial"/>
        <w:b/>
        <w:bCs/>
        <w:u w:val="single"/>
        <w:lang w:val="es"/>
      </w:rPr>
      <w:t>5.2</w:t>
    </w:r>
    <w:r>
      <w:rPr>
        <w:rFonts w:ascii="Arial" w:eastAsia="Times New Roman" w:hAnsi="Arial" w:cs="Arial"/>
        <w:u w:val="single"/>
        <w:lang w:val="es"/>
      </w:rPr>
      <w:t xml:space="preserve"> y </w:t>
    </w:r>
    <w:r>
      <w:rPr>
        <w:rFonts w:ascii="Arial" w:eastAsia="Times New Roman" w:hAnsi="Arial" w:cs="Arial"/>
        <w:b/>
        <w:bCs/>
        <w:u w:val="single"/>
        <w:lang w:val="es"/>
      </w:rPr>
      <w:t>5.4</w:t>
    </w:r>
    <w:r>
      <w:rPr>
        <w:rFonts w:ascii="Arial" w:eastAsia="Times New Roman" w:hAnsi="Arial" w:cs="Arial"/>
        <w:u w:val="single"/>
        <w:lang w:val="es"/>
      </w:rPr>
      <w:t xml:space="preserve"> del orden del día provisional</w:t>
    </w:r>
  </w:p>
  <w:p w14:paraId="5283A965" w14:textId="13B85A04" w:rsidR="00FA68D9" w:rsidRPr="003C0A90" w:rsidRDefault="00FA68D9"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fr-FR"/>
      </w:rPr>
    </w:pPr>
  </w:p>
  <w:p w14:paraId="089E7EEC" w14:textId="77777777" w:rsidR="00D41C78" w:rsidRPr="003C0A90" w:rsidRDefault="00D41C78"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fr-FR"/>
      </w:rPr>
    </w:pPr>
  </w:p>
  <w:p w14:paraId="6C9D5DF2" w14:textId="20DFF1A0" w:rsidR="002F2691" w:rsidRPr="003C0A90" w:rsidRDefault="00C522B3" w:rsidP="00C522B3">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fr-FR"/>
      </w:rPr>
    </w:pPr>
    <w:r>
      <w:rPr>
        <w:rFonts w:ascii="Arial" w:hAnsi="Arial" w:cs="Arial"/>
        <w:b/>
        <w:bCs/>
        <w:caps/>
        <w:lang w:val="es"/>
      </w:rPr>
      <w:t>EVALUACIÓN DE LOS PROCESOS DE GOBERNANZA Y GESTIÓN DE LA COI</w:t>
    </w:r>
  </w:p>
  <w:p w14:paraId="12B25AD8" w14:textId="77777777" w:rsidR="004B7754" w:rsidRPr="003C0A90" w:rsidRDefault="004B7754"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fr-FR"/>
      </w:rPr>
    </w:pPr>
  </w:p>
  <w:p w14:paraId="5F53C7C4" w14:textId="77777777" w:rsidR="004B7754" w:rsidRPr="003C0A90" w:rsidRDefault="004B7754" w:rsidP="00B17054">
    <w:pPr>
      <w:pStyle w:val="Header"/>
      <w:jc w:val="cent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0889" w14:textId="6685525A" w:rsidR="00025564" w:rsidRPr="00025564" w:rsidRDefault="00025564" w:rsidP="00025564">
    <w:pPr>
      <w:pStyle w:val="Header"/>
      <w:tabs>
        <w:tab w:val="clear" w:pos="4153"/>
        <w:tab w:val="clear" w:pos="8306"/>
        <w:tab w:val="center" w:pos="4536"/>
      </w:tabs>
      <w:rPr>
        <w:rFonts w:ascii="Arial" w:hAnsi="Arial" w:cs="Arial"/>
        <w:bCs/>
        <w:iCs/>
        <w:color w:val="333333"/>
        <w:sz w:val="20"/>
        <w:szCs w:val="20"/>
      </w:rPr>
    </w:pPr>
    <w:r>
      <w:rPr>
        <w:rFonts w:ascii="Arial" w:hAnsi="Arial" w:cs="Arial"/>
        <w:color w:val="333333"/>
        <w:sz w:val="20"/>
        <w:szCs w:val="20"/>
        <w:lang w:val="es"/>
      </w:rPr>
      <w:t xml:space="preserve">IOC/A-33/5.2.Doc(1) - página </w:t>
    </w:r>
    <w:r>
      <w:rPr>
        <w:rFonts w:ascii="Arial" w:hAnsi="Arial" w:cs="Arial"/>
        <w:color w:val="333333"/>
        <w:sz w:val="20"/>
        <w:szCs w:val="20"/>
        <w:lang w:val="es"/>
      </w:rPr>
      <w:fldChar w:fldCharType="begin"/>
    </w:r>
    <w:r>
      <w:rPr>
        <w:rFonts w:ascii="Arial" w:hAnsi="Arial" w:cs="Arial"/>
        <w:color w:val="333333"/>
        <w:sz w:val="20"/>
        <w:szCs w:val="20"/>
        <w:lang w:val="es"/>
      </w:rPr>
      <w:instrText>PAGE   \* MERGEFORMAT</w:instrText>
    </w:r>
    <w:r>
      <w:rPr>
        <w:rFonts w:ascii="Arial" w:hAnsi="Arial" w:cs="Arial"/>
        <w:color w:val="333333"/>
        <w:sz w:val="20"/>
        <w:szCs w:val="20"/>
        <w:lang w:val="es"/>
      </w:rPr>
      <w:fldChar w:fldCharType="separate"/>
    </w:r>
    <w:r>
      <w:rPr>
        <w:rFonts w:ascii="Arial" w:hAnsi="Arial" w:cs="Arial"/>
        <w:color w:val="333333"/>
        <w:sz w:val="20"/>
        <w:szCs w:val="20"/>
        <w:lang w:val="es"/>
      </w:rPr>
      <w:t>1</w:t>
    </w:r>
    <w:r>
      <w:rPr>
        <w:rFonts w:ascii="Arial" w:hAnsi="Arial" w:cs="Arial"/>
        <w:color w:val="333333"/>
        <w:sz w:val="20"/>
        <w:szCs w:val="20"/>
        <w:lang w:val="es"/>
      </w:rPr>
      <w:fldChar w:fldCharType="end"/>
    </w:r>
  </w:p>
  <w:p w14:paraId="095C0789" w14:textId="77777777" w:rsidR="006B7B17" w:rsidRDefault="006B7B17">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5ED8" w14:textId="1E659E16" w:rsidR="006B7B17" w:rsidRPr="00025564" w:rsidRDefault="006B7B17" w:rsidP="00025564">
    <w:pPr>
      <w:pStyle w:val="Header"/>
      <w:tabs>
        <w:tab w:val="clear" w:pos="8306"/>
        <w:tab w:val="right" w:pos="9072"/>
      </w:tabs>
      <w:rPr>
        <w:iCs/>
        <w:color w:val="333333"/>
        <w:sz w:val="18"/>
        <w:szCs w:val="22"/>
      </w:rPr>
    </w:pPr>
    <w:r>
      <w:rPr>
        <w:i/>
        <w:iCs/>
        <w:color w:val="333333"/>
        <w:sz w:val="20"/>
        <w:lang w:val="es"/>
      </w:rPr>
      <w:t>Farman &amp; Partners</w:t>
    </w:r>
    <w:r>
      <w:rPr>
        <w:color w:val="333333"/>
        <w:sz w:val="20"/>
        <w:lang w:val="es"/>
      </w:rPr>
      <w:tab/>
    </w:r>
    <w:r>
      <w:rPr>
        <w:color w:val="333333"/>
        <w:sz w:val="20"/>
        <w:lang w:val="es"/>
      </w:rPr>
      <w:tab/>
    </w:r>
    <w:r>
      <w:rPr>
        <w:rFonts w:ascii="Arial" w:hAnsi="Arial"/>
        <w:color w:val="333333"/>
        <w:sz w:val="20"/>
        <w:szCs w:val="20"/>
        <w:lang w:val="es"/>
      </w:rPr>
      <w:t xml:space="preserve">IOC/A-33/5.2.Doc(1) – página </w:t>
    </w:r>
    <w:r>
      <w:rPr>
        <w:color w:val="333333"/>
        <w:sz w:val="20"/>
        <w:szCs w:val="20"/>
        <w:lang w:val="es"/>
      </w:rPr>
      <w:fldChar w:fldCharType="begin"/>
    </w:r>
    <w:r>
      <w:rPr>
        <w:rFonts w:ascii="Arial" w:hAnsi="Arial"/>
        <w:color w:val="333333"/>
        <w:sz w:val="20"/>
        <w:szCs w:val="20"/>
        <w:lang w:val="es"/>
      </w:rPr>
      <w:instrText>PAGE   \* MERGEFORMAT</w:instrText>
    </w:r>
    <w:r>
      <w:rPr>
        <w:color w:val="333333"/>
        <w:sz w:val="20"/>
        <w:szCs w:val="20"/>
        <w:lang w:val="es"/>
      </w:rPr>
      <w:fldChar w:fldCharType="separate"/>
    </w:r>
    <w:r>
      <w:rPr>
        <w:rFonts w:ascii="Arial" w:hAnsi="Arial"/>
        <w:color w:val="333333"/>
        <w:sz w:val="20"/>
        <w:szCs w:val="20"/>
        <w:lang w:val="es"/>
      </w:rPr>
      <w:t>2</w:t>
    </w:r>
    <w:r>
      <w:rPr>
        <w:color w:val="333333"/>
        <w:sz w:val="20"/>
        <w:szCs w:val="20"/>
        <w:lang w:val="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D3BB" w14:textId="74BD348D" w:rsidR="006B7B17" w:rsidRPr="00025564" w:rsidRDefault="00025564" w:rsidP="00025564">
    <w:pPr>
      <w:pStyle w:val="Header"/>
      <w:tabs>
        <w:tab w:val="clear" w:pos="4153"/>
        <w:tab w:val="clear" w:pos="8306"/>
        <w:tab w:val="center" w:pos="4536"/>
      </w:tabs>
      <w:jc w:val="right"/>
      <w:rPr>
        <w:rFonts w:ascii="Arial" w:hAnsi="Arial" w:cs="Arial"/>
        <w:bCs/>
        <w:iCs/>
        <w:color w:val="333333"/>
        <w:sz w:val="20"/>
        <w:szCs w:val="20"/>
      </w:rPr>
    </w:pPr>
    <w:r>
      <w:rPr>
        <w:rFonts w:ascii="Arial" w:hAnsi="Arial" w:cs="Arial"/>
        <w:color w:val="333333"/>
        <w:sz w:val="20"/>
        <w:szCs w:val="20"/>
        <w:lang w:val="es"/>
      </w:rPr>
      <w:t>IOC/A-33/5.2.Doc(1)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C72577"/>
    <w:multiLevelType w:val="singleLevel"/>
    <w:tmpl w:val="E9B44C80"/>
    <w:lvl w:ilvl="0">
      <w:start w:val="1"/>
      <w:numFmt w:val="bullet"/>
      <w:pStyle w:val="Point"/>
      <w:lvlText w:val=""/>
      <w:lvlJc w:val="left"/>
      <w:pPr>
        <w:ind w:left="360" w:hanging="360"/>
      </w:pPr>
      <w:rPr>
        <w:rFonts w:ascii="Symbol" w:hAnsi="Symbol" w:hint="default"/>
      </w:rPr>
    </w:lvl>
  </w:abstractNum>
  <w:abstractNum w:abstractNumId="3"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48DC5CAE"/>
    <w:multiLevelType w:val="hybridMultilevel"/>
    <w:tmpl w:val="4384A6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8114DB"/>
    <w:multiLevelType w:val="singleLevel"/>
    <w:tmpl w:val="968CE584"/>
    <w:lvl w:ilvl="0">
      <w:start w:val="1"/>
      <w:numFmt w:val="bullet"/>
      <w:pStyle w:val="Tiret"/>
      <w:lvlText w:val=""/>
      <w:lvlJc w:val="left"/>
      <w:pPr>
        <w:tabs>
          <w:tab w:val="num" w:pos="360"/>
        </w:tabs>
        <w:ind w:left="360" w:hanging="360"/>
      </w:pPr>
      <w:rPr>
        <w:rFonts w:ascii="Symbol" w:hAnsi="Symbol" w:hint="default"/>
      </w:rPr>
    </w:lvl>
  </w:abstractNum>
  <w:abstractNum w:abstractNumId="12" w15:restartNumberingAfterBreak="0">
    <w:nsid w:val="548D74FD"/>
    <w:multiLevelType w:val="hybridMultilevel"/>
    <w:tmpl w:val="94564F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677A0DF6"/>
    <w:multiLevelType w:val="hybridMultilevel"/>
    <w:tmpl w:val="0106B50E"/>
    <w:lvl w:ilvl="0" w:tplc="D7EE6DAA">
      <w:start w:val="1"/>
      <w:numFmt w:val="decimal"/>
      <w:pStyle w:val="Style1"/>
      <w:lvlText w:val="%1."/>
      <w:lvlJc w:val="left"/>
      <w:pPr>
        <w:ind w:left="720" w:hanging="360"/>
      </w:pPr>
      <w:rPr>
        <w:rFonts w:ascii="Arial" w:hAnsi="Arial" w:cs="Arial" w:hint="default"/>
        <w:b w:val="0"/>
        <w:i w:val="0"/>
        <w:caps/>
        <w:strike w:val="0"/>
        <w:dstrike w:val="0"/>
        <w:vanish w:val="0"/>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16cid:durableId="1599021303">
    <w:abstractNumId w:val="7"/>
  </w:num>
  <w:num w:numId="2" w16cid:durableId="2141724410">
    <w:abstractNumId w:val="7"/>
  </w:num>
  <w:num w:numId="3" w16cid:durableId="1577788038">
    <w:abstractNumId w:val="7"/>
  </w:num>
  <w:num w:numId="4" w16cid:durableId="1961492890">
    <w:abstractNumId w:val="7"/>
  </w:num>
  <w:num w:numId="5" w16cid:durableId="779103764">
    <w:abstractNumId w:val="7"/>
  </w:num>
  <w:num w:numId="6" w16cid:durableId="1829009150">
    <w:abstractNumId w:val="7"/>
  </w:num>
  <w:num w:numId="7" w16cid:durableId="507523924">
    <w:abstractNumId w:val="7"/>
  </w:num>
  <w:num w:numId="8" w16cid:durableId="981228254">
    <w:abstractNumId w:val="7"/>
  </w:num>
  <w:num w:numId="9" w16cid:durableId="216169603">
    <w:abstractNumId w:val="7"/>
  </w:num>
  <w:num w:numId="10" w16cid:durableId="1681007608">
    <w:abstractNumId w:val="7"/>
  </w:num>
  <w:num w:numId="11" w16cid:durableId="1256597078">
    <w:abstractNumId w:val="16"/>
  </w:num>
  <w:num w:numId="12" w16cid:durableId="1367637285">
    <w:abstractNumId w:val="7"/>
  </w:num>
  <w:num w:numId="13" w16cid:durableId="46297584">
    <w:abstractNumId w:val="5"/>
  </w:num>
  <w:num w:numId="14" w16cid:durableId="623006435">
    <w:abstractNumId w:val="8"/>
  </w:num>
  <w:num w:numId="15" w16cid:durableId="1352562254">
    <w:abstractNumId w:val="4"/>
  </w:num>
  <w:num w:numId="16" w16cid:durableId="1103190891">
    <w:abstractNumId w:val="10"/>
  </w:num>
  <w:num w:numId="17" w16cid:durableId="1234896804">
    <w:abstractNumId w:val="6"/>
  </w:num>
  <w:num w:numId="18" w16cid:durableId="369573370">
    <w:abstractNumId w:val="3"/>
  </w:num>
  <w:num w:numId="19" w16cid:durableId="456606123">
    <w:abstractNumId w:val="13"/>
  </w:num>
  <w:num w:numId="20" w16cid:durableId="1455640012">
    <w:abstractNumId w:val="15"/>
  </w:num>
  <w:num w:numId="21" w16cid:durableId="239952154">
    <w:abstractNumId w:val="1"/>
  </w:num>
  <w:num w:numId="22" w16cid:durableId="157499596">
    <w:abstractNumId w:val="0"/>
  </w:num>
  <w:num w:numId="23" w16cid:durableId="1726487945">
    <w:abstractNumId w:val="14"/>
  </w:num>
  <w:num w:numId="24" w16cid:durableId="484586391">
    <w:abstractNumId w:val="14"/>
  </w:num>
  <w:num w:numId="25" w16cid:durableId="1636642680">
    <w:abstractNumId w:val="14"/>
  </w:num>
  <w:num w:numId="26" w16cid:durableId="1170290552">
    <w:abstractNumId w:val="14"/>
  </w:num>
  <w:num w:numId="27" w16cid:durableId="1473644375">
    <w:abstractNumId w:val="14"/>
  </w:num>
  <w:num w:numId="28" w16cid:durableId="1266843303">
    <w:abstractNumId w:val="2"/>
  </w:num>
  <w:num w:numId="29" w16cid:durableId="959192438">
    <w:abstractNumId w:val="11"/>
  </w:num>
  <w:num w:numId="30" w16cid:durableId="1354838309">
    <w:abstractNumId w:val="9"/>
  </w:num>
  <w:num w:numId="31" w16cid:durableId="1536505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s-E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19BA"/>
    <w:rsid w:val="000031EF"/>
    <w:rsid w:val="00004725"/>
    <w:rsid w:val="000055C3"/>
    <w:rsid w:val="00006C25"/>
    <w:rsid w:val="00010B89"/>
    <w:rsid w:val="000118CD"/>
    <w:rsid w:val="00013390"/>
    <w:rsid w:val="00017E4B"/>
    <w:rsid w:val="00020FE5"/>
    <w:rsid w:val="00025564"/>
    <w:rsid w:val="00025A88"/>
    <w:rsid w:val="00026782"/>
    <w:rsid w:val="00027122"/>
    <w:rsid w:val="000319A1"/>
    <w:rsid w:val="00031ECD"/>
    <w:rsid w:val="00032C8E"/>
    <w:rsid w:val="00033544"/>
    <w:rsid w:val="00033FCF"/>
    <w:rsid w:val="00034C53"/>
    <w:rsid w:val="00034C70"/>
    <w:rsid w:val="00041320"/>
    <w:rsid w:val="000431C5"/>
    <w:rsid w:val="000445B8"/>
    <w:rsid w:val="0004582F"/>
    <w:rsid w:val="00054037"/>
    <w:rsid w:val="00054BFE"/>
    <w:rsid w:val="00060399"/>
    <w:rsid w:val="00060718"/>
    <w:rsid w:val="000658F2"/>
    <w:rsid w:val="00065DEB"/>
    <w:rsid w:val="0006619A"/>
    <w:rsid w:val="0006675E"/>
    <w:rsid w:val="00067E0B"/>
    <w:rsid w:val="000719A5"/>
    <w:rsid w:val="000748A0"/>
    <w:rsid w:val="00075DC0"/>
    <w:rsid w:val="00080B76"/>
    <w:rsid w:val="00080CDD"/>
    <w:rsid w:val="00081592"/>
    <w:rsid w:val="000816BD"/>
    <w:rsid w:val="00081C17"/>
    <w:rsid w:val="00082162"/>
    <w:rsid w:val="0008285A"/>
    <w:rsid w:val="00083369"/>
    <w:rsid w:val="00085FE9"/>
    <w:rsid w:val="00086071"/>
    <w:rsid w:val="0009246D"/>
    <w:rsid w:val="0009256F"/>
    <w:rsid w:val="00097CDF"/>
    <w:rsid w:val="000A2E1C"/>
    <w:rsid w:val="000A6D08"/>
    <w:rsid w:val="000B1B44"/>
    <w:rsid w:val="000B237D"/>
    <w:rsid w:val="000B40F3"/>
    <w:rsid w:val="000C3BB5"/>
    <w:rsid w:val="000C6C8B"/>
    <w:rsid w:val="000D6EB3"/>
    <w:rsid w:val="000D719C"/>
    <w:rsid w:val="000E0533"/>
    <w:rsid w:val="000E188E"/>
    <w:rsid w:val="000E55FB"/>
    <w:rsid w:val="000E7E22"/>
    <w:rsid w:val="000F4768"/>
    <w:rsid w:val="000F4DDB"/>
    <w:rsid w:val="000F7203"/>
    <w:rsid w:val="000F78B3"/>
    <w:rsid w:val="001002FF"/>
    <w:rsid w:val="00100664"/>
    <w:rsid w:val="001026BE"/>
    <w:rsid w:val="00104894"/>
    <w:rsid w:val="00104EE2"/>
    <w:rsid w:val="001056F8"/>
    <w:rsid w:val="00105E15"/>
    <w:rsid w:val="00105EA4"/>
    <w:rsid w:val="00110568"/>
    <w:rsid w:val="00110D3A"/>
    <w:rsid w:val="0011378C"/>
    <w:rsid w:val="00113F97"/>
    <w:rsid w:val="00115326"/>
    <w:rsid w:val="0012374E"/>
    <w:rsid w:val="00123F7E"/>
    <w:rsid w:val="00131529"/>
    <w:rsid w:val="0013238B"/>
    <w:rsid w:val="00134711"/>
    <w:rsid w:val="00134935"/>
    <w:rsid w:val="00136102"/>
    <w:rsid w:val="0013649D"/>
    <w:rsid w:val="00143B1A"/>
    <w:rsid w:val="0014529C"/>
    <w:rsid w:val="0015046B"/>
    <w:rsid w:val="001524A3"/>
    <w:rsid w:val="0015561D"/>
    <w:rsid w:val="001579AB"/>
    <w:rsid w:val="00160284"/>
    <w:rsid w:val="00161B3D"/>
    <w:rsid w:val="0016592F"/>
    <w:rsid w:val="001659AA"/>
    <w:rsid w:val="00165CBD"/>
    <w:rsid w:val="00166CA5"/>
    <w:rsid w:val="00167255"/>
    <w:rsid w:val="0017022A"/>
    <w:rsid w:val="001766F9"/>
    <w:rsid w:val="00182096"/>
    <w:rsid w:val="0018253D"/>
    <w:rsid w:val="00183FEA"/>
    <w:rsid w:val="00185B54"/>
    <w:rsid w:val="00185D28"/>
    <w:rsid w:val="0019010A"/>
    <w:rsid w:val="00192400"/>
    <w:rsid w:val="00193754"/>
    <w:rsid w:val="001A033E"/>
    <w:rsid w:val="001A071C"/>
    <w:rsid w:val="001A1993"/>
    <w:rsid w:val="001A2943"/>
    <w:rsid w:val="001A6261"/>
    <w:rsid w:val="001A6DDA"/>
    <w:rsid w:val="001A73F8"/>
    <w:rsid w:val="001B2807"/>
    <w:rsid w:val="001B5075"/>
    <w:rsid w:val="001B5CB6"/>
    <w:rsid w:val="001B64AC"/>
    <w:rsid w:val="001C18CF"/>
    <w:rsid w:val="001C20FE"/>
    <w:rsid w:val="001C4F30"/>
    <w:rsid w:val="001C6221"/>
    <w:rsid w:val="001C6842"/>
    <w:rsid w:val="001C6D83"/>
    <w:rsid w:val="001D11E8"/>
    <w:rsid w:val="001D69B3"/>
    <w:rsid w:val="001E116E"/>
    <w:rsid w:val="001E12CF"/>
    <w:rsid w:val="001E2B66"/>
    <w:rsid w:val="001E441E"/>
    <w:rsid w:val="001E5FF2"/>
    <w:rsid w:val="001E653E"/>
    <w:rsid w:val="001F65B3"/>
    <w:rsid w:val="001F65D5"/>
    <w:rsid w:val="001F6CF5"/>
    <w:rsid w:val="001F7EF6"/>
    <w:rsid w:val="00200519"/>
    <w:rsid w:val="0020169B"/>
    <w:rsid w:val="00202C6D"/>
    <w:rsid w:val="00203E48"/>
    <w:rsid w:val="0020573A"/>
    <w:rsid w:val="00207581"/>
    <w:rsid w:val="00211338"/>
    <w:rsid w:val="00215B28"/>
    <w:rsid w:val="00216228"/>
    <w:rsid w:val="00220D02"/>
    <w:rsid w:val="00225B52"/>
    <w:rsid w:val="00230818"/>
    <w:rsid w:val="00231994"/>
    <w:rsid w:val="00232596"/>
    <w:rsid w:val="00232FAE"/>
    <w:rsid w:val="0023308D"/>
    <w:rsid w:val="00237FCC"/>
    <w:rsid w:val="00243536"/>
    <w:rsid w:val="00255764"/>
    <w:rsid w:val="002565A1"/>
    <w:rsid w:val="002571D5"/>
    <w:rsid w:val="00257562"/>
    <w:rsid w:val="00257884"/>
    <w:rsid w:val="0026233A"/>
    <w:rsid w:val="00265773"/>
    <w:rsid w:val="00265C91"/>
    <w:rsid w:val="00265E4E"/>
    <w:rsid w:val="0027043E"/>
    <w:rsid w:val="00272866"/>
    <w:rsid w:val="00273C68"/>
    <w:rsid w:val="00274D0A"/>
    <w:rsid w:val="002806AA"/>
    <w:rsid w:val="0028078A"/>
    <w:rsid w:val="00282456"/>
    <w:rsid w:val="00282FBC"/>
    <w:rsid w:val="00283B06"/>
    <w:rsid w:val="00284D3E"/>
    <w:rsid w:val="00286B3B"/>
    <w:rsid w:val="00290F6F"/>
    <w:rsid w:val="002A05D9"/>
    <w:rsid w:val="002A3541"/>
    <w:rsid w:val="002A3623"/>
    <w:rsid w:val="002A364B"/>
    <w:rsid w:val="002A3D8C"/>
    <w:rsid w:val="002A4894"/>
    <w:rsid w:val="002B0438"/>
    <w:rsid w:val="002B0B65"/>
    <w:rsid w:val="002B2FB7"/>
    <w:rsid w:val="002B58F5"/>
    <w:rsid w:val="002B70C4"/>
    <w:rsid w:val="002C6A49"/>
    <w:rsid w:val="002D2062"/>
    <w:rsid w:val="002D41F6"/>
    <w:rsid w:val="002D4B35"/>
    <w:rsid w:val="002E0808"/>
    <w:rsid w:val="002E09D4"/>
    <w:rsid w:val="002E0A07"/>
    <w:rsid w:val="002E1EDB"/>
    <w:rsid w:val="002E31EE"/>
    <w:rsid w:val="002E3B10"/>
    <w:rsid w:val="002E4E3E"/>
    <w:rsid w:val="002E524A"/>
    <w:rsid w:val="002E558B"/>
    <w:rsid w:val="002E6FCC"/>
    <w:rsid w:val="002F0EB7"/>
    <w:rsid w:val="002F11B4"/>
    <w:rsid w:val="002F2691"/>
    <w:rsid w:val="002F27AC"/>
    <w:rsid w:val="002F335A"/>
    <w:rsid w:val="002F37FA"/>
    <w:rsid w:val="002F53C8"/>
    <w:rsid w:val="002F577C"/>
    <w:rsid w:val="002F58A0"/>
    <w:rsid w:val="002F6710"/>
    <w:rsid w:val="00304613"/>
    <w:rsid w:val="00306011"/>
    <w:rsid w:val="00306797"/>
    <w:rsid w:val="003118C0"/>
    <w:rsid w:val="00313AB1"/>
    <w:rsid w:val="00315268"/>
    <w:rsid w:val="00320986"/>
    <w:rsid w:val="00320989"/>
    <w:rsid w:val="00321055"/>
    <w:rsid w:val="00322E7B"/>
    <w:rsid w:val="00323A23"/>
    <w:rsid w:val="00323C8D"/>
    <w:rsid w:val="00326D93"/>
    <w:rsid w:val="00327059"/>
    <w:rsid w:val="00332421"/>
    <w:rsid w:val="00332534"/>
    <w:rsid w:val="00332785"/>
    <w:rsid w:val="0033582A"/>
    <w:rsid w:val="003366DA"/>
    <w:rsid w:val="0033741E"/>
    <w:rsid w:val="003407B7"/>
    <w:rsid w:val="00341FD0"/>
    <w:rsid w:val="0034392B"/>
    <w:rsid w:val="00344E00"/>
    <w:rsid w:val="00345E65"/>
    <w:rsid w:val="00346ECA"/>
    <w:rsid w:val="00347944"/>
    <w:rsid w:val="00352423"/>
    <w:rsid w:val="00354A10"/>
    <w:rsid w:val="00355638"/>
    <w:rsid w:val="00355A56"/>
    <w:rsid w:val="003563D2"/>
    <w:rsid w:val="00357EB2"/>
    <w:rsid w:val="00366C04"/>
    <w:rsid w:val="00370210"/>
    <w:rsid w:val="003774D6"/>
    <w:rsid w:val="00382463"/>
    <w:rsid w:val="00393704"/>
    <w:rsid w:val="0039512E"/>
    <w:rsid w:val="00395A11"/>
    <w:rsid w:val="003A0CA4"/>
    <w:rsid w:val="003A4F77"/>
    <w:rsid w:val="003B2CC9"/>
    <w:rsid w:val="003B3349"/>
    <w:rsid w:val="003B390E"/>
    <w:rsid w:val="003B64CB"/>
    <w:rsid w:val="003B6DA1"/>
    <w:rsid w:val="003B6ECA"/>
    <w:rsid w:val="003B6FC5"/>
    <w:rsid w:val="003C0A90"/>
    <w:rsid w:val="003C15F6"/>
    <w:rsid w:val="003C240D"/>
    <w:rsid w:val="003C309A"/>
    <w:rsid w:val="003C4A99"/>
    <w:rsid w:val="003D31F1"/>
    <w:rsid w:val="003D4548"/>
    <w:rsid w:val="003E26AB"/>
    <w:rsid w:val="003E331B"/>
    <w:rsid w:val="003E3D4A"/>
    <w:rsid w:val="003E5A89"/>
    <w:rsid w:val="003E7B79"/>
    <w:rsid w:val="003F5299"/>
    <w:rsid w:val="003F74E5"/>
    <w:rsid w:val="004032DB"/>
    <w:rsid w:val="00403EB2"/>
    <w:rsid w:val="004047AA"/>
    <w:rsid w:val="00404945"/>
    <w:rsid w:val="00405201"/>
    <w:rsid w:val="004119A8"/>
    <w:rsid w:val="00417106"/>
    <w:rsid w:val="00425E51"/>
    <w:rsid w:val="0042612F"/>
    <w:rsid w:val="00431123"/>
    <w:rsid w:val="00437DB1"/>
    <w:rsid w:val="00441000"/>
    <w:rsid w:val="00441F29"/>
    <w:rsid w:val="00441FE3"/>
    <w:rsid w:val="00444A63"/>
    <w:rsid w:val="00450AA6"/>
    <w:rsid w:val="00452512"/>
    <w:rsid w:val="00452CFD"/>
    <w:rsid w:val="00453CE0"/>
    <w:rsid w:val="004544DF"/>
    <w:rsid w:val="00463AB2"/>
    <w:rsid w:val="004750C1"/>
    <w:rsid w:val="004768E8"/>
    <w:rsid w:val="00476A0C"/>
    <w:rsid w:val="00477409"/>
    <w:rsid w:val="0048119B"/>
    <w:rsid w:val="00481C77"/>
    <w:rsid w:val="00485772"/>
    <w:rsid w:val="00485AA9"/>
    <w:rsid w:val="00486080"/>
    <w:rsid w:val="0049319A"/>
    <w:rsid w:val="00494DB3"/>
    <w:rsid w:val="00495A69"/>
    <w:rsid w:val="004966AD"/>
    <w:rsid w:val="004A0A6B"/>
    <w:rsid w:val="004A0F6A"/>
    <w:rsid w:val="004B1DCC"/>
    <w:rsid w:val="004B2530"/>
    <w:rsid w:val="004B389C"/>
    <w:rsid w:val="004B3D01"/>
    <w:rsid w:val="004B5787"/>
    <w:rsid w:val="004B7754"/>
    <w:rsid w:val="004C36AF"/>
    <w:rsid w:val="004C4469"/>
    <w:rsid w:val="004C586B"/>
    <w:rsid w:val="004C6065"/>
    <w:rsid w:val="004C6FFD"/>
    <w:rsid w:val="004C78C5"/>
    <w:rsid w:val="004D4484"/>
    <w:rsid w:val="004D6223"/>
    <w:rsid w:val="004E084D"/>
    <w:rsid w:val="004E2D89"/>
    <w:rsid w:val="004E305C"/>
    <w:rsid w:val="004E3446"/>
    <w:rsid w:val="004E4A23"/>
    <w:rsid w:val="004E6160"/>
    <w:rsid w:val="004E6B90"/>
    <w:rsid w:val="004F0068"/>
    <w:rsid w:val="004F0262"/>
    <w:rsid w:val="004F0BEC"/>
    <w:rsid w:val="004F4AC5"/>
    <w:rsid w:val="004F5686"/>
    <w:rsid w:val="00501A9D"/>
    <w:rsid w:val="005066B5"/>
    <w:rsid w:val="00514AC0"/>
    <w:rsid w:val="00515020"/>
    <w:rsid w:val="00520B78"/>
    <w:rsid w:val="00523B29"/>
    <w:rsid w:val="00523DF2"/>
    <w:rsid w:val="00524D94"/>
    <w:rsid w:val="00530113"/>
    <w:rsid w:val="00534733"/>
    <w:rsid w:val="0053720B"/>
    <w:rsid w:val="005462A1"/>
    <w:rsid w:val="00547B41"/>
    <w:rsid w:val="005514AE"/>
    <w:rsid w:val="00554688"/>
    <w:rsid w:val="00555D7F"/>
    <w:rsid w:val="00556410"/>
    <w:rsid w:val="005616DE"/>
    <w:rsid w:val="00561F97"/>
    <w:rsid w:val="00562F4C"/>
    <w:rsid w:val="0056655B"/>
    <w:rsid w:val="00570881"/>
    <w:rsid w:val="00572116"/>
    <w:rsid w:val="00572C71"/>
    <w:rsid w:val="00574F2F"/>
    <w:rsid w:val="00575B63"/>
    <w:rsid w:val="00576EF7"/>
    <w:rsid w:val="005829FE"/>
    <w:rsid w:val="00582A9B"/>
    <w:rsid w:val="0058530C"/>
    <w:rsid w:val="0058628A"/>
    <w:rsid w:val="00587822"/>
    <w:rsid w:val="005878F6"/>
    <w:rsid w:val="00593EC9"/>
    <w:rsid w:val="00596959"/>
    <w:rsid w:val="005A1B75"/>
    <w:rsid w:val="005A210B"/>
    <w:rsid w:val="005A7E87"/>
    <w:rsid w:val="005B0510"/>
    <w:rsid w:val="005B0804"/>
    <w:rsid w:val="005B09E3"/>
    <w:rsid w:val="005B0F21"/>
    <w:rsid w:val="005B2606"/>
    <w:rsid w:val="005B4BEA"/>
    <w:rsid w:val="005B6674"/>
    <w:rsid w:val="005B670F"/>
    <w:rsid w:val="005C565B"/>
    <w:rsid w:val="005C5B67"/>
    <w:rsid w:val="005C6245"/>
    <w:rsid w:val="005C76B4"/>
    <w:rsid w:val="005D05AB"/>
    <w:rsid w:val="005D0CC4"/>
    <w:rsid w:val="005D36CA"/>
    <w:rsid w:val="005D5313"/>
    <w:rsid w:val="005E2BCD"/>
    <w:rsid w:val="005E325F"/>
    <w:rsid w:val="005E4C90"/>
    <w:rsid w:val="005E5BE4"/>
    <w:rsid w:val="005E661A"/>
    <w:rsid w:val="005F39DB"/>
    <w:rsid w:val="005F55BE"/>
    <w:rsid w:val="00600999"/>
    <w:rsid w:val="00602C02"/>
    <w:rsid w:val="0060360F"/>
    <w:rsid w:val="00606638"/>
    <w:rsid w:val="006066AA"/>
    <w:rsid w:val="006122F2"/>
    <w:rsid w:val="00612A3E"/>
    <w:rsid w:val="00612C7A"/>
    <w:rsid w:val="00613F3F"/>
    <w:rsid w:val="006140DB"/>
    <w:rsid w:val="00625EE0"/>
    <w:rsid w:val="00625FE6"/>
    <w:rsid w:val="00631D35"/>
    <w:rsid w:val="006327B2"/>
    <w:rsid w:val="006331C8"/>
    <w:rsid w:val="00637621"/>
    <w:rsid w:val="00641D3D"/>
    <w:rsid w:val="00645699"/>
    <w:rsid w:val="00646F26"/>
    <w:rsid w:val="006502B2"/>
    <w:rsid w:val="00650A87"/>
    <w:rsid w:val="00654AA1"/>
    <w:rsid w:val="00656721"/>
    <w:rsid w:val="00657AC1"/>
    <w:rsid w:val="00657EB5"/>
    <w:rsid w:val="006605E2"/>
    <w:rsid w:val="006625C0"/>
    <w:rsid w:val="006644A7"/>
    <w:rsid w:val="00666085"/>
    <w:rsid w:val="00667C1A"/>
    <w:rsid w:val="0067098E"/>
    <w:rsid w:val="00671A70"/>
    <w:rsid w:val="00672A6F"/>
    <w:rsid w:val="0067544A"/>
    <w:rsid w:val="0068165D"/>
    <w:rsid w:val="00681D60"/>
    <w:rsid w:val="00682998"/>
    <w:rsid w:val="006842DA"/>
    <w:rsid w:val="006902BF"/>
    <w:rsid w:val="00694BEE"/>
    <w:rsid w:val="006A1ED7"/>
    <w:rsid w:val="006A2412"/>
    <w:rsid w:val="006A2C9D"/>
    <w:rsid w:val="006A3196"/>
    <w:rsid w:val="006B0694"/>
    <w:rsid w:val="006B2C23"/>
    <w:rsid w:val="006B7AA9"/>
    <w:rsid w:val="006B7B17"/>
    <w:rsid w:val="006C2500"/>
    <w:rsid w:val="006C48C7"/>
    <w:rsid w:val="006C6875"/>
    <w:rsid w:val="006C6EB1"/>
    <w:rsid w:val="006C7AE8"/>
    <w:rsid w:val="006D312D"/>
    <w:rsid w:val="006E0BCF"/>
    <w:rsid w:val="006E30C9"/>
    <w:rsid w:val="006E33FC"/>
    <w:rsid w:val="006E3403"/>
    <w:rsid w:val="006E3CA0"/>
    <w:rsid w:val="006E5A90"/>
    <w:rsid w:val="006F53F4"/>
    <w:rsid w:val="006F6B09"/>
    <w:rsid w:val="0070039C"/>
    <w:rsid w:val="00702EB4"/>
    <w:rsid w:val="007033D9"/>
    <w:rsid w:val="00704AD8"/>
    <w:rsid w:val="00705DFD"/>
    <w:rsid w:val="007069A8"/>
    <w:rsid w:val="00707D24"/>
    <w:rsid w:val="00713AE4"/>
    <w:rsid w:val="007156EF"/>
    <w:rsid w:val="00716004"/>
    <w:rsid w:val="007169AF"/>
    <w:rsid w:val="007206CD"/>
    <w:rsid w:val="0072251C"/>
    <w:rsid w:val="00723269"/>
    <w:rsid w:val="00727C74"/>
    <w:rsid w:val="00727EEF"/>
    <w:rsid w:val="00731536"/>
    <w:rsid w:val="00732AF2"/>
    <w:rsid w:val="007331F8"/>
    <w:rsid w:val="00735534"/>
    <w:rsid w:val="007358DE"/>
    <w:rsid w:val="00735E52"/>
    <w:rsid w:val="00736B16"/>
    <w:rsid w:val="007443CA"/>
    <w:rsid w:val="00744650"/>
    <w:rsid w:val="007464AB"/>
    <w:rsid w:val="00747591"/>
    <w:rsid w:val="00750F05"/>
    <w:rsid w:val="007547CF"/>
    <w:rsid w:val="00755DEA"/>
    <w:rsid w:val="00756E80"/>
    <w:rsid w:val="007577B2"/>
    <w:rsid w:val="007628BE"/>
    <w:rsid w:val="00762B2E"/>
    <w:rsid w:val="00766688"/>
    <w:rsid w:val="00770EC7"/>
    <w:rsid w:val="00771A2C"/>
    <w:rsid w:val="00774083"/>
    <w:rsid w:val="007746A7"/>
    <w:rsid w:val="00774FDF"/>
    <w:rsid w:val="007756DF"/>
    <w:rsid w:val="00782F36"/>
    <w:rsid w:val="007869BC"/>
    <w:rsid w:val="00787155"/>
    <w:rsid w:val="00787C77"/>
    <w:rsid w:val="00790644"/>
    <w:rsid w:val="0079161F"/>
    <w:rsid w:val="00795D13"/>
    <w:rsid w:val="007A264F"/>
    <w:rsid w:val="007A4866"/>
    <w:rsid w:val="007B032D"/>
    <w:rsid w:val="007B267F"/>
    <w:rsid w:val="007B4E4D"/>
    <w:rsid w:val="007B5C46"/>
    <w:rsid w:val="007B70CA"/>
    <w:rsid w:val="007B79DB"/>
    <w:rsid w:val="007B7BAC"/>
    <w:rsid w:val="007C23B2"/>
    <w:rsid w:val="007C2552"/>
    <w:rsid w:val="007C4C1D"/>
    <w:rsid w:val="007C58F2"/>
    <w:rsid w:val="007C60C1"/>
    <w:rsid w:val="007C6427"/>
    <w:rsid w:val="007D02E1"/>
    <w:rsid w:val="007D14B6"/>
    <w:rsid w:val="007D266A"/>
    <w:rsid w:val="007D3990"/>
    <w:rsid w:val="007D3B5A"/>
    <w:rsid w:val="007D4781"/>
    <w:rsid w:val="007D5C6F"/>
    <w:rsid w:val="007D6B94"/>
    <w:rsid w:val="007E3082"/>
    <w:rsid w:val="007E331D"/>
    <w:rsid w:val="007E3BE2"/>
    <w:rsid w:val="007E6267"/>
    <w:rsid w:val="007E6585"/>
    <w:rsid w:val="007F0B67"/>
    <w:rsid w:val="007F0FB9"/>
    <w:rsid w:val="007F1A39"/>
    <w:rsid w:val="007F77F4"/>
    <w:rsid w:val="00800665"/>
    <w:rsid w:val="00806CD3"/>
    <w:rsid w:val="008074BE"/>
    <w:rsid w:val="00807593"/>
    <w:rsid w:val="00811963"/>
    <w:rsid w:val="0081272A"/>
    <w:rsid w:val="008132AD"/>
    <w:rsid w:val="0081429E"/>
    <w:rsid w:val="008148FD"/>
    <w:rsid w:val="008214F3"/>
    <w:rsid w:val="00821ABA"/>
    <w:rsid w:val="0082240E"/>
    <w:rsid w:val="00823535"/>
    <w:rsid w:val="00825797"/>
    <w:rsid w:val="0082718D"/>
    <w:rsid w:val="0083349A"/>
    <w:rsid w:val="008334C8"/>
    <w:rsid w:val="00835997"/>
    <w:rsid w:val="00835F4D"/>
    <w:rsid w:val="008426CA"/>
    <w:rsid w:val="00843E81"/>
    <w:rsid w:val="00845462"/>
    <w:rsid w:val="00851937"/>
    <w:rsid w:val="00856ABB"/>
    <w:rsid w:val="008608E0"/>
    <w:rsid w:val="00864ABF"/>
    <w:rsid w:val="00866274"/>
    <w:rsid w:val="00866366"/>
    <w:rsid w:val="00867B04"/>
    <w:rsid w:val="0087160D"/>
    <w:rsid w:val="00873AFD"/>
    <w:rsid w:val="00873C36"/>
    <w:rsid w:val="0087409D"/>
    <w:rsid w:val="00876067"/>
    <w:rsid w:val="00884332"/>
    <w:rsid w:val="00886912"/>
    <w:rsid w:val="008901AA"/>
    <w:rsid w:val="00890255"/>
    <w:rsid w:val="00890F12"/>
    <w:rsid w:val="0089179C"/>
    <w:rsid w:val="00895E0F"/>
    <w:rsid w:val="00896575"/>
    <w:rsid w:val="008967F5"/>
    <w:rsid w:val="008A05D0"/>
    <w:rsid w:val="008A0C1C"/>
    <w:rsid w:val="008A6D88"/>
    <w:rsid w:val="008A7D5D"/>
    <w:rsid w:val="008B19BD"/>
    <w:rsid w:val="008B4407"/>
    <w:rsid w:val="008B544A"/>
    <w:rsid w:val="008B77D5"/>
    <w:rsid w:val="008B77EB"/>
    <w:rsid w:val="008C15AF"/>
    <w:rsid w:val="008C74FA"/>
    <w:rsid w:val="008D5C30"/>
    <w:rsid w:val="008D6BDF"/>
    <w:rsid w:val="008E0DC5"/>
    <w:rsid w:val="008E280C"/>
    <w:rsid w:val="008E4CB2"/>
    <w:rsid w:val="008E5F82"/>
    <w:rsid w:val="008F0135"/>
    <w:rsid w:val="008F4611"/>
    <w:rsid w:val="008F67D5"/>
    <w:rsid w:val="00900C89"/>
    <w:rsid w:val="00900FD7"/>
    <w:rsid w:val="009028D9"/>
    <w:rsid w:val="00903B13"/>
    <w:rsid w:val="00904ACB"/>
    <w:rsid w:val="00905E81"/>
    <w:rsid w:val="00906E3C"/>
    <w:rsid w:val="00910C59"/>
    <w:rsid w:val="00911834"/>
    <w:rsid w:val="00912C72"/>
    <w:rsid w:val="0091479B"/>
    <w:rsid w:val="00916FE8"/>
    <w:rsid w:val="00920270"/>
    <w:rsid w:val="00922194"/>
    <w:rsid w:val="00923FC3"/>
    <w:rsid w:val="009258F7"/>
    <w:rsid w:val="009263CA"/>
    <w:rsid w:val="00926737"/>
    <w:rsid w:val="009278CB"/>
    <w:rsid w:val="00930F92"/>
    <w:rsid w:val="0093392C"/>
    <w:rsid w:val="00935F8E"/>
    <w:rsid w:val="00936308"/>
    <w:rsid w:val="00940BCB"/>
    <w:rsid w:val="00941FC7"/>
    <w:rsid w:val="00942E2B"/>
    <w:rsid w:val="0094308D"/>
    <w:rsid w:val="00945D12"/>
    <w:rsid w:val="00951AB6"/>
    <w:rsid w:val="00952B4D"/>
    <w:rsid w:val="009531A0"/>
    <w:rsid w:val="009533B4"/>
    <w:rsid w:val="00953F37"/>
    <w:rsid w:val="00957CB2"/>
    <w:rsid w:val="00957DF9"/>
    <w:rsid w:val="0096155D"/>
    <w:rsid w:val="0096570B"/>
    <w:rsid w:val="0096678C"/>
    <w:rsid w:val="00970D2E"/>
    <w:rsid w:val="0097327C"/>
    <w:rsid w:val="009736C0"/>
    <w:rsid w:val="0097668F"/>
    <w:rsid w:val="00976954"/>
    <w:rsid w:val="0098096C"/>
    <w:rsid w:val="00980AA0"/>
    <w:rsid w:val="00981A92"/>
    <w:rsid w:val="009827C6"/>
    <w:rsid w:val="009832EB"/>
    <w:rsid w:val="00984ECE"/>
    <w:rsid w:val="00985E78"/>
    <w:rsid w:val="0098794B"/>
    <w:rsid w:val="009905D6"/>
    <w:rsid w:val="009966AF"/>
    <w:rsid w:val="0099674A"/>
    <w:rsid w:val="009A03DB"/>
    <w:rsid w:val="009A1DDC"/>
    <w:rsid w:val="009A45C7"/>
    <w:rsid w:val="009A6B84"/>
    <w:rsid w:val="009A7F76"/>
    <w:rsid w:val="009B2FB5"/>
    <w:rsid w:val="009B304C"/>
    <w:rsid w:val="009B33B9"/>
    <w:rsid w:val="009B4B8B"/>
    <w:rsid w:val="009B4F57"/>
    <w:rsid w:val="009B7ED9"/>
    <w:rsid w:val="009C32D0"/>
    <w:rsid w:val="009C5BA0"/>
    <w:rsid w:val="009C74A1"/>
    <w:rsid w:val="009D460D"/>
    <w:rsid w:val="009D5847"/>
    <w:rsid w:val="009D5865"/>
    <w:rsid w:val="009E05CD"/>
    <w:rsid w:val="009E1A72"/>
    <w:rsid w:val="009E4F85"/>
    <w:rsid w:val="009E511B"/>
    <w:rsid w:val="009E51C9"/>
    <w:rsid w:val="009F1EFE"/>
    <w:rsid w:val="009F2CE4"/>
    <w:rsid w:val="009F42E1"/>
    <w:rsid w:val="009F49EA"/>
    <w:rsid w:val="009F5659"/>
    <w:rsid w:val="009F66B1"/>
    <w:rsid w:val="00A02887"/>
    <w:rsid w:val="00A02E57"/>
    <w:rsid w:val="00A041CA"/>
    <w:rsid w:val="00A057C4"/>
    <w:rsid w:val="00A05A4D"/>
    <w:rsid w:val="00A05AB4"/>
    <w:rsid w:val="00A070D7"/>
    <w:rsid w:val="00A073B4"/>
    <w:rsid w:val="00A12E09"/>
    <w:rsid w:val="00A1747F"/>
    <w:rsid w:val="00A23DE3"/>
    <w:rsid w:val="00A25EB2"/>
    <w:rsid w:val="00A265E3"/>
    <w:rsid w:val="00A30AC2"/>
    <w:rsid w:val="00A37446"/>
    <w:rsid w:val="00A403AD"/>
    <w:rsid w:val="00A40E60"/>
    <w:rsid w:val="00A45588"/>
    <w:rsid w:val="00A4607A"/>
    <w:rsid w:val="00A46F14"/>
    <w:rsid w:val="00A529FA"/>
    <w:rsid w:val="00A52B09"/>
    <w:rsid w:val="00A53F9D"/>
    <w:rsid w:val="00A54730"/>
    <w:rsid w:val="00A54BD1"/>
    <w:rsid w:val="00A56096"/>
    <w:rsid w:val="00A56440"/>
    <w:rsid w:val="00A62A90"/>
    <w:rsid w:val="00A62E0B"/>
    <w:rsid w:val="00A63491"/>
    <w:rsid w:val="00A6553E"/>
    <w:rsid w:val="00A7029E"/>
    <w:rsid w:val="00A72488"/>
    <w:rsid w:val="00A7294C"/>
    <w:rsid w:val="00A74B98"/>
    <w:rsid w:val="00A75239"/>
    <w:rsid w:val="00A7623D"/>
    <w:rsid w:val="00A820F1"/>
    <w:rsid w:val="00A84DD3"/>
    <w:rsid w:val="00A84F93"/>
    <w:rsid w:val="00A8763D"/>
    <w:rsid w:val="00A961F0"/>
    <w:rsid w:val="00A96DB9"/>
    <w:rsid w:val="00A9783D"/>
    <w:rsid w:val="00AA3077"/>
    <w:rsid w:val="00AA36BB"/>
    <w:rsid w:val="00AA6564"/>
    <w:rsid w:val="00AA6FCA"/>
    <w:rsid w:val="00AB067D"/>
    <w:rsid w:val="00AB2387"/>
    <w:rsid w:val="00AB3439"/>
    <w:rsid w:val="00AB346C"/>
    <w:rsid w:val="00AB37B5"/>
    <w:rsid w:val="00AB5A78"/>
    <w:rsid w:val="00AB671E"/>
    <w:rsid w:val="00AC333C"/>
    <w:rsid w:val="00AC37E0"/>
    <w:rsid w:val="00AC65C5"/>
    <w:rsid w:val="00AC7D27"/>
    <w:rsid w:val="00AD035C"/>
    <w:rsid w:val="00AD1EB6"/>
    <w:rsid w:val="00AD2EC9"/>
    <w:rsid w:val="00AD64A4"/>
    <w:rsid w:val="00AD6B3B"/>
    <w:rsid w:val="00AE018F"/>
    <w:rsid w:val="00AE0B67"/>
    <w:rsid w:val="00AE187B"/>
    <w:rsid w:val="00AE26F5"/>
    <w:rsid w:val="00AE33F8"/>
    <w:rsid w:val="00AE3537"/>
    <w:rsid w:val="00AE3F49"/>
    <w:rsid w:val="00AF6044"/>
    <w:rsid w:val="00B00B27"/>
    <w:rsid w:val="00B012D9"/>
    <w:rsid w:val="00B0184D"/>
    <w:rsid w:val="00B02B0A"/>
    <w:rsid w:val="00B046E5"/>
    <w:rsid w:val="00B046EA"/>
    <w:rsid w:val="00B04D6D"/>
    <w:rsid w:val="00B123A6"/>
    <w:rsid w:val="00B12D7F"/>
    <w:rsid w:val="00B14DDB"/>
    <w:rsid w:val="00B14E7A"/>
    <w:rsid w:val="00B154B8"/>
    <w:rsid w:val="00B17054"/>
    <w:rsid w:val="00B201CC"/>
    <w:rsid w:val="00B220F3"/>
    <w:rsid w:val="00B2296C"/>
    <w:rsid w:val="00B26B8D"/>
    <w:rsid w:val="00B27007"/>
    <w:rsid w:val="00B302AD"/>
    <w:rsid w:val="00B308C0"/>
    <w:rsid w:val="00B331E0"/>
    <w:rsid w:val="00B344A6"/>
    <w:rsid w:val="00B35F7A"/>
    <w:rsid w:val="00B36DD4"/>
    <w:rsid w:val="00B412B4"/>
    <w:rsid w:val="00B44A64"/>
    <w:rsid w:val="00B45A77"/>
    <w:rsid w:val="00B461D5"/>
    <w:rsid w:val="00B51698"/>
    <w:rsid w:val="00B51D71"/>
    <w:rsid w:val="00B53C2C"/>
    <w:rsid w:val="00B5440A"/>
    <w:rsid w:val="00B60C31"/>
    <w:rsid w:val="00B6146B"/>
    <w:rsid w:val="00B62C42"/>
    <w:rsid w:val="00B64733"/>
    <w:rsid w:val="00B64CA2"/>
    <w:rsid w:val="00B64DE3"/>
    <w:rsid w:val="00B6681F"/>
    <w:rsid w:val="00B749AA"/>
    <w:rsid w:val="00B75F3E"/>
    <w:rsid w:val="00B777B1"/>
    <w:rsid w:val="00B820A7"/>
    <w:rsid w:val="00B84521"/>
    <w:rsid w:val="00B848E4"/>
    <w:rsid w:val="00B87A2E"/>
    <w:rsid w:val="00B91EC7"/>
    <w:rsid w:val="00B961F7"/>
    <w:rsid w:val="00B97C9F"/>
    <w:rsid w:val="00BA0180"/>
    <w:rsid w:val="00BA1457"/>
    <w:rsid w:val="00BA3009"/>
    <w:rsid w:val="00BA576C"/>
    <w:rsid w:val="00BA6559"/>
    <w:rsid w:val="00BB080A"/>
    <w:rsid w:val="00BB37B9"/>
    <w:rsid w:val="00BB3C67"/>
    <w:rsid w:val="00BB3D08"/>
    <w:rsid w:val="00BB7EC3"/>
    <w:rsid w:val="00BC07E0"/>
    <w:rsid w:val="00BC5A68"/>
    <w:rsid w:val="00BC6962"/>
    <w:rsid w:val="00BC7AE6"/>
    <w:rsid w:val="00BE1951"/>
    <w:rsid w:val="00BE2960"/>
    <w:rsid w:val="00BE4A26"/>
    <w:rsid w:val="00BE76AB"/>
    <w:rsid w:val="00C01CF5"/>
    <w:rsid w:val="00C021AC"/>
    <w:rsid w:val="00C02581"/>
    <w:rsid w:val="00C0288A"/>
    <w:rsid w:val="00C03E04"/>
    <w:rsid w:val="00C0560F"/>
    <w:rsid w:val="00C0602F"/>
    <w:rsid w:val="00C073F3"/>
    <w:rsid w:val="00C11339"/>
    <w:rsid w:val="00C161F8"/>
    <w:rsid w:val="00C16A4A"/>
    <w:rsid w:val="00C200DD"/>
    <w:rsid w:val="00C23624"/>
    <w:rsid w:val="00C26F58"/>
    <w:rsid w:val="00C3252E"/>
    <w:rsid w:val="00C34EE6"/>
    <w:rsid w:val="00C373AB"/>
    <w:rsid w:val="00C37980"/>
    <w:rsid w:val="00C40B1F"/>
    <w:rsid w:val="00C4149E"/>
    <w:rsid w:val="00C45D23"/>
    <w:rsid w:val="00C46D98"/>
    <w:rsid w:val="00C47727"/>
    <w:rsid w:val="00C50747"/>
    <w:rsid w:val="00C522B3"/>
    <w:rsid w:val="00C55047"/>
    <w:rsid w:val="00C57455"/>
    <w:rsid w:val="00C6051B"/>
    <w:rsid w:val="00C61B6B"/>
    <w:rsid w:val="00C62EFC"/>
    <w:rsid w:val="00C6503F"/>
    <w:rsid w:val="00C662E9"/>
    <w:rsid w:val="00C67E4A"/>
    <w:rsid w:val="00C71CFC"/>
    <w:rsid w:val="00C72800"/>
    <w:rsid w:val="00C72A49"/>
    <w:rsid w:val="00C74028"/>
    <w:rsid w:val="00C742E6"/>
    <w:rsid w:val="00C75E37"/>
    <w:rsid w:val="00C818D1"/>
    <w:rsid w:val="00C81A70"/>
    <w:rsid w:val="00C849C1"/>
    <w:rsid w:val="00C90C4E"/>
    <w:rsid w:val="00C93A6F"/>
    <w:rsid w:val="00C96485"/>
    <w:rsid w:val="00C96BBC"/>
    <w:rsid w:val="00CA03C6"/>
    <w:rsid w:val="00CA1CB4"/>
    <w:rsid w:val="00CA2306"/>
    <w:rsid w:val="00CA2BE4"/>
    <w:rsid w:val="00CA3640"/>
    <w:rsid w:val="00CA5EBC"/>
    <w:rsid w:val="00CA69F1"/>
    <w:rsid w:val="00CA7799"/>
    <w:rsid w:val="00CB0FC2"/>
    <w:rsid w:val="00CB1845"/>
    <w:rsid w:val="00CB1FBD"/>
    <w:rsid w:val="00CB2350"/>
    <w:rsid w:val="00CB30FB"/>
    <w:rsid w:val="00CB5F9B"/>
    <w:rsid w:val="00CB6E5F"/>
    <w:rsid w:val="00CB74DA"/>
    <w:rsid w:val="00CC7C0D"/>
    <w:rsid w:val="00CD31B6"/>
    <w:rsid w:val="00CD50AB"/>
    <w:rsid w:val="00CD7729"/>
    <w:rsid w:val="00CE11E4"/>
    <w:rsid w:val="00CE43C1"/>
    <w:rsid w:val="00CE4E66"/>
    <w:rsid w:val="00CF042D"/>
    <w:rsid w:val="00CF2D0C"/>
    <w:rsid w:val="00CF3955"/>
    <w:rsid w:val="00D02605"/>
    <w:rsid w:val="00D12711"/>
    <w:rsid w:val="00D13214"/>
    <w:rsid w:val="00D1662F"/>
    <w:rsid w:val="00D17D03"/>
    <w:rsid w:val="00D204B7"/>
    <w:rsid w:val="00D2050E"/>
    <w:rsid w:val="00D27AC5"/>
    <w:rsid w:val="00D36C3E"/>
    <w:rsid w:val="00D37293"/>
    <w:rsid w:val="00D41C78"/>
    <w:rsid w:val="00D45B02"/>
    <w:rsid w:val="00D4635A"/>
    <w:rsid w:val="00D467EB"/>
    <w:rsid w:val="00D473EA"/>
    <w:rsid w:val="00D50B1A"/>
    <w:rsid w:val="00D512DE"/>
    <w:rsid w:val="00D523DA"/>
    <w:rsid w:val="00D535AE"/>
    <w:rsid w:val="00D56264"/>
    <w:rsid w:val="00D56566"/>
    <w:rsid w:val="00D57367"/>
    <w:rsid w:val="00D57A3A"/>
    <w:rsid w:val="00D61A37"/>
    <w:rsid w:val="00D64782"/>
    <w:rsid w:val="00D6604A"/>
    <w:rsid w:val="00D67278"/>
    <w:rsid w:val="00D67B8D"/>
    <w:rsid w:val="00D74196"/>
    <w:rsid w:val="00D7566D"/>
    <w:rsid w:val="00D76E20"/>
    <w:rsid w:val="00D76EF0"/>
    <w:rsid w:val="00D8125F"/>
    <w:rsid w:val="00D86D5E"/>
    <w:rsid w:val="00D90453"/>
    <w:rsid w:val="00D91117"/>
    <w:rsid w:val="00D91E2D"/>
    <w:rsid w:val="00D922B1"/>
    <w:rsid w:val="00D923CC"/>
    <w:rsid w:val="00DA29D8"/>
    <w:rsid w:val="00DA5F08"/>
    <w:rsid w:val="00DB055B"/>
    <w:rsid w:val="00DB150C"/>
    <w:rsid w:val="00DB22A5"/>
    <w:rsid w:val="00DB544B"/>
    <w:rsid w:val="00DB60D6"/>
    <w:rsid w:val="00DB7370"/>
    <w:rsid w:val="00DC139D"/>
    <w:rsid w:val="00DC1B9F"/>
    <w:rsid w:val="00DC2C8A"/>
    <w:rsid w:val="00DC4666"/>
    <w:rsid w:val="00DC4D2A"/>
    <w:rsid w:val="00DC571F"/>
    <w:rsid w:val="00DC6A1F"/>
    <w:rsid w:val="00DC71F3"/>
    <w:rsid w:val="00DD2477"/>
    <w:rsid w:val="00DD3F5E"/>
    <w:rsid w:val="00DD459B"/>
    <w:rsid w:val="00DD55DA"/>
    <w:rsid w:val="00DD5ADB"/>
    <w:rsid w:val="00DE019F"/>
    <w:rsid w:val="00DE0399"/>
    <w:rsid w:val="00DE0786"/>
    <w:rsid w:val="00DE271E"/>
    <w:rsid w:val="00DE569D"/>
    <w:rsid w:val="00DE6571"/>
    <w:rsid w:val="00DE7784"/>
    <w:rsid w:val="00DF0410"/>
    <w:rsid w:val="00DF39D8"/>
    <w:rsid w:val="00DF419A"/>
    <w:rsid w:val="00DF7F7A"/>
    <w:rsid w:val="00E01FDA"/>
    <w:rsid w:val="00E03C5A"/>
    <w:rsid w:val="00E04B7F"/>
    <w:rsid w:val="00E0531A"/>
    <w:rsid w:val="00E10342"/>
    <w:rsid w:val="00E117F3"/>
    <w:rsid w:val="00E13F41"/>
    <w:rsid w:val="00E154A0"/>
    <w:rsid w:val="00E15729"/>
    <w:rsid w:val="00E179CF"/>
    <w:rsid w:val="00E202A8"/>
    <w:rsid w:val="00E229C2"/>
    <w:rsid w:val="00E232D1"/>
    <w:rsid w:val="00E2459C"/>
    <w:rsid w:val="00E24C1A"/>
    <w:rsid w:val="00E255B3"/>
    <w:rsid w:val="00E2653F"/>
    <w:rsid w:val="00E32C35"/>
    <w:rsid w:val="00E369CE"/>
    <w:rsid w:val="00E405FB"/>
    <w:rsid w:val="00E417D3"/>
    <w:rsid w:val="00E41948"/>
    <w:rsid w:val="00E43A8C"/>
    <w:rsid w:val="00E45331"/>
    <w:rsid w:val="00E45A2F"/>
    <w:rsid w:val="00E46978"/>
    <w:rsid w:val="00E46DA5"/>
    <w:rsid w:val="00E46E90"/>
    <w:rsid w:val="00E50A52"/>
    <w:rsid w:val="00E50CAC"/>
    <w:rsid w:val="00E564DA"/>
    <w:rsid w:val="00E574F6"/>
    <w:rsid w:val="00E608F3"/>
    <w:rsid w:val="00E60D6A"/>
    <w:rsid w:val="00E60FEA"/>
    <w:rsid w:val="00E63E82"/>
    <w:rsid w:val="00E65FAA"/>
    <w:rsid w:val="00E673A2"/>
    <w:rsid w:val="00E75276"/>
    <w:rsid w:val="00E75460"/>
    <w:rsid w:val="00E777DA"/>
    <w:rsid w:val="00E7794D"/>
    <w:rsid w:val="00E77BC6"/>
    <w:rsid w:val="00E77DE7"/>
    <w:rsid w:val="00E83E68"/>
    <w:rsid w:val="00E84A3B"/>
    <w:rsid w:val="00E868ED"/>
    <w:rsid w:val="00E903F8"/>
    <w:rsid w:val="00E913BA"/>
    <w:rsid w:val="00E94F30"/>
    <w:rsid w:val="00E95B86"/>
    <w:rsid w:val="00E95F76"/>
    <w:rsid w:val="00EA4749"/>
    <w:rsid w:val="00EA7FE0"/>
    <w:rsid w:val="00EB362B"/>
    <w:rsid w:val="00EB483F"/>
    <w:rsid w:val="00EB56CD"/>
    <w:rsid w:val="00EC1538"/>
    <w:rsid w:val="00EC22AC"/>
    <w:rsid w:val="00EC2B26"/>
    <w:rsid w:val="00EC5BB8"/>
    <w:rsid w:val="00EC5F29"/>
    <w:rsid w:val="00ED1508"/>
    <w:rsid w:val="00ED324B"/>
    <w:rsid w:val="00EE171A"/>
    <w:rsid w:val="00EE2F00"/>
    <w:rsid w:val="00EE7052"/>
    <w:rsid w:val="00EF0BFF"/>
    <w:rsid w:val="00EF1911"/>
    <w:rsid w:val="00EF225C"/>
    <w:rsid w:val="00EF2790"/>
    <w:rsid w:val="00EF5E12"/>
    <w:rsid w:val="00EF6431"/>
    <w:rsid w:val="00EF661D"/>
    <w:rsid w:val="00EF748B"/>
    <w:rsid w:val="00F01066"/>
    <w:rsid w:val="00F051B9"/>
    <w:rsid w:val="00F13454"/>
    <w:rsid w:val="00F15E89"/>
    <w:rsid w:val="00F16D36"/>
    <w:rsid w:val="00F17FBE"/>
    <w:rsid w:val="00F2236C"/>
    <w:rsid w:val="00F2704F"/>
    <w:rsid w:val="00F2742F"/>
    <w:rsid w:val="00F31123"/>
    <w:rsid w:val="00F32E45"/>
    <w:rsid w:val="00F34A3F"/>
    <w:rsid w:val="00F3686B"/>
    <w:rsid w:val="00F36D40"/>
    <w:rsid w:val="00F37E9A"/>
    <w:rsid w:val="00F40E3D"/>
    <w:rsid w:val="00F4275D"/>
    <w:rsid w:val="00F448BC"/>
    <w:rsid w:val="00F450E2"/>
    <w:rsid w:val="00F459B3"/>
    <w:rsid w:val="00F469C0"/>
    <w:rsid w:val="00F51365"/>
    <w:rsid w:val="00F54707"/>
    <w:rsid w:val="00F56713"/>
    <w:rsid w:val="00F57317"/>
    <w:rsid w:val="00F615EE"/>
    <w:rsid w:val="00F625D4"/>
    <w:rsid w:val="00F62C19"/>
    <w:rsid w:val="00F63035"/>
    <w:rsid w:val="00F63953"/>
    <w:rsid w:val="00F64C0F"/>
    <w:rsid w:val="00F6596B"/>
    <w:rsid w:val="00F65E15"/>
    <w:rsid w:val="00F7261E"/>
    <w:rsid w:val="00F74E91"/>
    <w:rsid w:val="00F76CC9"/>
    <w:rsid w:val="00F77F91"/>
    <w:rsid w:val="00F80390"/>
    <w:rsid w:val="00F8262B"/>
    <w:rsid w:val="00F83DB4"/>
    <w:rsid w:val="00F84804"/>
    <w:rsid w:val="00F90174"/>
    <w:rsid w:val="00F92D39"/>
    <w:rsid w:val="00F92EBD"/>
    <w:rsid w:val="00F94A51"/>
    <w:rsid w:val="00F95414"/>
    <w:rsid w:val="00FA1BE4"/>
    <w:rsid w:val="00FA5456"/>
    <w:rsid w:val="00FA5B2A"/>
    <w:rsid w:val="00FA68D9"/>
    <w:rsid w:val="00FA6FB3"/>
    <w:rsid w:val="00FB2B20"/>
    <w:rsid w:val="00FB4EDC"/>
    <w:rsid w:val="00FC2702"/>
    <w:rsid w:val="00FC2BEC"/>
    <w:rsid w:val="00FC4451"/>
    <w:rsid w:val="00FC58B3"/>
    <w:rsid w:val="00FC65BB"/>
    <w:rsid w:val="00FD08CC"/>
    <w:rsid w:val="00FD12DC"/>
    <w:rsid w:val="00FD65AE"/>
    <w:rsid w:val="00FE0520"/>
    <w:rsid w:val="00FE33E1"/>
    <w:rsid w:val="00FE6ADA"/>
    <w:rsid w:val="00FF2C58"/>
    <w:rsid w:val="00FF34D1"/>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link w:val="FooterChar"/>
    <w:uiPriority w:val="99"/>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link w:val="FootnoteTextChar"/>
    <w:pPr>
      <w:ind w:left="567" w:hanging="567"/>
    </w:pPr>
    <w:rPr>
      <w:rFonts w:eastAsia="Times New Roman"/>
      <w:sz w:val="20"/>
      <w:szCs w:val="20"/>
      <w:lang w:eastAsia="en-US"/>
    </w:rPr>
  </w:style>
  <w:style w:type="paragraph" w:styleId="Header">
    <w:name w:val="header"/>
    <w:basedOn w:val="Normal"/>
    <w:link w:val="HeaderCh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link w:val="ListParagraphChar"/>
    <w:uiPriority w:val="34"/>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styleId="UnresolvedMention">
    <w:name w:val="Unresolved Mention"/>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semiHidden/>
    <w:unhideWhenUsed/>
    <w:rsid w:val="00134935"/>
    <w:rPr>
      <w:color w:val="800080" w:themeColor="followedHyperlink"/>
      <w:u w:val="single"/>
    </w:rPr>
  </w:style>
  <w:style w:type="paragraph" w:styleId="Revision">
    <w:name w:val="Revision"/>
    <w:hidden/>
    <w:uiPriority w:val="99"/>
    <w:semiHidden/>
    <w:rsid w:val="00547B41"/>
    <w:rPr>
      <w:snapToGrid w:val="0"/>
      <w:sz w:val="24"/>
      <w:szCs w:val="24"/>
      <w:lang w:val="en-GB"/>
    </w:rPr>
  </w:style>
  <w:style w:type="paragraph" w:customStyle="1" w:styleId="Style1">
    <w:name w:val="Style1"/>
    <w:basedOn w:val="ListParagraph"/>
    <w:link w:val="Style1Char"/>
    <w:qFormat/>
    <w:rsid w:val="00115326"/>
    <w:pPr>
      <w:numPr>
        <w:numId w:val="23"/>
      </w:numPr>
      <w:tabs>
        <w:tab w:val="clear" w:pos="567"/>
        <w:tab w:val="left" w:pos="709"/>
      </w:tabs>
      <w:snapToGrid/>
      <w:spacing w:after="240"/>
      <w:contextualSpacing w:val="0"/>
      <w:jc w:val="both"/>
    </w:pPr>
    <w:rPr>
      <w:rFonts w:ascii="Arial" w:eastAsia="Times New Roman" w:hAnsi="Arial" w:cs="Arial"/>
      <w:bCs/>
      <w:sz w:val="22"/>
      <w:szCs w:val="22"/>
      <w:lang w:eastAsia="en-US"/>
    </w:rPr>
  </w:style>
  <w:style w:type="character" w:customStyle="1" w:styleId="ListParagraphChar">
    <w:name w:val="List Paragraph Char"/>
    <w:basedOn w:val="DefaultParagraphFont"/>
    <w:link w:val="ListParagraph"/>
    <w:uiPriority w:val="34"/>
    <w:rsid w:val="00115326"/>
    <w:rPr>
      <w:snapToGrid w:val="0"/>
      <w:sz w:val="24"/>
      <w:szCs w:val="24"/>
      <w:lang w:val="en-GB"/>
    </w:rPr>
  </w:style>
  <w:style w:type="character" w:customStyle="1" w:styleId="Style1Char">
    <w:name w:val="Style1 Char"/>
    <w:basedOn w:val="ListParagraphChar"/>
    <w:link w:val="Style1"/>
    <w:rsid w:val="00115326"/>
    <w:rPr>
      <w:rFonts w:ascii="Arial" w:eastAsia="Times New Roman" w:hAnsi="Arial" w:cs="Arial"/>
      <w:bCs/>
      <w:snapToGrid w:val="0"/>
      <w:sz w:val="22"/>
      <w:szCs w:val="22"/>
      <w:lang w:val="en-GB" w:eastAsia="en-US"/>
    </w:rPr>
  </w:style>
  <w:style w:type="character" w:customStyle="1" w:styleId="FooterChar">
    <w:name w:val="Footer Char"/>
    <w:basedOn w:val="DefaultParagraphFont"/>
    <w:link w:val="Footer"/>
    <w:uiPriority w:val="99"/>
    <w:rsid w:val="00D41C78"/>
    <w:rPr>
      <w:rFonts w:eastAsia="Times New Roman"/>
      <w:snapToGrid w:val="0"/>
      <w:sz w:val="24"/>
      <w:szCs w:val="24"/>
      <w:lang w:eastAsia="en-US"/>
    </w:rPr>
  </w:style>
  <w:style w:type="paragraph" w:styleId="BodyText">
    <w:name w:val="Body Text"/>
    <w:basedOn w:val="Normal"/>
    <w:link w:val="BodyTextChar"/>
    <w:rsid w:val="00025564"/>
    <w:pPr>
      <w:tabs>
        <w:tab w:val="clear" w:pos="567"/>
      </w:tabs>
      <w:snapToGrid/>
      <w:spacing w:before="120"/>
      <w:jc w:val="both"/>
    </w:pPr>
    <w:rPr>
      <w:rFonts w:asciiTheme="minorHAnsi" w:eastAsia="Times New Roman" w:hAnsiTheme="minorHAnsi"/>
      <w:snapToGrid/>
      <w:szCs w:val="20"/>
      <w:lang w:eastAsia="fr-FR"/>
    </w:rPr>
  </w:style>
  <w:style w:type="character" w:customStyle="1" w:styleId="BodyTextChar">
    <w:name w:val="Body Text Char"/>
    <w:basedOn w:val="DefaultParagraphFont"/>
    <w:link w:val="BodyText"/>
    <w:rsid w:val="00025564"/>
    <w:rPr>
      <w:rFonts w:asciiTheme="minorHAnsi" w:eastAsia="Times New Roman" w:hAnsiTheme="minorHAnsi"/>
      <w:sz w:val="24"/>
      <w:lang w:val="en-GB" w:eastAsia="fr-FR"/>
    </w:rPr>
  </w:style>
  <w:style w:type="paragraph" w:customStyle="1" w:styleId="Point">
    <w:name w:val="Point"/>
    <w:basedOn w:val="Normal"/>
    <w:rsid w:val="00025564"/>
    <w:pPr>
      <w:numPr>
        <w:numId w:val="28"/>
      </w:numPr>
      <w:tabs>
        <w:tab w:val="clear" w:pos="567"/>
      </w:tabs>
      <w:snapToGrid/>
      <w:spacing w:before="80"/>
      <w:ind w:left="426" w:hanging="283"/>
      <w:jc w:val="both"/>
      <w:outlineLvl w:val="0"/>
    </w:pPr>
    <w:rPr>
      <w:rFonts w:asciiTheme="minorHAnsi" w:eastAsia="Times New Roman" w:hAnsiTheme="minorHAnsi"/>
      <w:snapToGrid/>
      <w:szCs w:val="20"/>
      <w:lang w:eastAsia="fr-FR"/>
    </w:rPr>
  </w:style>
  <w:style w:type="paragraph" w:customStyle="1" w:styleId="Titrealign">
    <w:name w:val="Titre aligné"/>
    <w:basedOn w:val="BodyText"/>
    <w:rsid w:val="00025564"/>
    <w:pPr>
      <w:spacing w:before="360"/>
      <w:jc w:val="left"/>
    </w:pPr>
    <w:rPr>
      <w:b/>
      <w:lang w:val="en-US"/>
    </w:rPr>
  </w:style>
  <w:style w:type="paragraph" w:customStyle="1" w:styleId="Titrecentr">
    <w:name w:val="Titre centré"/>
    <w:basedOn w:val="BodyText"/>
    <w:rsid w:val="00025564"/>
    <w:pPr>
      <w:jc w:val="center"/>
    </w:pPr>
    <w:rPr>
      <w:b/>
      <w:sz w:val="28"/>
    </w:rPr>
  </w:style>
  <w:style w:type="paragraph" w:customStyle="1" w:styleId="Tiret">
    <w:name w:val="Tiret"/>
    <w:basedOn w:val="Point"/>
    <w:rsid w:val="00025564"/>
    <w:pPr>
      <w:numPr>
        <w:numId w:val="29"/>
      </w:numPr>
      <w:tabs>
        <w:tab w:val="clear" w:pos="360"/>
      </w:tabs>
      <w:spacing w:before="0"/>
      <w:ind w:left="851" w:hanging="284"/>
      <w:outlineLvl w:val="1"/>
    </w:pPr>
  </w:style>
  <w:style w:type="character" w:styleId="PageNumber">
    <w:name w:val="page number"/>
    <w:basedOn w:val="DefaultParagraphFont"/>
    <w:rsid w:val="00025564"/>
  </w:style>
  <w:style w:type="character" w:customStyle="1" w:styleId="FootnoteTextChar">
    <w:name w:val="Footnote Text Char"/>
    <w:basedOn w:val="DefaultParagraphFont"/>
    <w:link w:val="FootnoteText"/>
    <w:rsid w:val="00025564"/>
    <w:rPr>
      <w:rFonts w:eastAsia="Times New Roman"/>
      <w:snapToGrid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937">
      <w:bodyDiv w:val="1"/>
      <w:marLeft w:val="0"/>
      <w:marRight w:val="0"/>
      <w:marTop w:val="0"/>
      <w:marBottom w:val="0"/>
      <w:divBdr>
        <w:top w:val="none" w:sz="0" w:space="0" w:color="auto"/>
        <w:left w:val="none" w:sz="0" w:space="0" w:color="auto"/>
        <w:bottom w:val="none" w:sz="0" w:space="0" w:color="auto"/>
        <w:right w:val="none" w:sz="0" w:space="0" w:color="auto"/>
      </w:divBdr>
    </w:div>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498934163">
      <w:bodyDiv w:val="1"/>
      <w:marLeft w:val="0"/>
      <w:marRight w:val="0"/>
      <w:marTop w:val="0"/>
      <w:marBottom w:val="0"/>
      <w:divBdr>
        <w:top w:val="none" w:sz="0" w:space="0" w:color="auto"/>
        <w:left w:val="none" w:sz="0" w:space="0" w:color="auto"/>
        <w:bottom w:val="none" w:sz="0" w:space="0" w:color="auto"/>
        <w:right w:val="none" w:sz="0" w:space="0" w:color="auto"/>
      </w:divBdr>
    </w:div>
    <w:div w:id="508328708">
      <w:bodyDiv w:val="1"/>
      <w:marLeft w:val="0"/>
      <w:marRight w:val="0"/>
      <w:marTop w:val="0"/>
      <w:marBottom w:val="0"/>
      <w:divBdr>
        <w:top w:val="none" w:sz="0" w:space="0" w:color="auto"/>
        <w:left w:val="none" w:sz="0" w:space="0" w:color="auto"/>
        <w:bottom w:val="none" w:sz="0" w:space="0" w:color="auto"/>
        <w:right w:val="none" w:sz="0" w:space="0" w:color="auto"/>
      </w:divBdr>
    </w:div>
    <w:div w:id="648947616">
      <w:bodyDiv w:val="1"/>
      <w:marLeft w:val="0"/>
      <w:marRight w:val="0"/>
      <w:marTop w:val="0"/>
      <w:marBottom w:val="0"/>
      <w:divBdr>
        <w:top w:val="none" w:sz="0" w:space="0" w:color="auto"/>
        <w:left w:val="none" w:sz="0" w:space="0" w:color="auto"/>
        <w:bottom w:val="none" w:sz="0" w:space="0" w:color="auto"/>
        <w:right w:val="none" w:sz="0" w:space="0" w:color="auto"/>
      </w:divBdr>
    </w:div>
    <w:div w:id="668337423">
      <w:bodyDiv w:val="1"/>
      <w:marLeft w:val="0"/>
      <w:marRight w:val="0"/>
      <w:marTop w:val="0"/>
      <w:marBottom w:val="0"/>
      <w:divBdr>
        <w:top w:val="none" w:sz="0" w:space="0" w:color="auto"/>
        <w:left w:val="none" w:sz="0" w:space="0" w:color="auto"/>
        <w:bottom w:val="none" w:sz="0" w:space="0" w:color="auto"/>
        <w:right w:val="none" w:sz="0" w:space="0" w:color="auto"/>
      </w:divBdr>
    </w:div>
    <w:div w:id="751702277">
      <w:bodyDiv w:val="1"/>
      <w:marLeft w:val="0"/>
      <w:marRight w:val="0"/>
      <w:marTop w:val="0"/>
      <w:marBottom w:val="0"/>
      <w:divBdr>
        <w:top w:val="none" w:sz="0" w:space="0" w:color="auto"/>
        <w:left w:val="none" w:sz="0" w:space="0" w:color="auto"/>
        <w:bottom w:val="none" w:sz="0" w:space="0" w:color="auto"/>
        <w:right w:val="none" w:sz="0" w:space="0" w:color="auto"/>
      </w:divBdr>
    </w:div>
    <w:div w:id="792477669">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51532338">
      <w:bodyDiv w:val="1"/>
      <w:marLeft w:val="0"/>
      <w:marRight w:val="0"/>
      <w:marTop w:val="0"/>
      <w:marBottom w:val="0"/>
      <w:divBdr>
        <w:top w:val="none" w:sz="0" w:space="0" w:color="auto"/>
        <w:left w:val="none" w:sz="0" w:space="0" w:color="auto"/>
        <w:bottom w:val="none" w:sz="0" w:space="0" w:color="auto"/>
        <w:right w:val="none" w:sz="0" w:space="0" w:color="auto"/>
      </w:divBdr>
    </w:div>
    <w:div w:id="927496779">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109397507">
      <w:bodyDiv w:val="1"/>
      <w:marLeft w:val="0"/>
      <w:marRight w:val="0"/>
      <w:marTop w:val="0"/>
      <w:marBottom w:val="0"/>
      <w:divBdr>
        <w:top w:val="none" w:sz="0" w:space="0" w:color="auto"/>
        <w:left w:val="none" w:sz="0" w:space="0" w:color="auto"/>
        <w:bottom w:val="none" w:sz="0" w:space="0" w:color="auto"/>
        <w:right w:val="none" w:sz="0" w:space="0" w:color="auto"/>
      </w:divBdr>
    </w:div>
    <w:div w:id="1370836341">
      <w:bodyDiv w:val="1"/>
      <w:marLeft w:val="0"/>
      <w:marRight w:val="0"/>
      <w:marTop w:val="0"/>
      <w:marBottom w:val="0"/>
      <w:divBdr>
        <w:top w:val="none" w:sz="0" w:space="0" w:color="auto"/>
        <w:left w:val="none" w:sz="0" w:space="0" w:color="auto"/>
        <w:bottom w:val="none" w:sz="0" w:space="0" w:color="auto"/>
        <w:right w:val="none" w:sz="0" w:space="0" w:color="auto"/>
      </w:divBdr>
    </w:div>
    <w:div w:id="1724018484">
      <w:bodyDiv w:val="1"/>
      <w:marLeft w:val="0"/>
      <w:marRight w:val="0"/>
      <w:marTop w:val="0"/>
      <w:marBottom w:val="0"/>
      <w:divBdr>
        <w:top w:val="none" w:sz="0" w:space="0" w:color="auto"/>
        <w:left w:val="none" w:sz="0" w:space="0" w:color="auto"/>
        <w:bottom w:val="none" w:sz="0" w:space="0" w:color="auto"/>
        <w:right w:val="none" w:sz="0" w:space="0" w:color="auto"/>
      </w:divBdr>
      <w:divsChild>
        <w:div w:id="488254648">
          <w:marLeft w:val="0"/>
          <w:marRight w:val="0"/>
          <w:marTop w:val="0"/>
          <w:marBottom w:val="0"/>
          <w:divBdr>
            <w:top w:val="none" w:sz="0" w:space="0" w:color="auto"/>
            <w:left w:val="none" w:sz="0" w:space="0" w:color="auto"/>
            <w:bottom w:val="none" w:sz="0" w:space="0" w:color="auto"/>
            <w:right w:val="none" w:sz="0" w:space="0" w:color="auto"/>
          </w:divBdr>
        </w:div>
        <w:div w:id="310137277">
          <w:marLeft w:val="0"/>
          <w:marRight w:val="0"/>
          <w:marTop w:val="0"/>
          <w:marBottom w:val="0"/>
          <w:divBdr>
            <w:top w:val="none" w:sz="0" w:space="0" w:color="auto"/>
            <w:left w:val="none" w:sz="0" w:space="0" w:color="auto"/>
            <w:bottom w:val="none" w:sz="0" w:space="0" w:color="auto"/>
            <w:right w:val="none" w:sz="0" w:space="0" w:color="auto"/>
          </w:divBdr>
        </w:div>
      </w:divsChild>
    </w:div>
    <w:div w:id="17744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9281"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B529-46A8-41D4-826D-401AB0FEEA7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5897</Words>
  <Characters>30666</Characters>
  <Application>Microsoft Office Word</Application>
  <DocSecurity>0</DocSecurity>
  <Lines>255</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36491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3</cp:revision>
  <cp:lastPrinted>2022-05-02T09:16:00Z</cp:lastPrinted>
  <dcterms:created xsi:type="dcterms:W3CDTF">2025-04-29T16:40:00Z</dcterms:created>
  <dcterms:modified xsi:type="dcterms:W3CDTF">2025-05-23T08:17:00Z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