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C6F15" w14:textId="77777777" w:rsidR="00EB3895" w:rsidRDefault="00EB3895" w:rsidP="00EB3895">
      <w:pPr>
        <w:pStyle w:val="Heading1"/>
        <w:spacing w:before="480"/>
        <w:jc w:val="left"/>
      </w:pPr>
    </w:p>
    <w:p w14:paraId="748272EF" w14:textId="435004E9" w:rsidR="00EB3895" w:rsidRPr="00EB3895" w:rsidRDefault="00EB3895" w:rsidP="00EB3895">
      <w:pPr>
        <w:pStyle w:val="Heading1"/>
        <w:spacing w:before="1800" w:after="0"/>
      </w:pPr>
      <w:r w:rsidRPr="00EB3895">
        <w:t xml:space="preserve">COMMISSION OCÉANOGRAPHIQUE </w:t>
      </w:r>
      <w:r w:rsidR="00DA71B9">
        <w:t>I</w:t>
      </w:r>
      <w:r w:rsidRPr="00EB3895">
        <w:t>NTERGOUVERNEMENTALE</w:t>
      </w:r>
    </w:p>
    <w:p w14:paraId="0F1DC779" w14:textId="6A10394E" w:rsidR="00EB3895" w:rsidRPr="00EB3895" w:rsidRDefault="00EB3895" w:rsidP="00EB3895">
      <w:pPr>
        <w:jc w:val="center"/>
        <w:rPr>
          <w:bCs/>
        </w:rPr>
      </w:pPr>
      <w:r w:rsidRPr="00EB3895">
        <w:rPr>
          <w:bCs/>
        </w:rPr>
        <w:t>(de l</w:t>
      </w:r>
      <w:r w:rsidR="005045C4">
        <w:rPr>
          <w:bCs/>
        </w:rPr>
        <w:t>’</w:t>
      </w:r>
      <w:r w:rsidRPr="00EB3895">
        <w:rPr>
          <w:bCs/>
        </w:rPr>
        <w:t>UNESCO)</w:t>
      </w:r>
    </w:p>
    <w:p w14:paraId="5B0D4193" w14:textId="2F2678AA" w:rsidR="00EB3895" w:rsidRPr="00EB3895" w:rsidRDefault="000723F0" w:rsidP="00EB3895">
      <w:pPr>
        <w:spacing w:before="240"/>
        <w:jc w:val="center"/>
        <w:rPr>
          <w:b/>
        </w:rPr>
      </w:pPr>
      <w:r>
        <w:rPr>
          <w:b/>
        </w:rPr>
        <w:t>Trente-</w:t>
      </w:r>
      <w:r w:rsidR="005045C4">
        <w:rPr>
          <w:b/>
        </w:rPr>
        <w:t>trois</w:t>
      </w:r>
      <w:r>
        <w:rPr>
          <w:b/>
        </w:rPr>
        <w:t>i</w:t>
      </w:r>
      <w:r w:rsidR="00EB3895" w:rsidRPr="00EB3895">
        <w:rPr>
          <w:b/>
        </w:rPr>
        <w:t xml:space="preserve">ème session </w:t>
      </w:r>
      <w:r>
        <w:rPr>
          <w:b/>
        </w:rPr>
        <w:t>de l</w:t>
      </w:r>
      <w:r w:rsidR="005045C4">
        <w:rPr>
          <w:b/>
        </w:rPr>
        <w:t>’</w:t>
      </w:r>
      <w:r>
        <w:rPr>
          <w:b/>
        </w:rPr>
        <w:t>Assemblée</w:t>
      </w:r>
      <w:r w:rsidR="00EB3895">
        <w:rPr>
          <w:b/>
        </w:rPr>
        <w:br/>
      </w:r>
      <w:r w:rsidR="00EB3895" w:rsidRPr="00EB3895">
        <w:rPr>
          <w:bCs/>
        </w:rPr>
        <w:t xml:space="preserve">UNESCO, Paris, </w:t>
      </w:r>
      <w:r>
        <w:rPr>
          <w:bCs/>
        </w:rPr>
        <w:t>2</w:t>
      </w:r>
      <w:r w:rsidR="005045C4">
        <w:rPr>
          <w:bCs/>
        </w:rPr>
        <w:t>5 </w:t>
      </w:r>
      <w:r w:rsidR="00EB3895" w:rsidRPr="00EB3895">
        <w:rPr>
          <w:bCs/>
        </w:rPr>
        <w:t>juin</w:t>
      </w:r>
      <w:r w:rsidR="005045C4">
        <w:rPr>
          <w:bCs/>
        </w:rPr>
        <w:t xml:space="preserve"> – 3 juillet</w:t>
      </w:r>
      <w:r w:rsidR="00EB3895" w:rsidRPr="00EB3895">
        <w:rPr>
          <w:bCs/>
        </w:rPr>
        <w:t xml:space="preserve"> 202</w:t>
      </w:r>
      <w:r w:rsidR="005045C4">
        <w:rPr>
          <w:bCs/>
        </w:rPr>
        <w:t>5</w:t>
      </w:r>
    </w:p>
    <w:p w14:paraId="607D1C93" w14:textId="0A50A55F" w:rsidR="00EB3895" w:rsidRDefault="005C7D01" w:rsidP="005C7D01">
      <w:pPr>
        <w:pStyle w:val="Heading1"/>
        <w:spacing w:before="360" w:after="360"/>
        <w:jc w:val="left"/>
        <w:rPr>
          <w:rFonts w:cs="Arial"/>
          <w:b w:val="0"/>
          <w:bCs w:val="0"/>
          <w:u w:val="single"/>
        </w:rPr>
      </w:pPr>
      <w:r w:rsidRPr="005C7D01">
        <w:rPr>
          <w:rFonts w:cs="Arial"/>
          <w:b w:val="0"/>
          <w:bCs w:val="0"/>
          <w:u w:val="single"/>
        </w:rPr>
        <w:t>Points</w:t>
      </w:r>
      <w:r w:rsidR="005045C4">
        <w:rPr>
          <w:rFonts w:cs="Arial"/>
          <w:b w:val="0"/>
          <w:bCs w:val="0"/>
          <w:u w:val="single"/>
        </w:rPr>
        <w:t> </w:t>
      </w:r>
      <w:r w:rsidR="00F7634F">
        <w:rPr>
          <w:rFonts w:cs="Arial"/>
          <w:u w:val="single"/>
        </w:rPr>
        <w:t>3.</w:t>
      </w:r>
      <w:r w:rsidR="00536CDD">
        <w:rPr>
          <w:rFonts w:cs="Arial"/>
          <w:u w:val="single"/>
        </w:rPr>
        <w:t>2</w:t>
      </w:r>
      <w:r w:rsidRPr="005C7D01">
        <w:rPr>
          <w:rFonts w:cs="Arial"/>
          <w:b w:val="0"/>
          <w:bCs w:val="0"/>
          <w:u w:val="single"/>
        </w:rPr>
        <w:t xml:space="preserve"> </w:t>
      </w:r>
      <w:r w:rsidR="00536CDD">
        <w:rPr>
          <w:rFonts w:cs="Arial"/>
          <w:b w:val="0"/>
          <w:bCs w:val="0"/>
          <w:u w:val="single"/>
        </w:rPr>
        <w:t xml:space="preserve">et </w:t>
      </w:r>
      <w:r w:rsidR="00536CDD">
        <w:rPr>
          <w:rFonts w:cs="Arial"/>
          <w:u w:val="single"/>
        </w:rPr>
        <w:t xml:space="preserve">5.4 </w:t>
      </w:r>
      <w:r w:rsidRPr="005C7D01">
        <w:rPr>
          <w:rFonts w:cs="Arial"/>
          <w:b w:val="0"/>
          <w:bCs w:val="0"/>
          <w:u w:val="single"/>
        </w:rPr>
        <w:t>de l</w:t>
      </w:r>
      <w:r w:rsidR="005045C4">
        <w:rPr>
          <w:rFonts w:cs="Arial"/>
          <w:b w:val="0"/>
          <w:bCs w:val="0"/>
          <w:u w:val="single"/>
        </w:rPr>
        <w:t>’</w:t>
      </w:r>
      <w:r w:rsidRPr="005C7D01">
        <w:rPr>
          <w:rFonts w:cs="Arial"/>
          <w:b w:val="0"/>
          <w:bCs w:val="0"/>
          <w:u w:val="single"/>
        </w:rPr>
        <w:t>ordre d</w:t>
      </w:r>
      <w:r>
        <w:rPr>
          <w:rFonts w:cs="Arial"/>
          <w:b w:val="0"/>
          <w:bCs w:val="0"/>
          <w:u w:val="single"/>
        </w:rPr>
        <w:t>u jour provisoire</w:t>
      </w:r>
    </w:p>
    <w:p w14:paraId="3A7A8BD7" w14:textId="46A49730" w:rsidR="005C7D01" w:rsidRDefault="00E2490F" w:rsidP="00CB6571">
      <w:pPr>
        <w:tabs>
          <w:tab w:val="left" w:pos="-1440"/>
          <w:tab w:val="left" w:pos="-720"/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523"/>
          <w:tab w:val="left" w:pos="6480"/>
        </w:tabs>
        <w:spacing w:before="480" w:after="360"/>
        <w:jc w:val="center"/>
        <w:rPr>
          <w:rFonts w:cs="Arial"/>
          <w:b/>
          <w:bCs/>
          <w:caps/>
        </w:rPr>
      </w:pPr>
      <w:r w:rsidRPr="00E2490F">
        <w:rPr>
          <w:rFonts w:cs="Arial"/>
          <w:b/>
          <w:bCs/>
          <w:caps/>
        </w:rPr>
        <w:t xml:space="preserve">RAPPORT SUR L’EXÉCUTION DU BUDGET 2024-2025 (42 C/5) </w:t>
      </w:r>
      <w:r w:rsidRPr="00E2490F">
        <w:rPr>
          <w:rFonts w:cs="Arial"/>
          <w:b/>
          <w:bCs/>
          <w:caps/>
        </w:rPr>
        <w:br/>
        <w:t>AU 31 DÉCEMBRE 2024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363"/>
      </w:tblGrid>
      <w:tr w:rsidR="005C7D01" w14:paraId="1A94C8A9" w14:textId="77777777" w:rsidTr="00461AB7">
        <w:trPr>
          <w:jc w:val="center"/>
        </w:trPr>
        <w:tc>
          <w:tcPr>
            <w:tcW w:w="8363" w:type="dxa"/>
          </w:tcPr>
          <w:p w14:paraId="1FD6FF16" w14:textId="77777777" w:rsidR="005C7D01" w:rsidRDefault="005C7D01" w:rsidP="0054673E">
            <w:pPr>
              <w:spacing w:before="240" w:after="240"/>
              <w:jc w:val="center"/>
              <w:rPr>
                <w:rFonts w:eastAsia="Times New Roman" w:cs="Arial"/>
                <w:b/>
                <w:bCs/>
                <w:szCs w:val="22"/>
                <w:u w:val="single"/>
                <w:lang w:eastAsia="en-US"/>
              </w:rPr>
            </w:pPr>
            <w:r w:rsidRPr="005C7D01">
              <w:rPr>
                <w:rFonts w:eastAsia="Times New Roman" w:cs="Arial"/>
                <w:b/>
                <w:bCs/>
                <w:szCs w:val="22"/>
                <w:u w:val="single"/>
                <w:lang w:eastAsia="en-US"/>
              </w:rPr>
              <w:t>Résumé</w:t>
            </w:r>
          </w:p>
          <w:p w14:paraId="0ED62264" w14:textId="77777777" w:rsidR="00E2490F" w:rsidRPr="00E2490F" w:rsidRDefault="00E2490F" w:rsidP="00E2490F">
            <w:pPr>
              <w:spacing w:after="240"/>
              <w:ind w:left="283" w:right="283"/>
              <w:jc w:val="both"/>
              <w:rPr>
                <w:lang w:val="en-GB"/>
              </w:rPr>
            </w:pPr>
            <w:r w:rsidRPr="00E2490F">
              <w:t>Le présent rapport donne un aperçu de l’exécution du budget 2024-2025 au 31 décembre 2024, dont des informations actualisées sur les contributions volontaires mobilisées, l’écart de financement comblé par fonction et la dotation en effectifs.</w:t>
            </w:r>
          </w:p>
          <w:p w14:paraId="47F2030F" w14:textId="77777777" w:rsidR="00E2490F" w:rsidRPr="00E2490F" w:rsidRDefault="00E2490F" w:rsidP="00E2490F">
            <w:pPr>
              <w:spacing w:after="240"/>
              <w:ind w:left="283" w:right="283"/>
              <w:jc w:val="both"/>
              <w:rPr>
                <w:lang w:val="en-GB"/>
              </w:rPr>
            </w:pPr>
            <w:r w:rsidRPr="00E2490F">
              <w:t>Les contributions volontaires comprennent :</w:t>
            </w:r>
          </w:p>
          <w:p w14:paraId="2A6C4126" w14:textId="77777777" w:rsidR="00E2490F" w:rsidRPr="00E2490F" w:rsidRDefault="00E2490F" w:rsidP="0054673E">
            <w:pPr>
              <w:numPr>
                <w:ilvl w:val="0"/>
                <w:numId w:val="38"/>
              </w:numPr>
              <w:spacing w:after="120"/>
              <w:ind w:left="884" w:right="283" w:hanging="284"/>
              <w:jc w:val="both"/>
              <w:rPr>
                <w:lang w:val="en-GB"/>
              </w:rPr>
            </w:pPr>
            <w:r w:rsidRPr="00E2490F">
              <w:t>les contributions en espèces versées au Compte spécial de la COI ;</w:t>
            </w:r>
          </w:p>
          <w:p w14:paraId="160C1B76" w14:textId="77777777" w:rsidR="00E2490F" w:rsidRPr="00E2490F" w:rsidRDefault="00E2490F" w:rsidP="0054673E">
            <w:pPr>
              <w:numPr>
                <w:ilvl w:val="0"/>
                <w:numId w:val="38"/>
              </w:numPr>
              <w:spacing w:after="120"/>
              <w:ind w:left="884" w:right="283" w:hanging="284"/>
              <w:jc w:val="both"/>
              <w:rPr>
                <w:lang w:val="en-GB"/>
              </w:rPr>
            </w:pPr>
            <w:r w:rsidRPr="00E2490F">
              <w:t>les contributions en espèces affectées à des projets/fonds-en-dépôt précis ;</w:t>
            </w:r>
          </w:p>
          <w:p w14:paraId="69862A5F" w14:textId="77777777" w:rsidR="00E2490F" w:rsidRPr="00E2490F" w:rsidRDefault="00E2490F" w:rsidP="0054673E">
            <w:pPr>
              <w:numPr>
                <w:ilvl w:val="0"/>
                <w:numId w:val="38"/>
              </w:numPr>
              <w:spacing w:after="120"/>
              <w:ind w:left="884" w:right="283" w:hanging="284"/>
              <w:jc w:val="both"/>
              <w:rPr>
                <w:spacing w:val="-2"/>
                <w:lang w:val="en-GB"/>
              </w:rPr>
            </w:pPr>
            <w:r w:rsidRPr="00E2490F">
              <w:rPr>
                <w:spacing w:val="-2"/>
              </w:rPr>
              <w:t>les contributions en espèces additionnelles visant à renforcer directement un article budgétaire déjà établi au titre du Programme ordinaire ;</w:t>
            </w:r>
          </w:p>
          <w:p w14:paraId="5B147AAB" w14:textId="77777777" w:rsidR="00E2490F" w:rsidRPr="00E2490F" w:rsidRDefault="00E2490F" w:rsidP="00CB6571">
            <w:pPr>
              <w:numPr>
                <w:ilvl w:val="0"/>
                <w:numId w:val="38"/>
              </w:numPr>
              <w:spacing w:after="240"/>
              <w:ind w:left="884" w:right="283" w:hanging="284"/>
              <w:jc w:val="both"/>
              <w:rPr>
                <w:lang w:val="en-GB"/>
              </w:rPr>
            </w:pPr>
            <w:r w:rsidRPr="00E2490F">
              <w:t>les contributions en nature.</w:t>
            </w:r>
          </w:p>
          <w:p w14:paraId="3BB2CB23" w14:textId="77777777" w:rsidR="00E2490F" w:rsidRPr="00E2490F" w:rsidRDefault="00E2490F" w:rsidP="00E2490F">
            <w:pPr>
              <w:spacing w:after="240"/>
              <w:ind w:left="283" w:right="283"/>
              <w:jc w:val="both"/>
              <w:rPr>
                <w:lang w:val="en-GB"/>
              </w:rPr>
            </w:pPr>
            <w:r w:rsidRPr="00E2490F">
              <w:t>Toutes les informations financières contenues dans le présent document sont conformes au rapport officiel présenté au Conseil exécutif de l’UNESCO à sa 221</w:t>
            </w:r>
            <w:r w:rsidRPr="00E2490F">
              <w:rPr>
                <w:vertAlign w:val="superscript"/>
              </w:rPr>
              <w:t>e</w:t>
            </w:r>
            <w:r w:rsidRPr="00E2490F">
              <w:t xml:space="preserve"> session. Dans le présent document, la devise de référence est le dollar des États-Unis. Toutes les dépenses engagées sont indiquées au taux de change opérationnel de l’Organisation des Nations Unies (UNORE). </w:t>
            </w:r>
          </w:p>
          <w:p w14:paraId="60C2571C" w14:textId="5527CF76" w:rsidR="00F7634F" w:rsidRPr="003864FF" w:rsidRDefault="00E2490F" w:rsidP="00E2490F">
            <w:pPr>
              <w:spacing w:after="240"/>
              <w:ind w:left="283" w:right="283"/>
              <w:jc w:val="both"/>
              <w:rPr>
                <w:rFonts w:eastAsia="Times New Roman" w:cs="Arial"/>
                <w:szCs w:val="22"/>
                <w:lang w:eastAsia="en-US"/>
              </w:rPr>
            </w:pPr>
            <w:r w:rsidRPr="00E2490F">
              <w:rPr>
                <w:u w:val="single"/>
              </w:rPr>
              <w:t>Décision proposée</w:t>
            </w:r>
            <w:r w:rsidRPr="00E2490F">
              <w:t> : Le présent document fait partie du rapport du Secrétaire exécutif de la COI à l’Assemblée. Il sera examiné plus avant par le Comité financier, organe statutaire à composition non limitée établi pour la durée de la session, et la décision sera intégrée dans le projet de résolution que ce dernier soumettra à l’Assemblée pour adoption au titre du point 5.4, conformément au paragraphe 15 des Directives révisées pour la préparation et l’examen des projets de résolution (IOC/INF-1315).</w:t>
            </w:r>
          </w:p>
        </w:tc>
      </w:tr>
    </w:tbl>
    <w:p w14:paraId="28A7702B" w14:textId="77777777" w:rsidR="005C7D01" w:rsidRDefault="005C7D01" w:rsidP="00B2519D">
      <w:pPr>
        <w:spacing w:after="240"/>
        <w:rPr>
          <w:rFonts w:eastAsia="Times New Roman" w:cs="Arial"/>
          <w:b/>
          <w:bCs/>
          <w:szCs w:val="22"/>
          <w:lang w:eastAsia="en-US"/>
        </w:rPr>
        <w:sectPr w:rsidR="005C7D01" w:rsidSect="000723F0">
          <w:headerReference w:type="even" r:id="rId8"/>
          <w:headerReference w:type="default" r:id="rId9"/>
          <w:headerReference w:type="first" r:id="rId10"/>
          <w:pgSz w:w="11906" w:h="16838" w:code="9"/>
          <w:pgMar w:top="1418" w:right="1134" w:bottom="1134" w:left="1134" w:header="851" w:footer="680" w:gutter="0"/>
          <w:pgNumType w:start="1"/>
          <w:cols w:space="708"/>
          <w:titlePg/>
          <w:docGrid w:linePitch="360"/>
        </w:sectPr>
      </w:pPr>
    </w:p>
    <w:p w14:paraId="1A561A2E" w14:textId="77777777" w:rsidR="00E2490F" w:rsidRPr="00E2490F" w:rsidRDefault="00E2490F" w:rsidP="00E2490F">
      <w:pPr>
        <w:pBdr>
          <w:bottom w:val="single" w:sz="4" w:space="1" w:color="auto"/>
        </w:pBdr>
        <w:tabs>
          <w:tab w:val="clear" w:pos="567"/>
          <w:tab w:val="left" w:pos="0"/>
        </w:tabs>
        <w:jc w:val="center"/>
        <w:rPr>
          <w:rFonts w:eastAsia="PMingLiU"/>
          <w:b/>
          <w:szCs w:val="22"/>
          <w:lang w:val="en-GB" w:eastAsia="en-US"/>
        </w:rPr>
      </w:pPr>
      <w:r w:rsidRPr="00E2490F">
        <w:rPr>
          <w:rFonts w:eastAsia="PMingLiU"/>
          <w:b/>
          <w:bCs/>
          <w:lang w:eastAsia="en-US"/>
        </w:rPr>
        <w:lastRenderedPageBreak/>
        <w:t>APERÇU DE L’EXÉCUTION DU BUDGET</w:t>
      </w:r>
    </w:p>
    <w:p w14:paraId="7437090F" w14:textId="77777777" w:rsidR="00E2490F" w:rsidRPr="00E2490F" w:rsidRDefault="00E2490F" w:rsidP="00E2490F">
      <w:pPr>
        <w:tabs>
          <w:tab w:val="clear" w:pos="567"/>
          <w:tab w:val="left" w:pos="0"/>
        </w:tabs>
        <w:jc w:val="center"/>
        <w:rPr>
          <w:rFonts w:eastAsia="PMingLiU"/>
          <w:b/>
          <w:szCs w:val="22"/>
          <w:lang w:val="en-GB"/>
        </w:rPr>
      </w:pPr>
    </w:p>
    <w:p w14:paraId="7E63870C" w14:textId="77777777" w:rsidR="00E2490F" w:rsidRPr="00E2490F" w:rsidRDefault="00E2490F" w:rsidP="00E2490F">
      <w:pPr>
        <w:numPr>
          <w:ilvl w:val="0"/>
          <w:numId w:val="39"/>
        </w:numPr>
        <w:tabs>
          <w:tab w:val="clear" w:pos="567"/>
          <w:tab w:val="left" w:pos="0"/>
        </w:tabs>
        <w:spacing w:after="240"/>
        <w:ind w:left="0" w:firstLine="0"/>
        <w:jc w:val="both"/>
        <w:rPr>
          <w:rFonts w:eastAsia="PMingLiU"/>
          <w:b/>
          <w:szCs w:val="22"/>
          <w:lang w:val="en-GB" w:eastAsia="en-US"/>
        </w:rPr>
      </w:pPr>
      <w:r w:rsidRPr="00E2490F">
        <w:rPr>
          <w:rFonts w:eastAsia="PMingLiU"/>
          <w:lang w:eastAsia="en-US"/>
        </w:rPr>
        <w:t>Conformément aux décisions des États membres de l’UNESCO, le budget 2024-2025 est fondé sur un cadre budgétaire intégré, qui permet une plus grande transparence des ressources et aide à les aligner sur les priorités désignées collectivement.</w:t>
      </w:r>
    </w:p>
    <w:p w14:paraId="4B40C847" w14:textId="4A5B63DC" w:rsidR="00E2490F" w:rsidRPr="00E2490F" w:rsidRDefault="00E2490F" w:rsidP="00E2490F">
      <w:pPr>
        <w:numPr>
          <w:ilvl w:val="0"/>
          <w:numId w:val="39"/>
        </w:numPr>
        <w:tabs>
          <w:tab w:val="clear" w:pos="567"/>
          <w:tab w:val="left" w:pos="0"/>
          <w:tab w:val="left" w:pos="709"/>
        </w:tabs>
        <w:spacing w:after="240"/>
        <w:ind w:left="0" w:firstLine="0"/>
        <w:jc w:val="both"/>
        <w:rPr>
          <w:rFonts w:eastAsia="Times New Roman"/>
          <w:iCs/>
          <w:szCs w:val="22"/>
          <w:lang w:val="en-GB" w:eastAsia="en-US"/>
        </w:rPr>
      </w:pPr>
      <w:r w:rsidRPr="00E2490F">
        <w:rPr>
          <w:rFonts w:eastAsia="PMingLiU"/>
          <w:lang w:eastAsia="en-US"/>
        </w:rPr>
        <w:t>À la suite de l’approbation du Programme et budget de l’Organisation pour 2024-2025 par la Conférence générale de l’UNESCO à sa 42</w:t>
      </w:r>
      <w:r w:rsidRPr="00E2490F">
        <w:rPr>
          <w:rFonts w:eastAsia="PMingLiU"/>
          <w:vertAlign w:val="superscript"/>
          <w:lang w:eastAsia="en-US"/>
        </w:rPr>
        <w:t>e</w:t>
      </w:r>
      <w:r w:rsidRPr="00E2490F">
        <w:rPr>
          <w:rFonts w:eastAsia="PMingLiU"/>
          <w:lang w:eastAsia="en-US"/>
        </w:rPr>
        <w:t> session, le budget de fonctionnement effectif de la Commission a été établi conformément au budget intégré total de 40 290 850 dollars des États</w:t>
      </w:r>
      <w:r w:rsidR="0054673E">
        <w:rPr>
          <w:rFonts w:eastAsia="PMingLiU"/>
          <w:lang w:eastAsia="en-US"/>
        </w:rPr>
        <w:noBreakHyphen/>
      </w:r>
      <w:r w:rsidRPr="00E2490F">
        <w:rPr>
          <w:rFonts w:eastAsia="PMingLiU"/>
          <w:lang w:eastAsia="en-US"/>
        </w:rPr>
        <w:t>Unis</w:t>
      </w:r>
      <w:r w:rsidRPr="00E2490F">
        <w:rPr>
          <w:rFonts w:eastAsia="Times New Roman"/>
          <w:iCs/>
          <w:szCs w:val="22"/>
          <w:vertAlign w:val="superscript"/>
          <w:lang w:eastAsia="en-US"/>
        </w:rPr>
        <w:footnoteReference w:id="1"/>
      </w:r>
      <w:r w:rsidRPr="00E2490F">
        <w:rPr>
          <w:rFonts w:eastAsia="PMingLiU"/>
          <w:lang w:eastAsia="en-US"/>
        </w:rPr>
        <w:t>, sur la base d’une allocation au titre du budget ordinaire de 21 134 686 dollars pour la COI</w:t>
      </w:r>
      <w:r w:rsidRPr="00E2490F">
        <w:rPr>
          <w:rFonts w:eastAsia="Times New Roman"/>
          <w:iCs/>
          <w:szCs w:val="22"/>
          <w:vertAlign w:val="superscript"/>
          <w:lang w:eastAsia="en-US"/>
        </w:rPr>
        <w:footnoteReference w:id="2"/>
      </w:r>
      <w:r w:rsidRPr="00E2490F">
        <w:rPr>
          <w:rFonts w:eastAsia="PMingLiU"/>
          <w:lang w:eastAsia="en-US"/>
        </w:rPr>
        <w:t>, à laquelle s’ajoutent les contributions volontaires prévues, d’un montant de 27 156 164 dollars (dont celles déjà obtenues au moment de l’adoption du budget, d’un montant de 7 853 603 dollars, et un objectif de ressources à mobiliser et utiliser au cours de l’exercice biennal (écart de financement) d’un montant de 19 302 561 dollars).</w:t>
      </w:r>
    </w:p>
    <w:p w14:paraId="0F399B1D" w14:textId="32F64762" w:rsidR="00E2490F" w:rsidRDefault="00E2490F" w:rsidP="009B516F">
      <w:pPr>
        <w:spacing w:before="120"/>
        <w:ind w:left="720" w:hanging="720"/>
        <w:contextualSpacing/>
        <w:rPr>
          <w:rFonts w:eastAsia="PMingLiU"/>
          <w:strike/>
          <w:color w:val="FF0000"/>
          <w:sz w:val="40"/>
          <w:szCs w:val="40"/>
          <w:lang w:eastAsia="en-US"/>
        </w:rPr>
      </w:pPr>
      <w:bookmarkStart w:id="2" w:name="table_1"/>
      <w:r w:rsidRPr="00E2490F">
        <w:rPr>
          <w:rFonts w:eastAsia="PMingLiU"/>
          <w:u w:val="single"/>
          <w:lang w:eastAsia="en-US"/>
        </w:rPr>
        <w:t>Tableau 1</w:t>
      </w:r>
      <w:r w:rsidRPr="00E2490F">
        <w:rPr>
          <w:rFonts w:eastAsia="PMingLiU"/>
          <w:lang w:eastAsia="en-US"/>
        </w:rPr>
        <w:t>. Cadre budgétaire intégré de la COI pour 2024-2025, par fonction</w:t>
      </w:r>
      <w:bookmarkEnd w:id="2"/>
      <w:r w:rsidRPr="00E2490F">
        <w:rPr>
          <w:rFonts w:eastAsia="PMingLiU"/>
          <w:lang w:eastAsia="en-US"/>
        </w:rPr>
        <w:t xml:space="preserve"> </w:t>
      </w:r>
      <w:bookmarkStart w:id="3" w:name="chart_1"/>
    </w:p>
    <w:p w14:paraId="14698B5E" w14:textId="77777777" w:rsidR="009B516F" w:rsidRDefault="009B516F" w:rsidP="009B516F">
      <w:pPr>
        <w:spacing w:before="120"/>
        <w:ind w:left="720" w:hanging="720"/>
        <w:contextualSpacing/>
        <w:rPr>
          <w:rFonts w:eastAsia="PMingLiU" w:cs="Arial"/>
          <w:sz w:val="20"/>
          <w:szCs w:val="20"/>
          <w:u w:val="single"/>
          <w:lang w:val="en-GB" w:eastAsia="en-US"/>
        </w:rPr>
      </w:pPr>
    </w:p>
    <w:p w14:paraId="59EC9CD5" w14:textId="03EC293B" w:rsidR="009B516F" w:rsidRDefault="009B516F" w:rsidP="009B516F">
      <w:pPr>
        <w:spacing w:before="120"/>
        <w:ind w:left="720" w:hanging="720"/>
        <w:contextualSpacing/>
        <w:rPr>
          <w:rFonts w:eastAsia="PMingLiU" w:cs="Arial"/>
          <w:sz w:val="20"/>
          <w:szCs w:val="20"/>
          <w:u w:val="single"/>
          <w:lang w:val="en-GB" w:eastAsia="en-US"/>
        </w:rPr>
      </w:pPr>
      <w:r w:rsidRPr="009B516F">
        <w:rPr>
          <w:noProof/>
        </w:rPr>
        <w:drawing>
          <wp:inline distT="0" distB="0" distL="0" distR="0" wp14:anchorId="3928B92C" wp14:editId="304EB6CD">
            <wp:extent cx="6120130" cy="2145665"/>
            <wp:effectExtent l="0" t="0" r="0" b="6985"/>
            <wp:docPr id="17535161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4D89A" w14:textId="7012D021" w:rsidR="009B516F" w:rsidRDefault="00E2490F" w:rsidP="0034270A">
      <w:pPr>
        <w:tabs>
          <w:tab w:val="clear" w:pos="567"/>
        </w:tabs>
        <w:snapToGrid/>
        <w:spacing w:before="360" w:after="240"/>
        <w:ind w:left="1134" w:hanging="1134"/>
        <w:jc w:val="both"/>
        <w:rPr>
          <w:rFonts w:eastAsia="PMingLiU"/>
          <w:lang w:eastAsia="en-US"/>
        </w:rPr>
      </w:pPr>
      <w:r w:rsidRPr="00E2490F">
        <w:rPr>
          <w:rFonts w:eastAsia="PMingLiU"/>
          <w:u w:val="single"/>
          <w:lang w:eastAsia="en-US"/>
        </w:rPr>
        <w:t>Tableau 2</w:t>
      </w:r>
      <w:r w:rsidRPr="00E2490F">
        <w:rPr>
          <w:rFonts w:eastAsia="PMingLiU"/>
          <w:lang w:eastAsia="en-US"/>
        </w:rPr>
        <w:t>.</w:t>
      </w:r>
      <w:r w:rsidR="0034270A">
        <w:rPr>
          <w:rFonts w:eastAsia="PMingLiU"/>
          <w:lang w:eastAsia="en-US"/>
        </w:rPr>
        <w:tab/>
      </w:r>
      <w:r w:rsidRPr="00E2490F">
        <w:rPr>
          <w:rFonts w:eastAsia="PMingLiU"/>
          <w:lang w:eastAsia="en-US"/>
        </w:rPr>
        <w:t>Récapitulatif des dépenses pour 2024-2025, y compris les engagements de dépenses, au 31 décembre 2024</w:t>
      </w:r>
    </w:p>
    <w:p w14:paraId="1C1FEC31" w14:textId="77777777" w:rsidR="00E2490F" w:rsidRPr="00E2490F" w:rsidRDefault="00E2490F" w:rsidP="00E2490F">
      <w:pPr>
        <w:tabs>
          <w:tab w:val="clear" w:pos="567"/>
        </w:tabs>
        <w:snapToGrid/>
        <w:rPr>
          <w:rFonts w:eastAsia="PMingLiU" w:cs="Arial"/>
          <w:sz w:val="20"/>
          <w:szCs w:val="20"/>
          <w:u w:val="single"/>
          <w:lang w:val="en-GB" w:eastAsia="en-US"/>
        </w:rPr>
      </w:pPr>
      <w:r w:rsidRPr="00E2490F">
        <w:rPr>
          <w:rFonts w:eastAsia="PMingLiU"/>
          <w:noProof/>
          <w:lang w:val="en-GB" w:eastAsia="en-US"/>
        </w:rPr>
        <w:drawing>
          <wp:inline distT="0" distB="0" distL="0" distR="0" wp14:anchorId="24798083" wp14:editId="6443F3A2">
            <wp:extent cx="6124575" cy="2475049"/>
            <wp:effectExtent l="0" t="0" r="0" b="190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7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490F">
        <w:rPr>
          <w:rFonts w:eastAsia="PMingLiU" w:cs="Arial"/>
          <w:sz w:val="20"/>
          <w:szCs w:val="20"/>
          <w:u w:val="single"/>
          <w:lang w:val="en-GB" w:eastAsia="en-US"/>
        </w:rPr>
        <w:br w:type="page"/>
      </w:r>
    </w:p>
    <w:p w14:paraId="0FB4CBC7" w14:textId="721727B9" w:rsidR="00E2490F" w:rsidRDefault="00E2490F" w:rsidP="0034270A">
      <w:pPr>
        <w:tabs>
          <w:tab w:val="clear" w:pos="567"/>
        </w:tabs>
        <w:spacing w:before="120" w:after="240"/>
        <w:ind w:left="992" w:hanging="992"/>
        <w:rPr>
          <w:rFonts w:eastAsia="PMingLiU"/>
          <w:lang w:eastAsia="en-US"/>
        </w:rPr>
      </w:pPr>
      <w:r w:rsidRPr="00E2490F">
        <w:rPr>
          <w:rFonts w:eastAsia="PMingLiU"/>
          <w:u w:val="single"/>
          <w:lang w:eastAsia="en-US"/>
        </w:rPr>
        <w:lastRenderedPageBreak/>
        <w:t>Figure 1</w:t>
      </w:r>
      <w:r w:rsidRPr="00E2490F">
        <w:rPr>
          <w:rFonts w:eastAsia="PMingLiU"/>
          <w:lang w:eastAsia="en-US"/>
        </w:rPr>
        <w:t>.</w:t>
      </w:r>
      <w:r w:rsidR="0034270A">
        <w:rPr>
          <w:rFonts w:eastAsia="PMingLiU"/>
          <w:lang w:eastAsia="en-US"/>
        </w:rPr>
        <w:tab/>
      </w:r>
      <w:r w:rsidRPr="00E2490F">
        <w:rPr>
          <w:rFonts w:eastAsia="PMingLiU"/>
          <w:lang w:eastAsia="en-US"/>
        </w:rPr>
        <w:t xml:space="preserve">Dépenses, y compris les engagements de dépenses, par source de financement </w:t>
      </w:r>
      <w:r w:rsidR="0034270A">
        <w:rPr>
          <w:rFonts w:eastAsia="PMingLiU"/>
          <w:lang w:eastAsia="en-US"/>
        </w:rPr>
        <w:br/>
      </w:r>
      <w:r w:rsidRPr="00E2490F">
        <w:rPr>
          <w:rFonts w:eastAsia="PMingLiU"/>
          <w:lang w:eastAsia="en-US"/>
        </w:rPr>
        <w:t>(total de 20 209 196 dollars)</w:t>
      </w:r>
      <w:bookmarkEnd w:id="3"/>
      <w:r w:rsidRPr="00E2490F">
        <w:rPr>
          <w:rFonts w:eastAsia="PMingLiU"/>
          <w:lang w:eastAsia="en-US"/>
        </w:rPr>
        <w:t xml:space="preserve"> </w:t>
      </w:r>
    </w:p>
    <w:p w14:paraId="0B5E4010" w14:textId="77777777" w:rsidR="00E2490F" w:rsidRDefault="00E2490F" w:rsidP="00E2490F">
      <w:pPr>
        <w:spacing w:before="120" w:after="240"/>
        <w:ind w:left="720" w:hanging="720"/>
        <w:jc w:val="center"/>
        <w:rPr>
          <w:rFonts w:eastAsia="PMingLiU" w:cs="Arial"/>
          <w:sz w:val="20"/>
          <w:szCs w:val="20"/>
          <w:lang w:val="en-GB" w:eastAsia="en-US"/>
        </w:rPr>
      </w:pPr>
      <w:r w:rsidRPr="00E2490F">
        <w:rPr>
          <w:rFonts w:eastAsia="PMingLiU" w:cs="Arial"/>
          <w:noProof/>
          <w:snapToGrid/>
          <w:sz w:val="20"/>
          <w:szCs w:val="20"/>
        </w:rPr>
        <w:drawing>
          <wp:inline distT="0" distB="0" distL="0" distR="0" wp14:anchorId="1DE68A16" wp14:editId="23519858">
            <wp:extent cx="4584700" cy="2755900"/>
            <wp:effectExtent l="0" t="0" r="6350" b="6350"/>
            <wp:docPr id="3" name="Image 3" descr="Une image contenant texte, capture d’écran, Police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pture d’écran, Police, diagra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C6427" w14:textId="56516F08" w:rsidR="00E2490F" w:rsidRPr="00E2490F" w:rsidRDefault="00E2490F" w:rsidP="0034270A">
      <w:pPr>
        <w:tabs>
          <w:tab w:val="clear" w:pos="567"/>
        </w:tabs>
        <w:spacing w:before="360" w:after="240"/>
        <w:ind w:left="993" w:hanging="993"/>
        <w:rPr>
          <w:rFonts w:eastAsia="PMingLiU" w:cs="Arial"/>
          <w:sz w:val="20"/>
          <w:szCs w:val="20"/>
          <w:lang w:val="en-GB" w:eastAsia="en-US"/>
        </w:rPr>
      </w:pPr>
      <w:r w:rsidRPr="00E2490F">
        <w:rPr>
          <w:rFonts w:eastAsia="PMingLiU"/>
          <w:u w:val="single"/>
          <w:lang w:eastAsia="en-US"/>
        </w:rPr>
        <w:t>Figure 2</w:t>
      </w:r>
      <w:r w:rsidRPr="00E2490F">
        <w:rPr>
          <w:rFonts w:eastAsia="PMingLiU"/>
          <w:lang w:eastAsia="en-US"/>
        </w:rPr>
        <w:t>.</w:t>
      </w:r>
      <w:r w:rsidR="0034270A">
        <w:rPr>
          <w:rFonts w:eastAsia="PMingLiU"/>
          <w:lang w:eastAsia="en-US"/>
        </w:rPr>
        <w:tab/>
      </w:r>
      <w:r w:rsidRPr="00E2490F">
        <w:rPr>
          <w:rFonts w:eastAsia="PMingLiU"/>
          <w:lang w:eastAsia="en-US"/>
        </w:rPr>
        <w:t xml:space="preserve">Dépenses, y compris les engagements de dépenses, par fonction de la COI </w:t>
      </w:r>
      <w:r w:rsidR="0034270A">
        <w:rPr>
          <w:rFonts w:eastAsia="PMingLiU"/>
          <w:lang w:eastAsia="en-US"/>
        </w:rPr>
        <w:br/>
      </w:r>
      <w:r w:rsidRPr="00E2490F">
        <w:rPr>
          <w:rFonts w:eastAsia="PMingLiU"/>
          <w:lang w:eastAsia="en-US"/>
        </w:rPr>
        <w:t xml:space="preserve">(toutes sources de financement confondues) (total de 14 876 400  dollars) </w:t>
      </w:r>
    </w:p>
    <w:p w14:paraId="712B0ACD" w14:textId="77777777" w:rsidR="00E2490F" w:rsidRPr="00E2490F" w:rsidRDefault="00E2490F" w:rsidP="00E2490F">
      <w:pPr>
        <w:spacing w:after="240"/>
        <w:jc w:val="center"/>
        <w:rPr>
          <w:rFonts w:eastAsia="PMingLiU" w:cs="Arial"/>
          <w:sz w:val="20"/>
          <w:szCs w:val="20"/>
          <w:lang w:val="en-GB" w:eastAsia="en-US"/>
        </w:rPr>
      </w:pPr>
      <w:r w:rsidRPr="00E2490F">
        <w:rPr>
          <w:rFonts w:eastAsia="PMingLiU" w:cs="Arial"/>
          <w:noProof/>
          <w:snapToGrid/>
          <w:sz w:val="20"/>
          <w:szCs w:val="20"/>
        </w:rPr>
        <w:drawing>
          <wp:inline distT="0" distB="0" distL="0" distR="0" wp14:anchorId="74987FA8" wp14:editId="0C4E1B5F">
            <wp:extent cx="4584700" cy="2755900"/>
            <wp:effectExtent l="0" t="0" r="6350" b="6350"/>
            <wp:docPr id="4" name="Image 4" descr="Une image contenant texte, capture d’écran, nombre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nombre, Polic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4379A" w14:textId="354E9FA9" w:rsidR="00E2490F" w:rsidRPr="00E2490F" w:rsidRDefault="00E2490F" w:rsidP="0034270A">
      <w:pPr>
        <w:spacing w:before="360" w:after="240"/>
        <w:ind w:left="1134" w:hanging="1134"/>
        <w:jc w:val="both"/>
        <w:rPr>
          <w:rFonts w:eastAsia="PMingLiU" w:cs="Arial"/>
          <w:sz w:val="20"/>
          <w:szCs w:val="20"/>
          <w:lang w:val="en-GB" w:eastAsia="en-US"/>
        </w:rPr>
      </w:pPr>
      <w:r w:rsidRPr="00E2490F">
        <w:rPr>
          <w:rFonts w:eastAsia="PMingLiU"/>
          <w:u w:val="single"/>
          <w:lang w:eastAsia="en-US"/>
        </w:rPr>
        <w:t>Tableau 3</w:t>
      </w:r>
      <w:r w:rsidRPr="00E2490F">
        <w:rPr>
          <w:rFonts w:eastAsia="PMingLiU"/>
          <w:lang w:eastAsia="en-US"/>
        </w:rPr>
        <w:t>.</w:t>
      </w:r>
      <w:r w:rsidR="0034270A">
        <w:rPr>
          <w:rFonts w:eastAsia="PMingLiU"/>
          <w:lang w:eastAsia="en-US"/>
        </w:rPr>
        <w:tab/>
      </w:r>
      <w:r w:rsidRPr="0034270A">
        <w:rPr>
          <w:rFonts w:eastAsia="PMingLiU"/>
          <w:spacing w:val="-2"/>
          <w:lang w:eastAsia="en-US"/>
        </w:rPr>
        <w:t>Budget et dépenses (budget intégré total – toutes sources de financement confondues), priorité globale Afrique et groupe prioritaire des PEID</w:t>
      </w:r>
      <w:r w:rsidR="0034270A" w:rsidRPr="0034270A">
        <w:rPr>
          <w:rFonts w:eastAsia="PMingLiU" w:cs="Arial"/>
          <w:spacing w:val="-2"/>
          <w:sz w:val="20"/>
          <w:szCs w:val="20"/>
          <w:lang w:val="en-GB" w:eastAsia="en-US"/>
        </w:rPr>
        <w:t xml:space="preserve"> </w:t>
      </w:r>
      <w:r w:rsidRPr="0034270A">
        <w:rPr>
          <w:rFonts w:eastAsia="PMingLiU"/>
          <w:spacing w:val="-2"/>
          <w:lang w:eastAsia="en-US"/>
        </w:rPr>
        <w:t>(en milliers de dollars des États-Unis)</w:t>
      </w:r>
    </w:p>
    <w:tbl>
      <w:tblPr>
        <w:tblW w:w="8359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041"/>
        <w:gridCol w:w="2078"/>
        <w:gridCol w:w="690"/>
        <w:gridCol w:w="2287"/>
      </w:tblGrid>
      <w:tr w:rsidR="00E2490F" w:rsidRPr="00E2490F" w14:paraId="3763F711" w14:textId="77777777" w:rsidTr="0034270A">
        <w:trPr>
          <w:trHeight w:val="525"/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0775B65D" w14:textId="68FA6BB1" w:rsidR="00E2490F" w:rsidRPr="00E2490F" w:rsidRDefault="00E2490F" w:rsidP="0034270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49E1AFBA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42 C/5 approuvé (budget intégré total)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center"/>
            <w:hideMark/>
          </w:tcPr>
          <w:p w14:paraId="721F5745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Dépenses (budget intégré total)</w:t>
            </w:r>
          </w:p>
        </w:tc>
      </w:tr>
      <w:tr w:rsidR="00E2490F" w:rsidRPr="00E2490F" w14:paraId="30DD0DC7" w14:textId="77777777" w:rsidTr="0034270A">
        <w:trPr>
          <w:trHeight w:val="240"/>
          <w:jc w:val="center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EAF6"/>
            <w:vAlign w:val="center"/>
            <w:hideMark/>
          </w:tcPr>
          <w:p w14:paraId="110A0A8A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49430EEC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$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2CA055D1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% du total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1E0903DA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$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noWrap/>
            <w:vAlign w:val="bottom"/>
            <w:hideMark/>
          </w:tcPr>
          <w:p w14:paraId="5AE57C43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% du total</w:t>
            </w:r>
          </w:p>
        </w:tc>
      </w:tr>
      <w:tr w:rsidR="00E2490F" w:rsidRPr="00E2490F" w14:paraId="4D7659BF" w14:textId="77777777" w:rsidTr="0034270A">
        <w:trPr>
          <w:trHeight w:val="24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534D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Priorité globale Afrique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679CE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12 735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B9C98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26,4 %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3502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3 465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553A2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17,1 %</w:t>
            </w:r>
          </w:p>
        </w:tc>
      </w:tr>
      <w:tr w:rsidR="00E2490F" w:rsidRPr="00E2490F" w14:paraId="001DBDC2" w14:textId="77777777" w:rsidTr="0034270A">
        <w:trPr>
          <w:trHeight w:val="24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DE3CE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Groupe prioritaire des PEID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337F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9 759</w:t>
            </w:r>
          </w:p>
        </w:tc>
        <w:tc>
          <w:tcPr>
            <w:tcW w:w="2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6AED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20,2 %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CD22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2 710</w:t>
            </w:r>
          </w:p>
        </w:tc>
        <w:tc>
          <w:tcPr>
            <w:tcW w:w="2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54C52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13,4 %</w:t>
            </w:r>
          </w:p>
        </w:tc>
      </w:tr>
    </w:tbl>
    <w:p w14:paraId="10057866" w14:textId="77777777" w:rsidR="00E2490F" w:rsidRPr="00E2490F" w:rsidRDefault="00E2490F" w:rsidP="00E2490F">
      <w:pPr>
        <w:tabs>
          <w:tab w:val="clear" w:pos="567"/>
        </w:tabs>
        <w:snapToGrid/>
        <w:jc w:val="center"/>
        <w:rPr>
          <w:rFonts w:eastAsia="PMingLiU" w:cs="Arial"/>
          <w:sz w:val="20"/>
          <w:szCs w:val="20"/>
          <w:u w:val="single"/>
          <w:lang w:val="en-GB" w:eastAsia="en-US"/>
        </w:rPr>
      </w:pPr>
      <w:r w:rsidRPr="00E2490F">
        <w:rPr>
          <w:rFonts w:eastAsia="PMingLiU" w:cs="Arial"/>
          <w:sz w:val="20"/>
          <w:szCs w:val="20"/>
          <w:u w:val="single"/>
          <w:lang w:val="en-GB" w:eastAsia="en-US"/>
        </w:rPr>
        <w:br w:type="page"/>
      </w:r>
    </w:p>
    <w:p w14:paraId="3CE88805" w14:textId="1E5189B3" w:rsidR="00E2490F" w:rsidRPr="00E2490F" w:rsidRDefault="00E2490F" w:rsidP="00E2490F">
      <w:pPr>
        <w:tabs>
          <w:tab w:val="clear" w:pos="567"/>
        </w:tabs>
        <w:snapToGrid/>
        <w:spacing w:after="240"/>
        <w:rPr>
          <w:rFonts w:eastAsia="PMingLiU" w:cs="Arial"/>
          <w:sz w:val="20"/>
          <w:szCs w:val="20"/>
          <w:lang w:val="en-GB" w:eastAsia="en-US"/>
        </w:rPr>
      </w:pPr>
      <w:r w:rsidRPr="00E2490F">
        <w:rPr>
          <w:rFonts w:eastAsia="PMingLiU"/>
          <w:u w:val="single"/>
          <w:lang w:eastAsia="en-US"/>
        </w:rPr>
        <w:lastRenderedPageBreak/>
        <w:t>Tableau et figure 4</w:t>
      </w:r>
      <w:r w:rsidRPr="00E2490F">
        <w:rPr>
          <w:rFonts w:eastAsia="PMingLiU"/>
          <w:lang w:eastAsia="en-US"/>
        </w:rPr>
        <w:t xml:space="preserve">. Analyse des dépenses 2024-2025, y compris les engagements de dépenses, par principales catégories de coûts, au 31 décembre 2024 </w:t>
      </w:r>
    </w:p>
    <w:p w14:paraId="3FB6FB0B" w14:textId="77777777" w:rsidR="00E2490F" w:rsidRPr="00E2490F" w:rsidRDefault="00E2490F" w:rsidP="00D644C5">
      <w:pPr>
        <w:tabs>
          <w:tab w:val="clear" w:pos="567"/>
        </w:tabs>
        <w:snapToGrid/>
        <w:spacing w:after="480"/>
        <w:rPr>
          <w:rFonts w:eastAsia="PMingLiU" w:cs="Arial"/>
          <w:sz w:val="20"/>
          <w:szCs w:val="20"/>
          <w:u w:val="single"/>
          <w:lang w:val="en-GB" w:eastAsia="en-US"/>
        </w:rPr>
      </w:pPr>
      <w:r w:rsidRPr="00E2490F">
        <w:rPr>
          <w:rFonts w:eastAsia="PMingLiU"/>
          <w:noProof/>
          <w:lang w:val="en-GB" w:eastAsia="en-US"/>
        </w:rPr>
        <w:drawing>
          <wp:inline distT="0" distB="0" distL="0" distR="0" wp14:anchorId="062953A6" wp14:editId="7A7AC5CB">
            <wp:extent cx="6124575" cy="3995373"/>
            <wp:effectExtent l="0" t="0" r="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99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098E5" w14:textId="253ECC0E" w:rsidR="00E2490F" w:rsidRDefault="00E2490F" w:rsidP="00D644C5">
      <w:pPr>
        <w:tabs>
          <w:tab w:val="clear" w:pos="567"/>
        </w:tabs>
        <w:snapToGrid/>
        <w:spacing w:after="360"/>
        <w:jc w:val="center"/>
        <w:rPr>
          <w:rFonts w:cs="Arial"/>
          <w:snapToGrid/>
          <w:sz w:val="20"/>
          <w:szCs w:val="20"/>
          <w:u w:val="single"/>
          <w:bdr w:val="none" w:sz="0" w:space="0" w:color="000000"/>
          <w:lang w:val="en-GB" w:eastAsia="en-US" w:bidi="en-US"/>
        </w:rPr>
      </w:pPr>
      <w:bookmarkStart w:id="4" w:name="table_7"/>
      <w:r w:rsidRPr="00E2490F">
        <w:rPr>
          <w:rFonts w:eastAsia="PMingLiU"/>
          <w:noProof/>
          <w:snapToGrid/>
        </w:rPr>
        <w:drawing>
          <wp:inline distT="0" distB="0" distL="0" distR="0" wp14:anchorId="5302E951" wp14:editId="31BDA9E9">
            <wp:extent cx="4991100" cy="2743200"/>
            <wp:effectExtent l="0" t="0" r="19050" b="19050"/>
            <wp:docPr id="8" name="Graphique 8">
              <a:extLst xmlns:a="http://schemas.openxmlformats.org/drawingml/2006/main">
                <a:ext uri="{FF2B5EF4-FFF2-40B4-BE49-F238E27FC236}">
                  <a16:creationId xmlns:a16="http://schemas.microsoft.com/office/drawing/2014/main" id="{F4CAA432-6D0B-4EAE-EF5C-2F3E070287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E2490F">
        <w:rPr>
          <w:rFonts w:cs="Arial"/>
          <w:snapToGrid/>
          <w:sz w:val="20"/>
          <w:szCs w:val="20"/>
          <w:u w:val="single"/>
          <w:bdr w:val="none" w:sz="0" w:space="0" w:color="000000"/>
          <w:lang w:val="en-GB" w:eastAsia="en-US" w:bidi="en-US"/>
        </w:rPr>
        <w:t xml:space="preserve"> </w:t>
      </w:r>
    </w:p>
    <w:p w14:paraId="24067876" w14:textId="09181389" w:rsidR="00E2490F" w:rsidRPr="00E2490F" w:rsidRDefault="00E2490F" w:rsidP="00D644C5">
      <w:pPr>
        <w:keepNext/>
        <w:keepLines/>
        <w:tabs>
          <w:tab w:val="clear" w:pos="567"/>
        </w:tabs>
        <w:snapToGrid/>
        <w:spacing w:after="240"/>
        <w:jc w:val="both"/>
        <w:rPr>
          <w:rFonts w:cs="Arial"/>
          <w:snapToGrid/>
          <w:sz w:val="20"/>
          <w:szCs w:val="20"/>
          <w:lang w:val="en-GB" w:eastAsia="en-US"/>
        </w:rPr>
      </w:pPr>
      <w:r w:rsidRPr="00E2490F">
        <w:rPr>
          <w:rFonts w:eastAsia="PMingLiU"/>
          <w:u w:val="single"/>
          <w:lang w:eastAsia="en-US"/>
        </w:rPr>
        <w:lastRenderedPageBreak/>
        <w:t>Tableau et figure 5</w:t>
      </w:r>
      <w:r w:rsidRPr="00E2490F">
        <w:rPr>
          <w:rFonts w:eastAsia="PMingLiU"/>
          <w:lang w:eastAsia="en-US"/>
        </w:rPr>
        <w:t xml:space="preserve">. État d’avancement du comblement de l’écart de financement des contributions volontaires par fonction de la COI, au 31 décembre 2024 </w:t>
      </w:r>
    </w:p>
    <w:tbl>
      <w:tblPr>
        <w:tblW w:w="9067" w:type="dxa"/>
        <w:jc w:val="center"/>
        <w:tblLayout w:type="fixed"/>
        <w:tblLook w:val="04A0" w:firstRow="1" w:lastRow="0" w:firstColumn="1" w:lastColumn="0" w:noHBand="0" w:noVBand="1"/>
      </w:tblPr>
      <w:tblGrid>
        <w:gridCol w:w="1129"/>
        <w:gridCol w:w="2127"/>
        <w:gridCol w:w="2259"/>
        <w:gridCol w:w="1545"/>
        <w:gridCol w:w="2007"/>
      </w:tblGrid>
      <w:tr w:rsidR="00E2490F" w:rsidRPr="00E2490F" w14:paraId="2B604BF7" w14:textId="77777777" w:rsidTr="00D644C5">
        <w:trPr>
          <w:trHeight w:val="378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16AB" w14:textId="2BA64385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Fonction </w:t>
            </w:r>
            <w:r w:rsidR="00D644C5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br/>
            </w: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de la COI</w:t>
            </w:r>
          </w:p>
        </w:tc>
        <w:tc>
          <w:tcPr>
            <w:tcW w:w="59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A62C2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Contributions volontaires – 42 C/5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6EA4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Reçues au 31/12/2024</w:t>
            </w:r>
          </w:p>
        </w:tc>
      </w:tr>
      <w:tr w:rsidR="00E2490F" w:rsidRPr="00E2490F" w14:paraId="1582273E" w14:textId="77777777" w:rsidTr="00D644C5">
        <w:trPr>
          <w:trHeight w:val="720"/>
          <w:jc w:val="center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1A06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231B" w14:textId="37C21A04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Reçues </w:t>
            </w:r>
            <w:r w:rsidR="00D644C5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br/>
            </w: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(préparation du C/5)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DB539" w14:textId="2C6CE5F8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 xml:space="preserve">Ressources à mobiliser </w:t>
            </w:r>
            <w:r w:rsidR="00D644C5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br/>
            </w: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et à utiliser en 2024-2025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33A1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Objectif total, contributions volontaires</w:t>
            </w:r>
          </w:p>
        </w:tc>
        <w:tc>
          <w:tcPr>
            <w:tcW w:w="2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FA539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</w:p>
        </w:tc>
      </w:tr>
      <w:tr w:rsidR="00E2490F" w:rsidRPr="00E2490F" w14:paraId="0CB34377" w14:textId="77777777" w:rsidTr="00D644C5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3D75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E2490F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735E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$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8AA07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$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F8FF5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$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736E" w14:textId="77777777" w:rsidR="00E2490F" w:rsidRPr="00E2490F" w:rsidRDefault="00E2490F" w:rsidP="00D644C5">
            <w:pPr>
              <w:keepNext/>
              <w:keepLines/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$</w:t>
            </w:r>
          </w:p>
        </w:tc>
      </w:tr>
      <w:tr w:rsidR="00E2490F" w:rsidRPr="00E2490F" w14:paraId="590BCEF7" w14:textId="77777777" w:rsidTr="00D644C5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F369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F26A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250 000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59C3C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803 247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6777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1 053 247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90684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1 358 736</w:t>
            </w:r>
          </w:p>
        </w:tc>
      </w:tr>
      <w:tr w:rsidR="00E2490F" w:rsidRPr="00E2490F" w14:paraId="6562015E" w14:textId="77777777" w:rsidTr="00D644C5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FD1D7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20577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950 000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87055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5 632 791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A5F5F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6 582 791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987F8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3 494 840</w:t>
            </w:r>
          </w:p>
        </w:tc>
      </w:tr>
      <w:tr w:rsidR="00E2490F" w:rsidRPr="00E2490F" w14:paraId="6F07D1A0" w14:textId="77777777" w:rsidTr="00D644C5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B6FE7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DB51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350 000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8992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3 862 986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6307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4 212 986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FFE33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2 606 692</w:t>
            </w:r>
          </w:p>
        </w:tc>
      </w:tr>
      <w:tr w:rsidR="00E2490F" w:rsidRPr="00E2490F" w14:paraId="5FF14822" w14:textId="77777777" w:rsidTr="00D644C5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1E4EF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85766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400 000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D533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916 558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8C3A4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1 316 558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5AAC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1 412 191</w:t>
            </w:r>
          </w:p>
        </w:tc>
      </w:tr>
      <w:tr w:rsidR="00E2490F" w:rsidRPr="00E2490F" w14:paraId="23606D59" w14:textId="77777777" w:rsidTr="00D644C5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91D6A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A35E9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5 003 603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313A5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3 159 058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7F47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8 162 661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09491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15 140 365</w:t>
            </w:r>
          </w:p>
        </w:tc>
      </w:tr>
      <w:tr w:rsidR="00E2490F" w:rsidRPr="00E2490F" w14:paraId="05AF9ABA" w14:textId="77777777" w:rsidTr="00D644C5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ADBF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F (dont IP2)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5DFE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950 000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986F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4 777 921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FDF40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5 727 921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456B8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6 272 235</w:t>
            </w:r>
          </w:p>
        </w:tc>
      </w:tr>
      <w:tr w:rsidR="00E2490F" w:rsidRPr="00E2490F" w14:paraId="2F07CEA7" w14:textId="77777777" w:rsidTr="00D644C5">
        <w:trPr>
          <w:trHeight w:val="240"/>
          <w:jc w:val="center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F88CB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FA892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7 903 603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28DD4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19 152 561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7DEFA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27 056 164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1DD68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30 285 059</w:t>
            </w:r>
          </w:p>
        </w:tc>
      </w:tr>
    </w:tbl>
    <w:p w14:paraId="598F9769" w14:textId="77777777" w:rsidR="00E2490F" w:rsidRPr="00E2490F" w:rsidRDefault="00E2490F" w:rsidP="00D644C5">
      <w:pPr>
        <w:tabs>
          <w:tab w:val="clear" w:pos="567"/>
        </w:tabs>
        <w:snapToGrid/>
        <w:spacing w:after="240"/>
        <w:rPr>
          <w:rFonts w:cs="Arial"/>
          <w:snapToGrid/>
          <w:sz w:val="20"/>
          <w:szCs w:val="20"/>
          <w:u w:val="single"/>
          <w:lang w:val="en-GB" w:eastAsia="en-US" w:bidi="en-US"/>
        </w:rPr>
      </w:pPr>
    </w:p>
    <w:p w14:paraId="74B08091" w14:textId="77777777" w:rsidR="00E2490F" w:rsidRPr="00E2490F" w:rsidRDefault="00E2490F" w:rsidP="00D644C5">
      <w:pPr>
        <w:tabs>
          <w:tab w:val="clear" w:pos="567"/>
        </w:tabs>
        <w:snapToGrid/>
        <w:spacing w:after="360"/>
        <w:jc w:val="center"/>
        <w:rPr>
          <w:rFonts w:cs="Arial"/>
          <w:snapToGrid/>
          <w:sz w:val="20"/>
          <w:szCs w:val="20"/>
          <w:u w:val="single"/>
          <w:lang w:val="en-GB" w:eastAsia="en-US" w:bidi="en-US"/>
        </w:rPr>
      </w:pPr>
      <w:r w:rsidRPr="00E2490F">
        <w:rPr>
          <w:rFonts w:eastAsia="PMingLiU"/>
          <w:noProof/>
          <w:snapToGrid/>
        </w:rPr>
        <w:drawing>
          <wp:inline distT="0" distB="0" distL="0" distR="0" wp14:anchorId="542C0F2F" wp14:editId="25F8D4D4">
            <wp:extent cx="6097979" cy="2357252"/>
            <wp:effectExtent l="0" t="0" r="17145" b="5080"/>
            <wp:docPr id="24" name="Graphique 24">
              <a:extLst xmlns:a="http://schemas.openxmlformats.org/drawingml/2006/main">
                <a:ext uri="{FF2B5EF4-FFF2-40B4-BE49-F238E27FC236}">
                  <a16:creationId xmlns:a16="http://schemas.microsoft.com/office/drawing/2014/main" id="{BB03DF5B-3352-0A4C-A4DA-748A76AADB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9015825" w14:textId="36EB88F4" w:rsidR="00E2490F" w:rsidRPr="00E2490F" w:rsidRDefault="00E2490F" w:rsidP="00D644C5">
      <w:pPr>
        <w:tabs>
          <w:tab w:val="clear" w:pos="567"/>
        </w:tabs>
        <w:snapToGrid/>
        <w:spacing w:before="480" w:after="360"/>
        <w:rPr>
          <w:rFonts w:cs="Arial"/>
          <w:snapToGrid/>
          <w:sz w:val="20"/>
          <w:szCs w:val="20"/>
          <w:lang w:val="en-GB" w:eastAsia="en-US"/>
        </w:rPr>
      </w:pPr>
      <w:r w:rsidRPr="00E2490F">
        <w:rPr>
          <w:rFonts w:eastAsia="PMingLiU"/>
          <w:u w:val="single"/>
          <w:lang w:eastAsia="en-US"/>
        </w:rPr>
        <w:t>Tableau et figure 6</w:t>
      </w:r>
      <w:r w:rsidRPr="00E2490F">
        <w:rPr>
          <w:rFonts w:eastAsia="PMingLiU"/>
          <w:lang w:eastAsia="en-US"/>
        </w:rPr>
        <w:t>. Accords de financement signés, 1</w:t>
      </w:r>
      <w:r w:rsidRPr="00E2490F">
        <w:rPr>
          <w:rFonts w:eastAsia="PMingLiU"/>
          <w:vertAlign w:val="superscript"/>
          <w:lang w:eastAsia="en-US"/>
        </w:rPr>
        <w:t>er</w:t>
      </w:r>
      <w:r w:rsidRPr="00E2490F">
        <w:rPr>
          <w:rFonts w:eastAsia="PMingLiU"/>
          <w:lang w:eastAsia="en-US"/>
        </w:rPr>
        <w:t xml:space="preserve"> janvier 2024 – 31 décembre 2024 </w:t>
      </w:r>
    </w:p>
    <w:tbl>
      <w:tblPr>
        <w:tblW w:w="8580" w:type="dxa"/>
        <w:jc w:val="center"/>
        <w:tblLayout w:type="fixed"/>
        <w:tblLook w:val="04A0" w:firstRow="1" w:lastRow="0" w:firstColumn="1" w:lastColumn="0" w:noHBand="0" w:noVBand="1"/>
      </w:tblPr>
      <w:tblGrid>
        <w:gridCol w:w="880"/>
        <w:gridCol w:w="4780"/>
        <w:gridCol w:w="2920"/>
      </w:tblGrid>
      <w:tr w:rsidR="00E2490F" w:rsidRPr="00E2490F" w14:paraId="7DE49FB7" w14:textId="77777777" w:rsidTr="00D644C5">
        <w:trPr>
          <w:trHeight w:val="300"/>
          <w:tblHeader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3A71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Rang</w:t>
            </w:r>
          </w:p>
        </w:tc>
        <w:tc>
          <w:tcPr>
            <w:tcW w:w="4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C0F7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Contributeur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9B40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Montant (dollars É.-U.)</w:t>
            </w:r>
          </w:p>
        </w:tc>
      </w:tr>
      <w:tr w:rsidR="00E2490F" w:rsidRPr="00E2490F" w14:paraId="54DFC6D9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03BE5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6A951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Suède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5C32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1 097 695</w:t>
            </w:r>
          </w:p>
        </w:tc>
      </w:tr>
      <w:tr w:rsidR="00E2490F" w:rsidRPr="00E2490F" w14:paraId="075FB28A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671F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E681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Norvège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BF53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1 083 262</w:t>
            </w:r>
          </w:p>
        </w:tc>
      </w:tr>
      <w:tr w:rsidR="00E2490F" w:rsidRPr="00E2490F" w14:paraId="7D4BDD3D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145F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8237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France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B3BA4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661 194</w:t>
            </w:r>
          </w:p>
        </w:tc>
      </w:tr>
      <w:tr w:rsidR="00E2490F" w:rsidRPr="00E2490F" w14:paraId="7301FA00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3651E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B28C1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Australie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73CA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557 968</w:t>
            </w:r>
          </w:p>
        </w:tc>
      </w:tr>
      <w:tr w:rsidR="00E2490F" w:rsidRPr="00E2490F" w14:paraId="368D1F6E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C83D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E97EA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Fondation d’entreprise ENGIE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6B7FC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550 661</w:t>
            </w:r>
          </w:p>
        </w:tc>
      </w:tr>
      <w:tr w:rsidR="00E2490F" w:rsidRPr="00E2490F" w14:paraId="6344215B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937A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AB53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REV Ocean Inc.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8099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500 000</w:t>
            </w:r>
          </w:p>
        </w:tc>
      </w:tr>
      <w:tr w:rsidR="00E2490F" w:rsidRPr="00E2490F" w14:paraId="4023B26C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8D9B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3C37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Fondation Gordon et Betty Moore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D9B5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400 000</w:t>
            </w:r>
          </w:p>
        </w:tc>
      </w:tr>
      <w:tr w:rsidR="00E2490F" w:rsidRPr="00E2490F" w14:paraId="70881751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9F85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47ECB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Fondation Velux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048B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345 087</w:t>
            </w:r>
          </w:p>
        </w:tc>
      </w:tr>
      <w:tr w:rsidR="00E2490F" w:rsidRPr="00E2490F" w14:paraId="6AF3AF8E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81ED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C328C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Nippon Foundation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BE958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294 300</w:t>
            </w:r>
          </w:p>
        </w:tc>
      </w:tr>
      <w:tr w:rsidR="00E2490F" w:rsidRPr="00E2490F" w14:paraId="6843B888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2CB94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C34E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Chine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97FAC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238 522</w:t>
            </w:r>
          </w:p>
        </w:tc>
      </w:tr>
      <w:tr w:rsidR="00E2490F" w:rsidRPr="00E2490F" w14:paraId="24A40553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2B73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9FCA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Danemark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4C706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162 627</w:t>
            </w:r>
          </w:p>
        </w:tc>
      </w:tr>
      <w:tr w:rsidR="00E2490F" w:rsidRPr="00E2490F" w14:paraId="6E1060BC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D1A51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751C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République de Corée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48B4B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149 241</w:t>
            </w:r>
          </w:p>
        </w:tc>
      </w:tr>
      <w:tr w:rsidR="00E2490F" w:rsidRPr="00E2490F" w14:paraId="733785B6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BF7BF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2025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Canada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0968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134 298</w:t>
            </w:r>
          </w:p>
        </w:tc>
      </w:tr>
      <w:tr w:rsidR="00E2490F" w:rsidRPr="00E2490F" w14:paraId="06E7CBAE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9A65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DCB3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Union européenne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87DB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129 201</w:t>
            </w:r>
          </w:p>
        </w:tc>
      </w:tr>
      <w:tr w:rsidR="00E2490F" w:rsidRPr="00E2490F" w14:paraId="68122EC4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9400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89E9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Officine Panerai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752E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96 519</w:t>
            </w:r>
          </w:p>
        </w:tc>
      </w:tr>
      <w:tr w:rsidR="00E2490F" w:rsidRPr="00E2490F" w14:paraId="122F7929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F2DE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lastRenderedPageBreak/>
              <w:t>16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E413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Royaume-Uni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F73EF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76 250</w:t>
            </w:r>
          </w:p>
        </w:tc>
      </w:tr>
      <w:tr w:rsidR="00E2490F" w:rsidRPr="00E2490F" w14:paraId="20DFA164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CB7F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AA6A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Société des Explorations de Monaco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9833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75 922</w:t>
            </w:r>
          </w:p>
        </w:tc>
      </w:tr>
      <w:tr w:rsidR="00E2490F" w:rsidRPr="00E2490F" w14:paraId="042C7420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2A08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514C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E.ON Energia SpA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82A9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75 594</w:t>
            </w:r>
          </w:p>
        </w:tc>
      </w:tr>
      <w:tr w:rsidR="00E2490F" w:rsidRPr="00E2490F" w14:paraId="7FAE6E25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FA43A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C0C2E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Sargasso Sea Project Inc.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02A6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54 693</w:t>
            </w:r>
          </w:p>
        </w:tc>
      </w:tr>
      <w:tr w:rsidR="00E2490F" w:rsidRPr="00E2490F" w14:paraId="67E58A2A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8B75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F7D2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Colombie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E17D9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53 247</w:t>
            </w:r>
          </w:p>
        </w:tc>
      </w:tr>
      <w:tr w:rsidR="00E2490F" w:rsidRPr="00E2490F" w14:paraId="21C2980D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5F25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9123D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Organisation météorologique mondiale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D9B7B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45 300</w:t>
            </w:r>
          </w:p>
        </w:tc>
      </w:tr>
      <w:tr w:rsidR="00E2490F" w:rsidRPr="00E2490F" w14:paraId="6D4ED0AD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E072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22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5852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CESAP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12A3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35 813</w:t>
            </w:r>
          </w:p>
        </w:tc>
      </w:tr>
      <w:tr w:rsidR="00E2490F" w:rsidRPr="00E2490F" w14:paraId="59ABD22C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7869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F57C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Dalio Family Fund Inc.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8FBA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30 000</w:t>
            </w:r>
          </w:p>
        </w:tc>
      </w:tr>
      <w:tr w:rsidR="00E2490F" w:rsidRPr="00E2490F" w14:paraId="116EA19A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AC8B6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C915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SAEM Vendée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8F1BD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24 603</w:t>
            </w:r>
          </w:p>
        </w:tc>
      </w:tr>
      <w:tr w:rsidR="00E2490F" w:rsidRPr="00E2490F" w14:paraId="15EFE17E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A3E6D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BF41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Monaco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AEA6A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22 371</w:t>
            </w:r>
          </w:p>
        </w:tc>
      </w:tr>
      <w:tr w:rsidR="00E2490F" w:rsidRPr="00E2490F" w14:paraId="72EF146A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515A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B479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Portugal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6A70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20 986</w:t>
            </w:r>
          </w:p>
        </w:tc>
      </w:tr>
      <w:tr w:rsidR="00E2490F" w:rsidRPr="00E2490F" w14:paraId="06D4FB79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F1C85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27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5F773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Nautilus Next Inc.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EE84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14 116</w:t>
            </w:r>
          </w:p>
        </w:tc>
      </w:tr>
      <w:tr w:rsidR="00E2490F" w:rsidRPr="00E2490F" w14:paraId="0E4166F4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094E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BF96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Institut flamand de la mer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DDEC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11 186</w:t>
            </w:r>
          </w:p>
        </w:tc>
      </w:tr>
      <w:tr w:rsidR="00E2490F" w:rsidRPr="00E2490F" w14:paraId="678C9362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7454D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29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90AF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UNOPS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7133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10 248</w:t>
            </w:r>
          </w:p>
        </w:tc>
      </w:tr>
      <w:tr w:rsidR="00E2490F" w:rsidRPr="00E2490F" w14:paraId="661EECEC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F8FC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A1FB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Allemagne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EA22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7 423</w:t>
            </w:r>
          </w:p>
        </w:tc>
      </w:tr>
      <w:tr w:rsidR="00E2490F" w:rsidRPr="00E2490F" w14:paraId="2787C6E9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FA04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B54F4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Institut des ressources mondiales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E4E3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3 895</w:t>
            </w:r>
          </w:p>
        </w:tc>
      </w:tr>
      <w:tr w:rsidR="00E2490F" w:rsidRPr="00E2490F" w14:paraId="5E619CDA" w14:textId="77777777" w:rsidTr="00D644C5">
        <w:trPr>
          <w:trHeight w:val="30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6A872" w14:textId="463BD8E9" w:rsidR="00E2490F" w:rsidRPr="00E2490F" w:rsidRDefault="00E2490F" w:rsidP="00D644C5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E20D" w14:textId="77777777" w:rsidR="00E2490F" w:rsidRPr="00E2490F" w:rsidRDefault="00E2490F" w:rsidP="00D644C5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CEE2" w14:textId="77777777" w:rsidR="00E2490F" w:rsidRPr="00E2490F" w:rsidRDefault="00E2490F" w:rsidP="00D644C5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6 962 222</w:t>
            </w:r>
          </w:p>
        </w:tc>
      </w:tr>
    </w:tbl>
    <w:p w14:paraId="61CB2E7C" w14:textId="77777777" w:rsidR="00E2490F" w:rsidRPr="00E2490F" w:rsidRDefault="00E2490F" w:rsidP="00D644C5">
      <w:pPr>
        <w:tabs>
          <w:tab w:val="clear" w:pos="567"/>
        </w:tabs>
        <w:snapToGrid/>
        <w:spacing w:after="360"/>
        <w:rPr>
          <w:rFonts w:cs="Arial"/>
          <w:snapToGrid/>
          <w:sz w:val="20"/>
          <w:szCs w:val="20"/>
          <w:lang w:val="en-GB" w:eastAsia="en-US" w:bidi="en-US"/>
        </w:rPr>
      </w:pPr>
    </w:p>
    <w:p w14:paraId="4AC33C57" w14:textId="77777777" w:rsidR="00E2490F" w:rsidRPr="00E2490F" w:rsidRDefault="00E2490F" w:rsidP="00D644C5">
      <w:pPr>
        <w:tabs>
          <w:tab w:val="clear" w:pos="567"/>
        </w:tabs>
        <w:snapToGrid/>
        <w:jc w:val="center"/>
        <w:rPr>
          <w:rFonts w:cs="Arial"/>
          <w:snapToGrid/>
          <w:sz w:val="20"/>
          <w:szCs w:val="20"/>
          <w:u w:val="single"/>
          <w:lang w:val="en-GB" w:eastAsia="en-US" w:bidi="en-US"/>
        </w:rPr>
      </w:pPr>
      <w:r w:rsidRPr="00E2490F">
        <w:rPr>
          <w:rFonts w:eastAsia="PMingLiU"/>
          <w:noProof/>
          <w:snapToGrid/>
        </w:rPr>
        <w:drawing>
          <wp:inline distT="0" distB="0" distL="0" distR="0" wp14:anchorId="341A7B9D" wp14:editId="0616DC59">
            <wp:extent cx="5972810" cy="3491230"/>
            <wp:effectExtent l="0" t="0" r="8890" b="13970"/>
            <wp:docPr id="10" name="Graphique 10">
              <a:extLst xmlns:a="http://schemas.openxmlformats.org/drawingml/2006/main">
                <a:ext uri="{FF2B5EF4-FFF2-40B4-BE49-F238E27FC236}">
                  <a16:creationId xmlns:a16="http://schemas.microsoft.com/office/drawing/2014/main" id="{0B381438-9FB4-87C1-77F2-5515716E6AF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EEEA1A8" w14:textId="5760C5F6" w:rsidR="00E2490F" w:rsidRDefault="00E2490F" w:rsidP="00D644C5">
      <w:pPr>
        <w:tabs>
          <w:tab w:val="clear" w:pos="567"/>
        </w:tabs>
        <w:snapToGrid/>
        <w:spacing w:after="240"/>
        <w:rPr>
          <w:rFonts w:eastAsia="PMingLiU"/>
          <w:lang w:eastAsia="en-US"/>
        </w:rPr>
      </w:pPr>
      <w:r w:rsidRPr="00E2490F">
        <w:rPr>
          <w:rFonts w:cs="Arial"/>
          <w:snapToGrid/>
          <w:sz w:val="20"/>
          <w:szCs w:val="20"/>
          <w:u w:val="single"/>
          <w:lang w:val="en-GB" w:eastAsia="en-US" w:bidi="en-US"/>
        </w:rPr>
        <w:br w:type="page"/>
      </w:r>
      <w:r w:rsidRPr="00E2490F">
        <w:rPr>
          <w:rFonts w:eastAsia="PMingLiU"/>
          <w:u w:val="single"/>
          <w:lang w:eastAsia="en-US"/>
        </w:rPr>
        <w:lastRenderedPageBreak/>
        <w:t>Tableau 7</w:t>
      </w:r>
      <w:r w:rsidRPr="00E2490F">
        <w:rPr>
          <w:rFonts w:eastAsia="PMingLiU"/>
          <w:lang w:eastAsia="en-US"/>
        </w:rPr>
        <w:t xml:space="preserve">. Contributions en nature reçues en 2024 </w:t>
      </w:r>
    </w:p>
    <w:p w14:paraId="52253FDC" w14:textId="45B8BB63" w:rsidR="00D47C8B" w:rsidRDefault="00D47C8B" w:rsidP="00D644C5">
      <w:pPr>
        <w:tabs>
          <w:tab w:val="clear" w:pos="567"/>
        </w:tabs>
        <w:snapToGrid/>
        <w:spacing w:after="240"/>
        <w:rPr>
          <w:rFonts w:eastAsia="PMingLiU"/>
          <w:lang w:eastAsia="en-US"/>
        </w:rPr>
      </w:pPr>
      <w:r w:rsidRPr="00D47C8B">
        <w:rPr>
          <w:noProof/>
        </w:rPr>
        <w:drawing>
          <wp:inline distT="0" distB="0" distL="0" distR="0" wp14:anchorId="5CABE9B1" wp14:editId="1B6C8571">
            <wp:extent cx="6120130" cy="5537607"/>
            <wp:effectExtent l="0" t="0" r="0" b="6350"/>
            <wp:docPr id="13784384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501" cy="554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A951D" w14:textId="4C740553" w:rsidR="00D47C8B" w:rsidRDefault="00D47C8B" w:rsidP="00D644C5">
      <w:pPr>
        <w:tabs>
          <w:tab w:val="clear" w:pos="567"/>
        </w:tabs>
        <w:snapToGrid/>
        <w:spacing w:after="240"/>
        <w:rPr>
          <w:rFonts w:eastAsia="PMingLiU"/>
          <w:lang w:eastAsia="en-US"/>
        </w:rPr>
      </w:pPr>
    </w:p>
    <w:p w14:paraId="1531DF6B" w14:textId="1AB4C9D7" w:rsidR="003F57A6" w:rsidRPr="00E2490F" w:rsidRDefault="003F57A6" w:rsidP="00D644C5">
      <w:pPr>
        <w:tabs>
          <w:tab w:val="clear" w:pos="567"/>
        </w:tabs>
        <w:snapToGrid/>
        <w:spacing w:after="240"/>
        <w:rPr>
          <w:rFonts w:cs="Arial"/>
          <w:snapToGrid/>
          <w:sz w:val="20"/>
          <w:szCs w:val="20"/>
          <w:lang w:val="en-GB" w:eastAsia="en-US"/>
        </w:rPr>
      </w:pPr>
    </w:p>
    <w:p w14:paraId="63BC91E1" w14:textId="3A834E14" w:rsidR="00E2490F" w:rsidRPr="00E2490F" w:rsidRDefault="00E2490F" w:rsidP="00E2490F">
      <w:pPr>
        <w:tabs>
          <w:tab w:val="clear" w:pos="567"/>
        </w:tabs>
        <w:snapToGrid/>
        <w:spacing w:after="240"/>
        <w:rPr>
          <w:rFonts w:cs="Arial"/>
          <w:snapToGrid/>
          <w:sz w:val="20"/>
          <w:szCs w:val="20"/>
          <w:u w:val="single"/>
          <w:lang w:val="en-GB" w:eastAsia="en-US" w:bidi="en-US"/>
        </w:rPr>
      </w:pPr>
    </w:p>
    <w:p w14:paraId="54355B80" w14:textId="77777777" w:rsidR="00E2490F" w:rsidRPr="00E2490F" w:rsidRDefault="00E2490F" w:rsidP="00E2490F">
      <w:pPr>
        <w:tabs>
          <w:tab w:val="clear" w:pos="567"/>
        </w:tabs>
        <w:snapToGrid/>
        <w:rPr>
          <w:rFonts w:cs="Arial"/>
          <w:snapToGrid/>
          <w:sz w:val="20"/>
          <w:szCs w:val="20"/>
          <w:u w:val="single"/>
          <w:lang w:val="en-GB" w:eastAsia="en-US" w:bidi="en-US"/>
        </w:rPr>
      </w:pPr>
      <w:r w:rsidRPr="00E2490F">
        <w:rPr>
          <w:rFonts w:cs="Arial"/>
          <w:snapToGrid/>
          <w:sz w:val="20"/>
          <w:szCs w:val="20"/>
          <w:u w:val="single"/>
          <w:lang w:val="en-GB" w:eastAsia="en-US" w:bidi="en-US"/>
        </w:rPr>
        <w:br w:type="page"/>
      </w:r>
    </w:p>
    <w:p w14:paraId="1E041385" w14:textId="77777777" w:rsidR="00E2490F" w:rsidRPr="00A75068" w:rsidRDefault="00E2490F" w:rsidP="00A75068">
      <w:pPr>
        <w:pBdr>
          <w:bottom w:val="single" w:sz="4" w:space="1" w:color="auto"/>
        </w:pBdr>
        <w:spacing w:after="120"/>
        <w:jc w:val="center"/>
        <w:rPr>
          <w:rFonts w:cs="Arial"/>
          <w:b/>
          <w:snapToGrid/>
          <w:sz w:val="20"/>
          <w:szCs w:val="20"/>
          <w:lang w:val="en-GB" w:eastAsia="en-US"/>
        </w:rPr>
      </w:pPr>
      <w:r w:rsidRPr="00A75068">
        <w:rPr>
          <w:rFonts w:eastAsia="PMingLiU"/>
          <w:b/>
          <w:bCs/>
          <w:sz w:val="20"/>
          <w:szCs w:val="20"/>
          <w:lang w:eastAsia="en-US"/>
        </w:rPr>
        <w:lastRenderedPageBreak/>
        <w:t>INFORMATIONS DÉTAILLÉES SUR LES DÉPENSES PAR SOURCE DE FINANCEMENT</w:t>
      </w:r>
    </w:p>
    <w:p w14:paraId="1D6D9CE0" w14:textId="4B2E7E7D" w:rsidR="00E2490F" w:rsidRPr="00A75068" w:rsidRDefault="00A75068" w:rsidP="00A75068">
      <w:pPr>
        <w:tabs>
          <w:tab w:val="clear" w:pos="567"/>
        </w:tabs>
        <w:snapToGrid/>
        <w:spacing w:before="60" w:after="40"/>
        <w:jc w:val="center"/>
        <w:rPr>
          <w:rFonts w:cs="Arial"/>
          <w:snapToGrid/>
          <w:sz w:val="20"/>
          <w:szCs w:val="20"/>
          <w:lang w:val="en-GB" w:eastAsia="en-US"/>
        </w:rPr>
      </w:pPr>
      <w:r>
        <w:rPr>
          <w:rFonts w:eastAsia="PMingLiU"/>
          <w:b/>
          <w:bCs/>
          <w:sz w:val="20"/>
          <w:szCs w:val="20"/>
          <w:lang w:eastAsia="en-US"/>
        </w:rPr>
        <w:t>I.</w:t>
      </w:r>
      <w:r>
        <w:rPr>
          <w:rFonts w:eastAsia="PMingLiU"/>
          <w:b/>
          <w:bCs/>
          <w:sz w:val="20"/>
          <w:szCs w:val="20"/>
          <w:lang w:eastAsia="en-US"/>
        </w:rPr>
        <w:tab/>
      </w:r>
      <w:r w:rsidR="00E2490F" w:rsidRPr="00A75068">
        <w:rPr>
          <w:rFonts w:eastAsia="PMingLiU"/>
          <w:b/>
          <w:bCs/>
          <w:sz w:val="20"/>
          <w:szCs w:val="20"/>
          <w:lang w:eastAsia="en-US"/>
        </w:rPr>
        <w:t>BUDGET ORDINAIRE</w:t>
      </w:r>
    </w:p>
    <w:p w14:paraId="112802C3" w14:textId="75DDF8B3" w:rsidR="00E2490F" w:rsidRPr="00A75068" w:rsidRDefault="00E2490F" w:rsidP="00A75068">
      <w:pPr>
        <w:tabs>
          <w:tab w:val="clear" w:pos="567"/>
        </w:tabs>
        <w:snapToGrid/>
        <w:spacing w:before="60" w:after="120"/>
        <w:ind w:left="851" w:right="-285" w:hanging="993"/>
        <w:contextualSpacing/>
        <w:rPr>
          <w:rFonts w:eastAsia="PMingLiU"/>
          <w:sz w:val="20"/>
          <w:szCs w:val="20"/>
          <w:lang w:eastAsia="en-US"/>
        </w:rPr>
      </w:pPr>
      <w:r w:rsidRPr="00A75068">
        <w:rPr>
          <w:rFonts w:eastAsia="PMingLiU"/>
          <w:sz w:val="20"/>
          <w:szCs w:val="20"/>
          <w:u w:val="single"/>
          <w:lang w:eastAsia="en-US"/>
        </w:rPr>
        <w:t>Tableau 8</w:t>
      </w:r>
      <w:r w:rsidRPr="00A75068">
        <w:rPr>
          <w:rFonts w:eastAsia="PMingLiU"/>
          <w:sz w:val="20"/>
          <w:szCs w:val="20"/>
          <w:lang w:eastAsia="en-US"/>
        </w:rPr>
        <w:t>.</w:t>
      </w:r>
      <w:r w:rsidR="00D47C8B" w:rsidRPr="00A75068">
        <w:rPr>
          <w:rFonts w:eastAsia="PMingLiU"/>
          <w:spacing w:val="-3"/>
          <w:sz w:val="20"/>
          <w:szCs w:val="20"/>
          <w:lang w:eastAsia="en-US"/>
        </w:rPr>
        <w:tab/>
      </w:r>
      <w:r w:rsidRPr="00A75068">
        <w:rPr>
          <w:rFonts w:eastAsia="PMingLiU"/>
          <w:spacing w:val="-3"/>
          <w:sz w:val="20"/>
          <w:szCs w:val="20"/>
          <w:lang w:eastAsia="en-US"/>
        </w:rPr>
        <w:t>Crédits alloués à la COI au titre du budget ordinaire pour 2024-2025 et dépenses au 31 décembre 2024</w:t>
      </w:r>
      <w:bookmarkEnd w:id="4"/>
    </w:p>
    <w:p w14:paraId="5821C6D7" w14:textId="45C9C000" w:rsidR="00A75068" w:rsidRDefault="00A75068" w:rsidP="00D47C8B">
      <w:pPr>
        <w:tabs>
          <w:tab w:val="clear" w:pos="567"/>
        </w:tabs>
        <w:snapToGrid/>
        <w:spacing w:before="240" w:after="120"/>
        <w:ind w:left="1134" w:hanging="1134"/>
        <w:contextualSpacing/>
        <w:rPr>
          <w:rFonts w:eastAsia="PMingLiU"/>
          <w:lang w:eastAsia="en-US"/>
        </w:rPr>
      </w:pPr>
      <w:r w:rsidRPr="00A75068">
        <w:rPr>
          <w:noProof/>
        </w:rPr>
        <w:drawing>
          <wp:anchor distT="0" distB="0" distL="114300" distR="114300" simplePos="0" relativeHeight="251658240" behindDoc="0" locked="0" layoutInCell="1" allowOverlap="1" wp14:anchorId="1D5A541A" wp14:editId="7BFAEC00">
            <wp:simplePos x="0" y="0"/>
            <wp:positionH relativeFrom="column">
              <wp:posOffset>69952</wp:posOffset>
            </wp:positionH>
            <wp:positionV relativeFrom="paragraph">
              <wp:posOffset>106629</wp:posOffset>
            </wp:positionV>
            <wp:extent cx="6022034" cy="8651875"/>
            <wp:effectExtent l="0" t="0" r="0" b="0"/>
            <wp:wrapNone/>
            <wp:docPr id="168747604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209" cy="86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2431EC" w14:textId="24BEC64A" w:rsidR="00A75068" w:rsidRDefault="00A75068">
      <w:pPr>
        <w:tabs>
          <w:tab w:val="clear" w:pos="567"/>
        </w:tabs>
        <w:snapToGrid/>
        <w:rPr>
          <w:rFonts w:eastAsia="PMingLiU"/>
          <w:lang w:eastAsia="en-US"/>
        </w:rPr>
      </w:pPr>
      <w:r>
        <w:rPr>
          <w:rFonts w:eastAsia="PMingLiU"/>
          <w:lang w:eastAsia="en-US"/>
        </w:rPr>
        <w:br w:type="page"/>
      </w:r>
    </w:p>
    <w:p w14:paraId="336475E8" w14:textId="77777777" w:rsidR="00E2490F" w:rsidRPr="00E2490F" w:rsidRDefault="00E2490F" w:rsidP="00E2490F">
      <w:pPr>
        <w:pBdr>
          <w:bottom w:val="single" w:sz="4" w:space="1" w:color="auto"/>
        </w:pBdr>
        <w:spacing w:before="240" w:after="120"/>
        <w:jc w:val="center"/>
        <w:rPr>
          <w:rFonts w:cs="Arial"/>
          <w:b/>
          <w:snapToGrid/>
          <w:sz w:val="20"/>
          <w:szCs w:val="20"/>
          <w:lang w:val="en-GB" w:eastAsia="en-US"/>
        </w:rPr>
      </w:pPr>
      <w:r w:rsidRPr="00E2490F">
        <w:rPr>
          <w:rFonts w:eastAsia="PMingLiU"/>
          <w:b/>
          <w:bCs/>
          <w:lang w:eastAsia="en-US"/>
        </w:rPr>
        <w:lastRenderedPageBreak/>
        <w:t>INFORMATIONS DÉTAILLÉES SUR LES DÉPENSES PAR SOURCE DE FINANCEMENT</w:t>
      </w:r>
    </w:p>
    <w:p w14:paraId="300C2052" w14:textId="275EF67C" w:rsidR="00E2490F" w:rsidRPr="00E2490F" w:rsidRDefault="00F63A2A" w:rsidP="00F63A2A">
      <w:pPr>
        <w:pStyle w:val="Heading1"/>
        <w:rPr>
          <w:rFonts w:cs="Arial"/>
          <w:snapToGrid/>
          <w:sz w:val="20"/>
          <w:szCs w:val="20"/>
          <w:lang w:val="en-GB"/>
        </w:rPr>
      </w:pPr>
      <w:r>
        <w:rPr>
          <w:rFonts w:eastAsia="PMingLiU"/>
        </w:rPr>
        <w:t>II.</w:t>
      </w:r>
      <w:r>
        <w:rPr>
          <w:rFonts w:eastAsia="PMingLiU"/>
        </w:rPr>
        <w:tab/>
      </w:r>
      <w:r w:rsidR="00E2490F" w:rsidRPr="00E2490F">
        <w:rPr>
          <w:rFonts w:eastAsia="PMingLiU"/>
        </w:rPr>
        <w:t>CONTRIBUTIONS VOLONTAIRES</w:t>
      </w:r>
    </w:p>
    <w:p w14:paraId="5C40B7DD" w14:textId="77777777" w:rsidR="00E2490F" w:rsidRPr="00E2490F" w:rsidRDefault="00E2490F" w:rsidP="00E2490F">
      <w:pPr>
        <w:spacing w:before="240" w:after="240"/>
        <w:jc w:val="center"/>
        <w:rPr>
          <w:rFonts w:cs="Arial"/>
          <w:b/>
          <w:snapToGrid/>
          <w:sz w:val="20"/>
          <w:szCs w:val="20"/>
          <w:u w:val="single"/>
          <w:lang w:val="en-GB" w:eastAsia="en-US"/>
        </w:rPr>
      </w:pPr>
      <w:r w:rsidRPr="00E2490F">
        <w:rPr>
          <w:rFonts w:eastAsia="PMingLiU"/>
          <w:b/>
          <w:bCs/>
          <w:u w:val="single"/>
          <w:lang w:eastAsia="en-US"/>
        </w:rPr>
        <w:t>CONTRIBUTIONS ADDITIONNELLES</w:t>
      </w:r>
    </w:p>
    <w:p w14:paraId="39DA7D77" w14:textId="210C8B45" w:rsidR="00E2490F" w:rsidRDefault="00E2490F" w:rsidP="00F63A2A">
      <w:pPr>
        <w:spacing w:before="240" w:after="240"/>
        <w:rPr>
          <w:rFonts w:eastAsia="PMingLiU"/>
          <w:lang w:eastAsia="en-US"/>
        </w:rPr>
      </w:pPr>
      <w:r w:rsidRPr="00E2490F">
        <w:rPr>
          <w:rFonts w:eastAsia="PMingLiU"/>
          <w:u w:val="single"/>
          <w:lang w:eastAsia="en-US"/>
        </w:rPr>
        <w:t>Tableau 9</w:t>
      </w:r>
      <w:r w:rsidRPr="00E2490F">
        <w:rPr>
          <w:rFonts w:eastAsia="PMingLiU"/>
          <w:lang w:eastAsia="en-US"/>
        </w:rPr>
        <w:t xml:space="preserve">. Dépenses au 31 décembre 2024 </w:t>
      </w:r>
    </w:p>
    <w:p w14:paraId="38B25DCF" w14:textId="4EFE6124" w:rsidR="00FD0FD7" w:rsidRPr="00E2490F" w:rsidRDefault="00FD0FD7" w:rsidP="00F63A2A">
      <w:pPr>
        <w:spacing w:before="240" w:after="240"/>
        <w:rPr>
          <w:rFonts w:cs="Arial"/>
          <w:bCs/>
          <w:snapToGrid/>
          <w:sz w:val="20"/>
          <w:szCs w:val="20"/>
          <w:lang w:val="en-GB" w:eastAsia="en-US"/>
        </w:rPr>
      </w:pPr>
      <w:r w:rsidRPr="00FD0FD7">
        <w:rPr>
          <w:noProof/>
        </w:rPr>
        <w:drawing>
          <wp:inline distT="0" distB="0" distL="0" distR="0" wp14:anchorId="06EF5F2D" wp14:editId="6EF262FC">
            <wp:extent cx="6120130" cy="1089025"/>
            <wp:effectExtent l="0" t="0" r="0" b="0"/>
            <wp:docPr id="47539101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5B735" w14:textId="77777777" w:rsidR="00E2490F" w:rsidRPr="00F63A2A" w:rsidRDefault="00E2490F" w:rsidP="00F63A2A">
      <w:pPr>
        <w:pStyle w:val="Heading1"/>
        <w:rPr>
          <w:rFonts w:eastAsia="PMingLiU" w:cs="Arial"/>
          <w:iCs/>
          <w:sz w:val="20"/>
          <w:szCs w:val="20"/>
          <w:u w:val="single"/>
          <w:lang w:val="en-GB"/>
        </w:rPr>
      </w:pPr>
      <w:r w:rsidRPr="00F63A2A">
        <w:rPr>
          <w:rFonts w:eastAsia="PMingLiU"/>
          <w:u w:val="single"/>
        </w:rPr>
        <w:t>COMPTE SPÉCIAL DE LA COI</w:t>
      </w:r>
    </w:p>
    <w:p w14:paraId="46B244BF" w14:textId="77777777" w:rsidR="00E2490F" w:rsidRPr="00E2490F" w:rsidRDefault="00E2490F" w:rsidP="00E2490F">
      <w:pPr>
        <w:spacing w:after="240"/>
        <w:rPr>
          <w:rFonts w:cs="Arial"/>
          <w:snapToGrid/>
          <w:sz w:val="20"/>
          <w:szCs w:val="20"/>
          <w:lang w:val="en-GB" w:eastAsia="en-US"/>
        </w:rPr>
      </w:pPr>
      <w:r w:rsidRPr="00E2490F">
        <w:rPr>
          <w:rFonts w:eastAsia="PMingLiU"/>
          <w:u w:val="single"/>
          <w:lang w:eastAsia="en-US"/>
        </w:rPr>
        <w:t>Tableau 10</w:t>
      </w:r>
      <w:r w:rsidRPr="00E2490F">
        <w:rPr>
          <w:rFonts w:eastAsia="PMingLiU"/>
          <w:lang w:eastAsia="en-US"/>
        </w:rPr>
        <w:t>. Dépenses au 31 décembre 2024</w:t>
      </w:r>
      <w:bookmarkStart w:id="5" w:name="SecC"/>
    </w:p>
    <w:tbl>
      <w:tblPr>
        <w:tblW w:w="9776" w:type="dxa"/>
        <w:tblLayout w:type="fixed"/>
        <w:tblLook w:val="04A0" w:firstRow="1" w:lastRow="0" w:firstColumn="1" w:lastColumn="0" w:noHBand="0" w:noVBand="1"/>
      </w:tblPr>
      <w:tblGrid>
        <w:gridCol w:w="5949"/>
        <w:gridCol w:w="1276"/>
        <w:gridCol w:w="1275"/>
        <w:gridCol w:w="1276"/>
      </w:tblGrid>
      <w:tr w:rsidR="00E2490F" w:rsidRPr="00E2490F" w14:paraId="59A70B7F" w14:textId="77777777" w:rsidTr="00F63A2A">
        <w:trPr>
          <w:trHeight w:val="480"/>
        </w:trPr>
        <w:tc>
          <w:tcPr>
            <w:tcW w:w="5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291B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Fonction/titre de l’activité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9C2DA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Dépenses encourues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5216D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Engagements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32BC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Total</w:t>
            </w:r>
          </w:p>
        </w:tc>
      </w:tr>
      <w:tr w:rsidR="00E2490F" w:rsidRPr="00E2490F" w14:paraId="73F16C28" w14:textId="77777777" w:rsidTr="00F63A2A">
        <w:trPr>
          <w:trHeight w:val="300"/>
        </w:trPr>
        <w:tc>
          <w:tcPr>
            <w:tcW w:w="5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0DFA0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EAD3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$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5122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$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4CD5" w14:textId="77777777" w:rsidR="00E2490F" w:rsidRPr="00E2490F" w:rsidRDefault="00E2490F" w:rsidP="00E2490F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$</w:t>
            </w:r>
          </w:p>
        </w:tc>
      </w:tr>
      <w:tr w:rsidR="00E2490F" w:rsidRPr="00E2490F" w14:paraId="18109DE2" w14:textId="77777777" w:rsidTr="006E7669">
        <w:trPr>
          <w:trHeight w:val="30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FCF2023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FONCTION A (Recherche océanographique)</w:t>
            </w:r>
          </w:p>
        </w:tc>
      </w:tr>
      <w:tr w:rsidR="00E2490F" w:rsidRPr="00E2490F" w14:paraId="3CAE0DC6" w14:textId="77777777" w:rsidTr="006E7669">
        <w:trPr>
          <w:trHeight w:val="49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59F4C" w14:textId="3798E10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Favoriser la recherche océanographique pour renforcer la connaissance des</w:t>
            </w:r>
            <w:r w:rsidR="00F63A2A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 </w:t>
            </w: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 xml:space="preserve">processus océaniques et côtiers ainsi que des effets de l’activité humaine sur ces processus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094B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150 864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3E31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</w:pPr>
            <w:r w:rsidRPr="00E2490F"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9D43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150 864</w:t>
            </w:r>
          </w:p>
        </w:tc>
      </w:tr>
      <w:tr w:rsidR="00E2490F" w:rsidRPr="00E2490F" w14:paraId="1764836B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3746" w14:textId="77777777" w:rsidR="00E2490F" w:rsidRPr="00E2490F" w:rsidRDefault="00E2490F" w:rsidP="00E2490F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Sous-total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C6A2C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150 864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E9A3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</w:pPr>
            <w:r w:rsidRPr="00E2490F"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US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CC8E9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150 864</w:t>
            </w:r>
          </w:p>
        </w:tc>
      </w:tr>
      <w:tr w:rsidR="00E2490F" w:rsidRPr="00E2490F" w14:paraId="07E65114" w14:textId="77777777" w:rsidTr="006E7669">
        <w:trPr>
          <w:trHeight w:val="30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6125227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FONCTION B (Systèmes d’observation/gestion des données)</w:t>
            </w:r>
          </w:p>
        </w:tc>
      </w:tr>
      <w:tr w:rsidR="00E2490F" w:rsidRPr="00E2490F" w14:paraId="2F49596A" w14:textId="77777777" w:rsidTr="006E7669">
        <w:trPr>
          <w:trHeight w:val="49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1481" w14:textId="611EB30B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Entretenir, renforcer et intégrer les systèmes mondiaux d’observation, de</w:t>
            </w:r>
            <w:r w:rsidR="00F63A2A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 </w:t>
            </w: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données et d’information relatifs à l’océan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6117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139 738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5B373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5 326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24BF9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145 064</w:t>
            </w:r>
          </w:p>
        </w:tc>
      </w:tr>
      <w:tr w:rsidR="00E2490F" w:rsidRPr="00E2490F" w14:paraId="769ED832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F5B3" w14:textId="7777777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OceanOPS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A4B9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212 276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13F19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852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E7F85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213 128</w:t>
            </w:r>
          </w:p>
        </w:tc>
      </w:tr>
      <w:tr w:rsidR="00E2490F" w:rsidRPr="00E2490F" w14:paraId="569939E8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EFEC" w14:textId="7777777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Sous-total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1105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352 014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AFF4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6 178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0F3E5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358 192</w:t>
            </w:r>
          </w:p>
        </w:tc>
      </w:tr>
      <w:tr w:rsidR="00E2490F" w:rsidRPr="00E2490F" w14:paraId="3573440D" w14:textId="77777777" w:rsidTr="006E7669">
        <w:trPr>
          <w:trHeight w:val="30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F4F6F72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FONCTION C (Alerte rapide et services)</w:t>
            </w:r>
          </w:p>
        </w:tc>
      </w:tr>
      <w:tr w:rsidR="00E2490F" w:rsidRPr="00E2490F" w14:paraId="507C4CEF" w14:textId="77777777" w:rsidTr="006E7669">
        <w:trPr>
          <w:trHeight w:val="49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6862F" w14:textId="7777777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Développer les systèmes d’alerte rapide et les mécanismes de préparation pour atténuer les risques de tsunami et autres aléas liés aux océans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67C48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187 376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AD3BC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33 131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BD9F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220 507</w:t>
            </w:r>
          </w:p>
        </w:tc>
      </w:tr>
      <w:tr w:rsidR="00E2490F" w:rsidRPr="00E2490F" w14:paraId="2B3582CC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0544D" w14:textId="7777777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Secrétariat du GIC/IOTWMS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E1E4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313 532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D273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11 637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71D4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325 169</w:t>
            </w:r>
          </w:p>
        </w:tc>
      </w:tr>
      <w:tr w:rsidR="00E2490F" w:rsidRPr="00E2490F" w14:paraId="3733AA19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7891A" w14:textId="7777777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Sous-total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7EBD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500 908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FFC2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44 768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DB348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545 676</w:t>
            </w:r>
          </w:p>
        </w:tc>
      </w:tr>
      <w:tr w:rsidR="00E2490F" w:rsidRPr="00E2490F" w14:paraId="36981B67" w14:textId="77777777" w:rsidTr="006E7669">
        <w:trPr>
          <w:trHeight w:val="30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4114BDC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FONCTION D (Évaluation/information pour l’élaboration de politiques)</w:t>
            </w:r>
          </w:p>
        </w:tc>
      </w:tr>
      <w:tr w:rsidR="00E2490F" w:rsidRPr="00E2490F" w14:paraId="24BB8A11" w14:textId="77777777" w:rsidTr="006E7669">
        <w:trPr>
          <w:trHeight w:val="49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0827" w14:textId="7777777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Soutenir l’évaluation et l’information pour améliorer l’interface entre sciences et politiques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56973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95 476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B6433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42 290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E972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137 766</w:t>
            </w:r>
          </w:p>
        </w:tc>
      </w:tr>
      <w:tr w:rsidR="00E2490F" w:rsidRPr="00E2490F" w14:paraId="6EBE65E7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64E0" w14:textId="7777777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Sous-total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AFC7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95 476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4D4C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42 290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C1495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137 766</w:t>
            </w:r>
          </w:p>
        </w:tc>
      </w:tr>
      <w:tr w:rsidR="00E2490F" w:rsidRPr="00E2490F" w14:paraId="693F8845" w14:textId="77777777" w:rsidTr="006E7669">
        <w:trPr>
          <w:trHeight w:val="30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9583D97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FONCTION E (Gestion et gouvernance durables)</w:t>
            </w:r>
          </w:p>
        </w:tc>
      </w:tr>
      <w:tr w:rsidR="00E2490F" w:rsidRPr="00E2490F" w14:paraId="7C459108" w14:textId="77777777" w:rsidTr="006E7669">
        <w:trPr>
          <w:trHeight w:val="49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BA4AB" w14:textId="7777777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Renforcer la gouvernance des océans grâce à une base de connaissances partagée et à l’amélioration de la coopération régionale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919A6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117 382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9D3DE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12 252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A7F8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129 634</w:t>
            </w:r>
          </w:p>
        </w:tc>
      </w:tr>
      <w:tr w:rsidR="00E2490F" w:rsidRPr="00E2490F" w14:paraId="57B274E0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9EC1A" w14:textId="0FDA026A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Décennie des Nations Unies pour les sciences océaniques au service du</w:t>
            </w:r>
            <w:r w:rsidR="00F63A2A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 </w:t>
            </w: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développement durable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4F3A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1 079 876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3D3B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310 084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067A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1 389 960</w:t>
            </w:r>
          </w:p>
        </w:tc>
      </w:tr>
      <w:tr w:rsidR="00E2490F" w:rsidRPr="00E2490F" w14:paraId="7F892E7C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8745" w14:textId="77777777" w:rsidR="00E2490F" w:rsidRPr="00E2490F" w:rsidRDefault="00E2490F" w:rsidP="00F63A2A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Sous-total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505D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1 197 259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C1A6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322 335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CA2F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1 519 594</w:t>
            </w:r>
          </w:p>
        </w:tc>
      </w:tr>
      <w:tr w:rsidR="00E2490F" w:rsidRPr="00E2490F" w14:paraId="5EE3243E" w14:textId="77777777" w:rsidTr="006E7669">
        <w:trPr>
          <w:trHeight w:val="30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CC93AD7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center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FONCTION F (Développement des capacités)</w:t>
            </w:r>
          </w:p>
        </w:tc>
      </w:tr>
      <w:tr w:rsidR="00E2490F" w:rsidRPr="00E2490F" w14:paraId="061EFFAC" w14:textId="77777777" w:rsidTr="006E7669">
        <w:trPr>
          <w:trHeight w:val="495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4C11" w14:textId="77777777" w:rsidR="00E2490F" w:rsidRPr="00E2490F" w:rsidRDefault="00E2490F" w:rsidP="006E766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Développer les capacités institutionnelles dans toutes les fonctions susmentionnées, en tant que fonction transversale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1772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189 871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94024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45 534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62BF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235 405</w:t>
            </w:r>
          </w:p>
        </w:tc>
      </w:tr>
      <w:tr w:rsidR="00E2490F" w:rsidRPr="00E2490F" w14:paraId="55692345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32B7E" w14:textId="77777777" w:rsidR="00E2490F" w:rsidRPr="00E2490F" w:rsidRDefault="00E2490F" w:rsidP="006E766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Sous-total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881F4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189 871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26CF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45 534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C3BE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color w:val="000000"/>
                <w:sz w:val="18"/>
                <w:szCs w:val="18"/>
                <w:lang w:eastAsia="en-US"/>
              </w:rPr>
              <w:t>235 405</w:t>
            </w:r>
          </w:p>
        </w:tc>
      </w:tr>
      <w:tr w:rsidR="00E2490F" w:rsidRPr="00E2490F" w14:paraId="588502D6" w14:textId="77777777" w:rsidTr="006E7669">
        <w:trPr>
          <w:trHeight w:val="300"/>
        </w:trPr>
        <w:tc>
          <w:tcPr>
            <w:tcW w:w="5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3D7AE057" w14:textId="77777777" w:rsidR="00E2490F" w:rsidRPr="00E2490F" w:rsidRDefault="00E2490F" w:rsidP="006E7669">
            <w:pPr>
              <w:tabs>
                <w:tab w:val="clear" w:pos="567"/>
              </w:tabs>
              <w:snapToGrid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DFD2E04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2 486 392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64DB2312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461 105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45DD5EA7" w14:textId="77777777" w:rsidR="00E2490F" w:rsidRPr="00E2490F" w:rsidRDefault="00E2490F" w:rsidP="006E7669">
            <w:pPr>
              <w:tabs>
                <w:tab w:val="clear" w:pos="567"/>
              </w:tabs>
              <w:snapToGrid/>
              <w:jc w:val="right"/>
              <w:rPr>
                <w:rFonts w:ascii="Calibri" w:eastAsia="Times New Roman" w:hAnsi="Calibri" w:cs="Calibri"/>
                <w:b/>
                <w:bCs/>
                <w:snapToGrid/>
                <w:color w:val="000000"/>
                <w:sz w:val="18"/>
                <w:szCs w:val="18"/>
                <w:lang w:val="en-GB" w:eastAsia="en-US"/>
              </w:rPr>
            </w:pPr>
            <w:r w:rsidRPr="00E2490F">
              <w:rPr>
                <w:rFonts w:ascii="Calibri" w:eastAsia="PMingLiU" w:hAnsi="Calibri" w:cs="Calibri"/>
                <w:b/>
                <w:bCs/>
                <w:color w:val="000000"/>
                <w:sz w:val="18"/>
                <w:szCs w:val="18"/>
                <w:lang w:eastAsia="en-US"/>
              </w:rPr>
              <w:t>2 947 497</w:t>
            </w:r>
          </w:p>
        </w:tc>
      </w:tr>
    </w:tbl>
    <w:p w14:paraId="01CAA13D" w14:textId="77777777" w:rsidR="00E2490F" w:rsidRPr="00E2490F" w:rsidRDefault="00E2490F" w:rsidP="00E2490F">
      <w:pPr>
        <w:tabs>
          <w:tab w:val="clear" w:pos="567"/>
        </w:tabs>
        <w:snapToGrid/>
        <w:rPr>
          <w:rFonts w:cs="Arial"/>
          <w:snapToGrid/>
          <w:sz w:val="20"/>
          <w:szCs w:val="20"/>
          <w:lang w:val="en-GB" w:eastAsia="en-US" w:bidi="en-US"/>
        </w:rPr>
      </w:pPr>
      <w:r w:rsidRPr="00E2490F">
        <w:rPr>
          <w:rFonts w:cs="Arial"/>
          <w:snapToGrid/>
          <w:sz w:val="20"/>
          <w:szCs w:val="20"/>
          <w:lang w:val="en-GB" w:eastAsia="en-US" w:bidi="en-US"/>
        </w:rPr>
        <w:br w:type="page"/>
      </w:r>
    </w:p>
    <w:p w14:paraId="55985E4D" w14:textId="48947D2A" w:rsidR="00E2490F" w:rsidRPr="00E2490F" w:rsidRDefault="00E2490F" w:rsidP="00F844CF">
      <w:pPr>
        <w:spacing w:before="240" w:after="240"/>
        <w:jc w:val="center"/>
        <w:rPr>
          <w:rFonts w:eastAsia="PMingLiU" w:cs="Arial"/>
          <w:sz w:val="20"/>
          <w:szCs w:val="20"/>
          <w:u w:val="single"/>
          <w:lang w:val="en-GB" w:eastAsia="en-US"/>
        </w:rPr>
      </w:pPr>
      <w:bookmarkStart w:id="6" w:name="table_9"/>
      <w:bookmarkEnd w:id="5"/>
      <w:r w:rsidRPr="00E2490F">
        <w:rPr>
          <w:rFonts w:eastAsia="PMingLiU"/>
          <w:b/>
          <w:bCs/>
          <w:u w:val="single"/>
          <w:lang w:eastAsia="en-US"/>
        </w:rPr>
        <w:lastRenderedPageBreak/>
        <w:t>FONDS-EN-DÉPÔT</w:t>
      </w:r>
    </w:p>
    <w:p w14:paraId="6703CAC0" w14:textId="055A0E85" w:rsidR="00E2490F" w:rsidRPr="00E2490F" w:rsidRDefault="00F844CF" w:rsidP="00F844CF">
      <w:pPr>
        <w:tabs>
          <w:tab w:val="left" w:pos="1276"/>
        </w:tabs>
        <w:rPr>
          <w:rFonts w:eastAsia="PMingLiU" w:cs="Arial"/>
          <w:sz w:val="20"/>
          <w:szCs w:val="20"/>
          <w:lang w:val="en-GB" w:eastAsia="en-US"/>
        </w:rPr>
      </w:pPr>
      <w:r w:rsidRPr="00F844CF">
        <w:rPr>
          <w:noProof/>
        </w:rPr>
        <w:drawing>
          <wp:anchor distT="0" distB="0" distL="114300" distR="114300" simplePos="0" relativeHeight="251659264" behindDoc="0" locked="0" layoutInCell="1" allowOverlap="1" wp14:anchorId="7B773F4E" wp14:editId="0DC720B0">
            <wp:simplePos x="0" y="0"/>
            <wp:positionH relativeFrom="margin">
              <wp:align>center</wp:align>
            </wp:positionH>
            <wp:positionV relativeFrom="paragraph">
              <wp:posOffset>329821</wp:posOffset>
            </wp:positionV>
            <wp:extent cx="5926288" cy="8573984"/>
            <wp:effectExtent l="0" t="0" r="0" b="0"/>
            <wp:wrapNone/>
            <wp:docPr id="169122131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88" cy="857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90F" w:rsidRPr="00E2490F">
        <w:rPr>
          <w:rFonts w:eastAsia="PMingLiU"/>
          <w:u w:val="single"/>
          <w:lang w:eastAsia="en-US"/>
        </w:rPr>
        <w:t>Tableau 11</w:t>
      </w:r>
      <w:r w:rsidR="00E2490F" w:rsidRPr="00E2490F">
        <w:rPr>
          <w:rFonts w:eastAsia="PMingLiU"/>
          <w:lang w:eastAsia="en-US"/>
        </w:rPr>
        <w:t>.</w:t>
      </w:r>
      <w:r>
        <w:rPr>
          <w:rFonts w:eastAsia="PMingLiU"/>
          <w:lang w:eastAsia="en-US"/>
        </w:rPr>
        <w:tab/>
      </w:r>
      <w:r w:rsidR="00E2490F" w:rsidRPr="00E2490F">
        <w:rPr>
          <w:rFonts w:eastAsia="PMingLiU"/>
          <w:lang w:eastAsia="en-US"/>
        </w:rPr>
        <w:t>Dépenses au 31 décembre 2024</w:t>
      </w:r>
      <w:bookmarkEnd w:id="6"/>
      <w:r w:rsidR="00E2490F" w:rsidRPr="00E2490F">
        <w:rPr>
          <w:rFonts w:eastAsia="PMingLiU"/>
          <w:lang w:eastAsia="en-US"/>
        </w:rPr>
        <w:t xml:space="preserve"> </w:t>
      </w:r>
      <w:r w:rsidR="00E2490F" w:rsidRPr="00E2490F">
        <w:rPr>
          <w:rFonts w:eastAsia="PMingLiU"/>
          <w:lang w:eastAsia="en-US"/>
        </w:rPr>
        <w:br w:type="page"/>
      </w:r>
    </w:p>
    <w:p w14:paraId="17861D3E" w14:textId="77777777" w:rsidR="00E2490F" w:rsidRPr="00F844CF" w:rsidRDefault="00E2490F" w:rsidP="007279DB">
      <w:pPr>
        <w:pStyle w:val="Heading1"/>
        <w:spacing w:after="180"/>
        <w:rPr>
          <w:rFonts w:eastAsia="PMingLiU" w:cs="Arial"/>
          <w:b w:val="0"/>
          <w:bCs w:val="0"/>
          <w:sz w:val="20"/>
          <w:szCs w:val="20"/>
          <w:lang w:val="en-GB"/>
        </w:rPr>
      </w:pPr>
      <w:r w:rsidRPr="00F844CF">
        <w:rPr>
          <w:rFonts w:eastAsia="PMingLiU"/>
          <w:b w:val="0"/>
          <w:bCs w:val="0"/>
        </w:rPr>
        <w:lastRenderedPageBreak/>
        <w:t>ANNEXE I</w:t>
      </w:r>
    </w:p>
    <w:p w14:paraId="535FE916" w14:textId="77777777" w:rsidR="00E2490F" w:rsidRPr="00E2490F" w:rsidRDefault="00E2490F" w:rsidP="00E2490F">
      <w:pPr>
        <w:tabs>
          <w:tab w:val="clear" w:pos="567"/>
        </w:tabs>
        <w:snapToGrid/>
        <w:jc w:val="center"/>
        <w:rPr>
          <w:rFonts w:eastAsia="PMingLiU" w:cs="Arial"/>
          <w:b/>
          <w:bCs/>
          <w:sz w:val="20"/>
          <w:szCs w:val="20"/>
          <w:lang w:val="en-GB" w:eastAsia="en-US"/>
        </w:rPr>
      </w:pPr>
      <w:r w:rsidRPr="00E2490F">
        <w:rPr>
          <w:rFonts w:eastAsia="PMingLiU"/>
          <w:b/>
          <w:bCs/>
          <w:lang w:eastAsia="en-US"/>
        </w:rPr>
        <w:t>Aperçu de la dotation en effectifs de la COI en 2024</w:t>
      </w:r>
    </w:p>
    <w:p w14:paraId="217DD65F" w14:textId="51CC16C6" w:rsidR="00E2490F" w:rsidRDefault="00E2490F" w:rsidP="00A143A6">
      <w:pPr>
        <w:spacing w:before="120" w:after="240"/>
        <w:rPr>
          <w:rFonts w:eastAsia="PMingLiU"/>
          <w:lang w:eastAsia="en-US"/>
        </w:rPr>
      </w:pPr>
      <w:r w:rsidRPr="00E2490F">
        <w:rPr>
          <w:rFonts w:eastAsia="PMingLiU"/>
          <w:u w:val="single"/>
          <w:lang w:eastAsia="en-US"/>
        </w:rPr>
        <w:t>Figure 7</w:t>
      </w:r>
      <w:r w:rsidRPr="00E2490F">
        <w:rPr>
          <w:rFonts w:eastAsia="PMingLiU"/>
          <w:lang w:eastAsia="en-US"/>
        </w:rPr>
        <w:t>. Dotation en effectifs au titre du budget ordinaire (42 C/5)</w:t>
      </w:r>
    </w:p>
    <w:p w14:paraId="0C914EC9" w14:textId="59703E58" w:rsidR="007279DB" w:rsidRPr="00E2490F" w:rsidRDefault="007279DB" w:rsidP="00A143A6">
      <w:pPr>
        <w:spacing w:before="120"/>
        <w:jc w:val="center"/>
        <w:rPr>
          <w:rFonts w:eastAsia="PMingLiU" w:cs="Arial"/>
          <w:sz w:val="20"/>
          <w:szCs w:val="20"/>
          <w:lang w:val="en-GB" w:eastAsia="en-US"/>
        </w:rPr>
      </w:pPr>
      <w:r>
        <w:rPr>
          <w:rFonts w:eastAsia="PMingLiU" w:cs="Arial"/>
          <w:noProof/>
          <w:sz w:val="20"/>
          <w:szCs w:val="20"/>
          <w:lang w:val="en-GB" w:eastAsia="en-US"/>
        </w:rPr>
        <w:drawing>
          <wp:inline distT="0" distB="0" distL="0" distR="0" wp14:anchorId="5CB1DAA8" wp14:editId="21B2FDE8">
            <wp:extent cx="5264150" cy="2739762"/>
            <wp:effectExtent l="0" t="0" r="0" b="3810"/>
            <wp:docPr id="138644110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131" cy="27626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EC246" w14:textId="1D929408" w:rsidR="00E2490F" w:rsidRDefault="00E2490F" w:rsidP="00A143A6">
      <w:pPr>
        <w:spacing w:before="320"/>
        <w:rPr>
          <w:rFonts w:eastAsia="PMingLiU"/>
          <w:lang w:eastAsia="en-US"/>
        </w:rPr>
      </w:pPr>
      <w:r w:rsidRPr="00E2490F">
        <w:rPr>
          <w:rFonts w:eastAsia="PMingLiU"/>
          <w:u w:val="single"/>
          <w:lang w:eastAsia="en-US"/>
        </w:rPr>
        <w:t>Figure 8</w:t>
      </w:r>
      <w:r w:rsidRPr="00E2490F">
        <w:rPr>
          <w:rFonts w:eastAsia="PMingLiU"/>
          <w:lang w:eastAsia="en-US"/>
        </w:rPr>
        <w:t xml:space="preserve">. Équivalent plein temps effectif, toutes sources de financement confondues </w:t>
      </w:r>
    </w:p>
    <w:p w14:paraId="7AADF532" w14:textId="3110754E" w:rsidR="00A143A6" w:rsidRPr="00E2490F" w:rsidRDefault="00A143A6" w:rsidP="00A143A6">
      <w:pPr>
        <w:spacing w:before="240"/>
        <w:jc w:val="center"/>
        <w:rPr>
          <w:rFonts w:eastAsia="PMingLiU" w:cs="Arial"/>
          <w:sz w:val="20"/>
          <w:szCs w:val="20"/>
          <w:lang w:val="en-GB" w:eastAsia="en-US"/>
        </w:rPr>
      </w:pPr>
      <w:r>
        <w:rPr>
          <w:rFonts w:eastAsia="PMingLiU" w:cs="Arial"/>
          <w:noProof/>
          <w:sz w:val="20"/>
          <w:szCs w:val="20"/>
          <w:lang w:val="en-GB" w:eastAsia="en-US"/>
        </w:rPr>
        <w:drawing>
          <wp:inline distT="0" distB="0" distL="0" distR="0" wp14:anchorId="7919417D" wp14:editId="2BFF4297">
            <wp:extent cx="5006421" cy="2998381"/>
            <wp:effectExtent l="0" t="0" r="3810" b="0"/>
            <wp:docPr id="123378746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001" cy="3034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7084A" w14:textId="77777777" w:rsidR="00E2490F" w:rsidRDefault="00E2490F" w:rsidP="00A143A6">
      <w:pPr>
        <w:spacing w:before="300"/>
        <w:rPr>
          <w:rFonts w:eastAsia="PMingLiU"/>
          <w:lang w:eastAsia="en-US"/>
        </w:rPr>
      </w:pPr>
      <w:r w:rsidRPr="00A143A6">
        <w:rPr>
          <w:rFonts w:eastAsia="PMingLiU"/>
          <w:u w:val="single"/>
          <w:lang w:eastAsia="en-US"/>
        </w:rPr>
        <w:t>Tableau 12</w:t>
      </w:r>
      <w:r w:rsidRPr="00A143A6">
        <w:rPr>
          <w:rFonts w:eastAsia="PMingLiU"/>
          <w:lang w:eastAsia="en-US"/>
        </w:rPr>
        <w:t>. Postes de durée définie vacants (42 C/5), au 31 décembre 2024</w:t>
      </w:r>
    </w:p>
    <w:p w14:paraId="5059CF09" w14:textId="274AF832" w:rsidR="00E2490F" w:rsidRPr="00E2490F" w:rsidRDefault="00A143A6" w:rsidP="00A143A6">
      <w:pPr>
        <w:spacing w:before="240"/>
        <w:rPr>
          <w:rFonts w:eastAsia="PMingLiU" w:cs="Arial"/>
          <w:sz w:val="20"/>
          <w:szCs w:val="20"/>
          <w:lang w:val="en-GB" w:eastAsia="en-US"/>
        </w:rPr>
      </w:pPr>
      <w:r w:rsidRPr="00A143A6">
        <w:rPr>
          <w:noProof/>
        </w:rPr>
        <w:drawing>
          <wp:inline distT="0" distB="0" distL="0" distR="0" wp14:anchorId="1EAA90D3" wp14:editId="5562C9F4">
            <wp:extent cx="3668233" cy="1424435"/>
            <wp:effectExtent l="0" t="0" r="8890" b="4445"/>
            <wp:docPr id="421247436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52" cy="143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90F" w:rsidRPr="00E2490F">
        <w:rPr>
          <w:rFonts w:eastAsia="PMingLiU" w:cs="Arial"/>
          <w:sz w:val="20"/>
          <w:szCs w:val="20"/>
          <w:lang w:val="en-GB" w:eastAsia="en-US"/>
        </w:rPr>
        <w:br w:type="page"/>
      </w:r>
    </w:p>
    <w:p w14:paraId="20686968" w14:textId="77777777" w:rsidR="00E2490F" w:rsidRPr="007279DB" w:rsidRDefault="00E2490F" w:rsidP="007279DB">
      <w:pPr>
        <w:pStyle w:val="Heading1"/>
        <w:rPr>
          <w:rFonts w:eastAsia="PMingLiU" w:cs="Arial"/>
          <w:b w:val="0"/>
          <w:bCs w:val="0"/>
          <w:sz w:val="20"/>
          <w:szCs w:val="20"/>
          <w:lang w:val="en-GB"/>
        </w:rPr>
      </w:pPr>
      <w:r w:rsidRPr="007279DB">
        <w:rPr>
          <w:rFonts w:eastAsia="PMingLiU"/>
          <w:b w:val="0"/>
          <w:bCs w:val="0"/>
        </w:rPr>
        <w:lastRenderedPageBreak/>
        <w:t>ANNEXE II</w:t>
      </w:r>
    </w:p>
    <w:p w14:paraId="122EE312" w14:textId="2C5A1C34" w:rsidR="00E2490F" w:rsidRPr="00E2490F" w:rsidRDefault="00E2490F" w:rsidP="007279DB">
      <w:pPr>
        <w:pStyle w:val="Heading1"/>
        <w:rPr>
          <w:rFonts w:eastAsia="PMingLiU" w:cs="Arial"/>
          <w:b w:val="0"/>
          <w:bCs w:val="0"/>
          <w:sz w:val="20"/>
          <w:szCs w:val="20"/>
          <w:lang w:val="en-GB"/>
        </w:rPr>
      </w:pPr>
      <w:r w:rsidRPr="00E2490F">
        <w:rPr>
          <w:rFonts w:eastAsia="PMingLiU"/>
        </w:rPr>
        <w:t xml:space="preserve">Informations sur l’exécution du budget du Compte spécial </w:t>
      </w:r>
      <w:r w:rsidR="007279DB">
        <w:rPr>
          <w:rFonts w:eastAsia="PMingLiU"/>
        </w:rPr>
        <w:br/>
      </w:r>
      <w:r w:rsidRPr="00E2490F">
        <w:rPr>
          <w:rFonts w:eastAsia="PMingLiU"/>
        </w:rPr>
        <w:t>pour l’utilisation de la contribution 2023 des États-Unis d’Amérique</w:t>
      </w:r>
    </w:p>
    <w:p w14:paraId="2D18C7C7" w14:textId="77777777" w:rsidR="00E2490F" w:rsidRPr="00E2490F" w:rsidRDefault="00E2490F" w:rsidP="007279DB">
      <w:pPr>
        <w:pStyle w:val="Marge"/>
        <w:rPr>
          <w:rFonts w:eastAsia="PMingLiU" w:cs="Arial"/>
          <w:sz w:val="20"/>
          <w:szCs w:val="20"/>
          <w:lang w:val="en-GB"/>
        </w:rPr>
      </w:pPr>
      <w:r w:rsidRPr="00E2490F">
        <w:rPr>
          <w:rFonts w:eastAsia="PMingLiU"/>
        </w:rPr>
        <w:t>L’objectif</w:t>
      </w:r>
      <w:r w:rsidRPr="00E2490F">
        <w:rPr>
          <w:rFonts w:eastAsia="PMingLiU" w:cs="Arial"/>
          <w:sz w:val="20"/>
          <w:szCs w:val="20"/>
          <w:vertAlign w:val="superscript"/>
        </w:rPr>
        <w:footnoteReference w:id="3"/>
      </w:r>
      <w:r w:rsidRPr="00E2490F">
        <w:rPr>
          <w:rFonts w:eastAsia="PMingLiU"/>
        </w:rPr>
        <w:t xml:space="preserve"> de ce financement est d’intensifier l’action de la COI dans les domaines suivants :</w:t>
      </w:r>
    </w:p>
    <w:p w14:paraId="2AB4EA65" w14:textId="2E0FC66A" w:rsidR="00E2490F" w:rsidRPr="00E2490F" w:rsidRDefault="007279DB" w:rsidP="007279DB">
      <w:pPr>
        <w:pStyle w:val="b"/>
        <w:rPr>
          <w:rFonts w:eastAsia="PMingLiU" w:cs="Arial"/>
          <w:sz w:val="20"/>
          <w:szCs w:val="20"/>
          <w:lang w:val="en-GB"/>
        </w:rPr>
      </w:pPr>
      <w:r>
        <w:rPr>
          <w:rFonts w:eastAsia="PMingLiU"/>
        </w:rPr>
        <w:t>(a)</w:t>
      </w:r>
      <w:r>
        <w:rPr>
          <w:rFonts w:eastAsia="PMingLiU"/>
        </w:rPr>
        <w:tab/>
      </w:r>
      <w:r w:rsidR="00E2490F" w:rsidRPr="00E2490F">
        <w:rPr>
          <w:rFonts w:eastAsia="PMingLiU"/>
        </w:rPr>
        <w:t xml:space="preserve">Élaboration d’un cadre de planification et de gestion durables de l’océan à l’échelle de la COI ; </w:t>
      </w:r>
    </w:p>
    <w:p w14:paraId="7990FB01" w14:textId="309FD3E5" w:rsidR="00E2490F" w:rsidRPr="00E2490F" w:rsidRDefault="007279DB" w:rsidP="007279DB">
      <w:pPr>
        <w:pStyle w:val="b"/>
        <w:rPr>
          <w:rFonts w:eastAsia="PMingLiU" w:cs="Arial"/>
          <w:sz w:val="20"/>
          <w:szCs w:val="20"/>
          <w:lang w:val="en-GB"/>
        </w:rPr>
      </w:pPr>
      <w:r>
        <w:rPr>
          <w:rFonts w:eastAsia="PMingLiU"/>
        </w:rPr>
        <w:t>(b)</w:t>
      </w:r>
      <w:r>
        <w:rPr>
          <w:rFonts w:eastAsia="PMingLiU"/>
        </w:rPr>
        <w:tab/>
      </w:r>
      <w:r w:rsidR="00E2490F" w:rsidRPr="007279DB">
        <w:rPr>
          <w:rFonts w:eastAsia="PMingLiU"/>
          <w:spacing w:val="-3"/>
        </w:rPr>
        <w:t>Investissements ciblés pour renforcer les capacités du secrétariat de la Sous</w:t>
      </w:r>
      <w:r w:rsidRPr="007279DB">
        <w:rPr>
          <w:rFonts w:eastAsia="PMingLiU"/>
          <w:spacing w:val="-3"/>
        </w:rPr>
        <w:noBreakHyphen/>
      </w:r>
      <w:r w:rsidR="00E2490F" w:rsidRPr="007279DB">
        <w:rPr>
          <w:rFonts w:eastAsia="PMingLiU"/>
          <w:spacing w:val="-3"/>
        </w:rPr>
        <w:t>Commission de la COI pour la mer des Caraïbes et les régions adjacentes (IOCARIBE) et élaboration d’un nouveau cadre programmatique visant à répondre aux besoins de la région des PEID du Pacifique.</w:t>
      </w:r>
    </w:p>
    <w:p w14:paraId="49FA5F28" w14:textId="4E457247" w:rsidR="00E2490F" w:rsidRPr="00E2490F" w:rsidRDefault="00E2490F" w:rsidP="007279DB">
      <w:pPr>
        <w:spacing w:before="360"/>
        <w:rPr>
          <w:rFonts w:eastAsia="PMingLiU" w:cs="Arial"/>
          <w:sz w:val="20"/>
          <w:szCs w:val="20"/>
          <w:u w:val="single"/>
          <w:lang w:val="en-GB" w:eastAsia="en-US"/>
        </w:rPr>
      </w:pPr>
      <w:r w:rsidRPr="00E2490F">
        <w:rPr>
          <w:rFonts w:eastAsia="PMingLiU"/>
          <w:u w:val="single"/>
          <w:lang w:eastAsia="en-US"/>
        </w:rPr>
        <w:t>Figure 9</w:t>
      </w:r>
      <w:r w:rsidRPr="00E2490F">
        <w:rPr>
          <w:rFonts w:eastAsia="PMingLiU"/>
          <w:lang w:eastAsia="en-US"/>
        </w:rPr>
        <w:t xml:space="preserve">. </w:t>
      </w:r>
    </w:p>
    <w:p w14:paraId="25215CDF" w14:textId="77777777" w:rsidR="00E2490F" w:rsidRPr="00E2490F" w:rsidRDefault="00E2490F" w:rsidP="00E2490F">
      <w:pPr>
        <w:ind w:left="360"/>
        <w:jc w:val="center"/>
        <w:rPr>
          <w:rFonts w:eastAsia="PMingLiU" w:cs="Arial"/>
          <w:sz w:val="20"/>
          <w:szCs w:val="20"/>
          <w:lang w:val="en-GB" w:eastAsia="en-US"/>
        </w:rPr>
      </w:pPr>
    </w:p>
    <w:p w14:paraId="5707E932" w14:textId="2ED08D2E" w:rsidR="005045C4" w:rsidRPr="00DF248E" w:rsidRDefault="00E2490F" w:rsidP="007279DB">
      <w:pPr>
        <w:pStyle w:val="Marge"/>
        <w:jc w:val="center"/>
      </w:pPr>
      <w:r>
        <w:rPr>
          <w:noProof/>
          <w:snapToGrid/>
          <w:lang w:eastAsia="zh-CN"/>
        </w:rPr>
        <w:drawing>
          <wp:inline distT="0" distB="0" distL="0" distR="0" wp14:anchorId="11C4EC64" wp14:editId="4523A33D">
            <wp:extent cx="4984750" cy="2787650"/>
            <wp:effectExtent l="0" t="0" r="6350" b="12700"/>
            <wp:docPr id="22" name="Graphique 22">
              <a:extLst xmlns:a="http://schemas.openxmlformats.org/drawingml/2006/main">
                <a:ext uri="{FF2B5EF4-FFF2-40B4-BE49-F238E27FC236}">
                  <a16:creationId xmlns:a16="http://schemas.microsoft.com/office/drawing/2014/main" id="{03C9C56D-309F-E675-314B-3F817BA46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sectPr w:rsidR="005045C4" w:rsidRPr="00DF248E" w:rsidSect="003F718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type w:val="oddPage"/>
      <w:pgSz w:w="11906" w:h="16838" w:code="9"/>
      <w:pgMar w:top="1418" w:right="1134" w:bottom="1134" w:left="1134" w:header="709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3AB17" w14:textId="77777777" w:rsidR="00940A3E" w:rsidRDefault="00940A3E">
      <w:r>
        <w:separator/>
      </w:r>
    </w:p>
  </w:endnote>
  <w:endnote w:type="continuationSeparator" w:id="0">
    <w:p w14:paraId="7F418D0A" w14:textId="77777777" w:rsidR="00940A3E" w:rsidRDefault="00940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DEC92" w14:textId="77777777" w:rsidR="00732C1F" w:rsidRDefault="00732C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2F738" w14:textId="77777777" w:rsidR="00732C1F" w:rsidRDefault="00732C1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56230" w14:textId="77777777" w:rsidR="00732C1F" w:rsidRDefault="00732C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A26834" w14:textId="77777777" w:rsidR="00940A3E" w:rsidRDefault="00940A3E">
      <w:r>
        <w:separator/>
      </w:r>
    </w:p>
  </w:footnote>
  <w:footnote w:type="continuationSeparator" w:id="0">
    <w:p w14:paraId="0C2FD76F" w14:textId="77777777" w:rsidR="00940A3E" w:rsidRDefault="00940A3E">
      <w:r>
        <w:continuationSeparator/>
      </w:r>
    </w:p>
  </w:footnote>
  <w:footnote w:id="1">
    <w:p w14:paraId="20C4639B" w14:textId="77777777" w:rsidR="00E2490F" w:rsidRPr="00DF2BF1" w:rsidRDefault="00E2490F" w:rsidP="00E2490F">
      <w:pPr>
        <w:pStyle w:val="FootnoteText"/>
        <w:rPr>
          <w:sz w:val="16"/>
          <w:szCs w:val="16"/>
        </w:rPr>
      </w:pPr>
      <w:r w:rsidRPr="00DF2BF1">
        <w:rPr>
          <w:sz w:val="16"/>
          <w:szCs w:val="16"/>
        </w:rPr>
        <w:t>1</w:t>
      </w:r>
      <w:r w:rsidRPr="00DF2BF1">
        <w:rPr>
          <w:sz w:val="16"/>
          <w:szCs w:val="16"/>
        </w:rPr>
        <w:tab/>
      </w:r>
      <w:r>
        <w:rPr>
          <w:sz w:val="16"/>
          <w:szCs w:val="16"/>
        </w:rPr>
        <w:t>Voir</w:t>
      </w:r>
      <w:r w:rsidRPr="00DF2BF1">
        <w:rPr>
          <w:sz w:val="16"/>
          <w:szCs w:val="16"/>
        </w:rPr>
        <w:t xml:space="preserve"> résolution</w:t>
      </w:r>
      <w:r>
        <w:rPr>
          <w:sz w:val="16"/>
          <w:szCs w:val="16"/>
        </w:rPr>
        <w:t> </w:t>
      </w:r>
      <w:r w:rsidRPr="00DF2BF1">
        <w:rPr>
          <w:sz w:val="16"/>
          <w:szCs w:val="16"/>
        </w:rPr>
        <w:t>A-32/4 de l’Assemblée de la COI et document IOC/A-32/6.1.Doc(1) ; résolution</w:t>
      </w:r>
      <w:r>
        <w:rPr>
          <w:sz w:val="16"/>
          <w:szCs w:val="16"/>
        </w:rPr>
        <w:t> </w:t>
      </w:r>
      <w:r w:rsidRPr="00DF2BF1">
        <w:rPr>
          <w:sz w:val="16"/>
          <w:szCs w:val="16"/>
        </w:rPr>
        <w:t>EC-57/2 du Conseil exécutif de la COI et documents IOC/EC-57/5.1.Doc(2) et IOC/EC-57/5.2.Doc(2).</w:t>
      </w:r>
    </w:p>
  </w:footnote>
  <w:footnote w:id="2">
    <w:p w14:paraId="292E0382" w14:textId="567E2CFA" w:rsidR="00E2490F" w:rsidRPr="00DC1472" w:rsidRDefault="00E2490F" w:rsidP="0034270A">
      <w:pPr>
        <w:pStyle w:val="FootnoteText"/>
        <w:jc w:val="both"/>
        <w:rPr>
          <w:sz w:val="16"/>
          <w:szCs w:val="16"/>
        </w:rPr>
      </w:pPr>
      <w:r w:rsidRPr="00DF2BF1">
        <w:rPr>
          <w:rStyle w:val="FootnoteReference"/>
          <w:sz w:val="16"/>
          <w:szCs w:val="16"/>
        </w:rPr>
        <w:footnoteRef/>
      </w:r>
      <w:r w:rsidRPr="00DF2BF1">
        <w:rPr>
          <w:sz w:val="16"/>
          <w:szCs w:val="16"/>
        </w:rPr>
        <w:t xml:space="preserve"> </w:t>
      </w:r>
      <w:r w:rsidRPr="00DF2BF1">
        <w:rPr>
          <w:sz w:val="16"/>
          <w:szCs w:val="16"/>
        </w:rPr>
        <w:tab/>
      </w:r>
      <w:r w:rsidR="0034270A">
        <w:rPr>
          <w:sz w:val="16"/>
          <w:szCs w:val="16"/>
        </w:rPr>
        <w:t xml:space="preserve">3 % </w:t>
      </w:r>
      <w:r w:rsidRPr="00DF2BF1">
        <w:rPr>
          <w:sz w:val="16"/>
          <w:szCs w:val="16"/>
        </w:rPr>
        <w:t>du budget ordinaire de l’UNESCO, conformément à la décision</w:t>
      </w:r>
      <w:r>
        <w:rPr>
          <w:sz w:val="16"/>
          <w:szCs w:val="16"/>
        </w:rPr>
        <w:t> </w:t>
      </w:r>
      <w:r w:rsidRPr="00DF2BF1">
        <w:rPr>
          <w:sz w:val="16"/>
          <w:szCs w:val="16"/>
        </w:rPr>
        <w:t>216 EX/44 du Conseil exécutif de l’UNESCO et tel qu’</w:t>
      </w:r>
      <w:r>
        <w:rPr>
          <w:sz w:val="16"/>
          <w:szCs w:val="16"/>
        </w:rPr>
        <w:t>entériné</w:t>
      </w:r>
      <w:r w:rsidRPr="00DF2BF1">
        <w:rPr>
          <w:sz w:val="16"/>
          <w:szCs w:val="16"/>
        </w:rPr>
        <w:t xml:space="preserve"> par la Conférence générale de l’UNESCO dans le 42 C/5 approuvé (résolution 42 C/80).</w:t>
      </w:r>
    </w:p>
  </w:footnote>
  <w:footnote w:id="3">
    <w:p w14:paraId="654966AB" w14:textId="356AD4DB" w:rsidR="00E2490F" w:rsidRPr="006D7FB1" w:rsidRDefault="00E2490F" w:rsidP="00E2490F">
      <w:pPr>
        <w:pStyle w:val="FootnoteText"/>
        <w:rPr>
          <w:sz w:val="16"/>
          <w:szCs w:val="16"/>
        </w:rPr>
      </w:pPr>
      <w:r w:rsidRPr="006D7FB1">
        <w:rPr>
          <w:rStyle w:val="FootnoteReference"/>
          <w:sz w:val="16"/>
          <w:szCs w:val="16"/>
        </w:rPr>
        <w:footnoteRef/>
      </w:r>
      <w:r w:rsidR="007279DB">
        <w:rPr>
          <w:sz w:val="16"/>
          <w:szCs w:val="16"/>
        </w:rPr>
        <w:tab/>
      </w:r>
      <w:r w:rsidRPr="006D7FB1">
        <w:rPr>
          <w:sz w:val="16"/>
          <w:szCs w:val="16"/>
        </w:rPr>
        <w:t>Voir description des activités présentées au Conseil exécutif de la COI dans le documen</w:t>
      </w:r>
      <w:r>
        <w:rPr>
          <w:sz w:val="16"/>
          <w:szCs w:val="16"/>
        </w:rPr>
        <w:t>t </w:t>
      </w:r>
      <w:r w:rsidRPr="006D7FB1">
        <w:rPr>
          <w:sz w:val="16"/>
          <w:szCs w:val="16"/>
        </w:rPr>
        <w:t>IOC/EC-57/5.1.Doc(1).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87D8F" w14:textId="118AB966" w:rsidR="003F3C42" w:rsidRPr="00FF54F5" w:rsidRDefault="003F3C42" w:rsidP="003F3C42">
    <w:pPr>
      <w:pStyle w:val="Header"/>
      <w:spacing w:after="240"/>
      <w:rPr>
        <w:rFonts w:cs="Arial"/>
        <w:bCs/>
        <w:szCs w:val="22"/>
      </w:rPr>
    </w:pPr>
    <w:bookmarkStart w:id="0" w:name="_Hlk130197366"/>
    <w:r w:rsidRPr="00352423">
      <w:rPr>
        <w:rFonts w:cs="Arial"/>
        <w:bCs/>
        <w:szCs w:val="22"/>
      </w:rPr>
      <w:t>IOC/</w:t>
    </w:r>
    <w:r w:rsidR="000723F0">
      <w:rPr>
        <w:rFonts w:cs="Arial"/>
        <w:bCs/>
        <w:szCs w:val="22"/>
      </w:rPr>
      <w:t>A-32/2.1.Doc Prov.</w:t>
    </w:r>
    <w:bookmarkEnd w:id="0"/>
    <w:r w:rsidRPr="00FF54F5">
      <w:rPr>
        <w:rFonts w:cs="Arial"/>
        <w:bCs/>
        <w:szCs w:val="22"/>
      </w:rPr>
      <w:t xml:space="preserve"> – page </w:t>
    </w:r>
    <w:sdt>
      <w:sdtPr>
        <w:rPr>
          <w:rFonts w:cs="Arial"/>
          <w:bCs/>
          <w:szCs w:val="22"/>
        </w:rPr>
        <w:id w:val="554519101"/>
        <w:docPartObj>
          <w:docPartGallery w:val="Page Numbers (Top of Page)"/>
          <w:docPartUnique/>
        </w:docPartObj>
      </w:sdtPr>
      <w:sdtEndPr/>
      <w:sdtContent>
        <w:r w:rsidRPr="00FF54F5">
          <w:rPr>
            <w:rFonts w:cs="Arial"/>
            <w:bCs/>
            <w:szCs w:val="22"/>
          </w:rPr>
          <w:fldChar w:fldCharType="begin"/>
        </w:r>
        <w:r w:rsidRPr="00FF54F5">
          <w:rPr>
            <w:rFonts w:cs="Arial"/>
            <w:bCs/>
            <w:szCs w:val="22"/>
          </w:rPr>
          <w:instrText>PAGE   \* MERGEFORMAT</w:instrText>
        </w:r>
        <w:r w:rsidRPr="00FF54F5">
          <w:rPr>
            <w:rFonts w:cs="Arial"/>
            <w:bCs/>
            <w:szCs w:val="22"/>
          </w:rPr>
          <w:fldChar w:fldCharType="separate"/>
        </w:r>
        <w:r>
          <w:rPr>
            <w:rFonts w:cs="Arial"/>
            <w:bCs/>
            <w:szCs w:val="22"/>
          </w:rPr>
          <w:t>2</w:t>
        </w:r>
        <w:r w:rsidRPr="00FF54F5">
          <w:rPr>
            <w:rFonts w:cs="Arial"/>
            <w:bCs/>
            <w:szCs w:val="22"/>
          </w:rPr>
          <w:fldChar w:fldCharType="end"/>
        </w:r>
      </w:sdtContent>
    </w:sdt>
  </w:p>
  <w:p w14:paraId="46CE599C" w14:textId="069EC3C1" w:rsidR="00755CED" w:rsidRPr="003F3C42" w:rsidRDefault="00755CED" w:rsidP="003F3C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0D428" w14:textId="5C06EAFD" w:rsidR="00755CED" w:rsidRDefault="000723F0" w:rsidP="000723F0">
    <w:pPr>
      <w:pStyle w:val="Header"/>
      <w:jc w:val="right"/>
    </w:pPr>
    <w:r w:rsidRPr="00352423">
      <w:rPr>
        <w:rFonts w:cs="Arial"/>
        <w:bCs/>
        <w:szCs w:val="22"/>
      </w:rPr>
      <w:t>IOC/</w:t>
    </w:r>
    <w:r>
      <w:rPr>
        <w:rFonts w:cs="Arial"/>
        <w:bCs/>
        <w:szCs w:val="22"/>
      </w:rPr>
      <w:t>A-32/2.1.Doc Prov. – page</w:t>
    </w:r>
    <w:r w:rsidR="005045C4">
      <w:rPr>
        <w:rFonts w:cs="Arial"/>
        <w:bCs/>
        <w:szCs w:val="22"/>
      </w:rPr>
      <w:t> </w:t>
    </w:r>
    <w:r w:rsidR="00755CED">
      <w:fldChar w:fldCharType="begin"/>
    </w:r>
    <w:r w:rsidR="00755CED">
      <w:instrText>PAGE   \* MERGEFORMAT</w:instrText>
    </w:r>
    <w:r w:rsidR="00755CED">
      <w:fldChar w:fldCharType="separate"/>
    </w:r>
    <w:r w:rsidR="004D05D2">
      <w:rPr>
        <w:noProof/>
      </w:rPr>
      <w:t>13</w:t>
    </w:r>
    <w:r w:rsidR="00755CED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7C99A" w14:textId="3A6F683D" w:rsidR="00EB3895" w:rsidRDefault="000723F0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95F0820" wp14:editId="5BFDF62F">
              <wp:simplePos x="0" y="0"/>
              <wp:positionH relativeFrom="column">
                <wp:posOffset>3575050</wp:posOffset>
              </wp:positionH>
              <wp:positionV relativeFrom="paragraph">
                <wp:posOffset>-93980</wp:posOffset>
              </wp:positionV>
              <wp:extent cx="2660015" cy="1404620"/>
              <wp:effectExtent l="0" t="0" r="0" b="127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01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6242B4" w14:textId="614E83C9" w:rsidR="00EB3895" w:rsidRPr="002A5D14" w:rsidRDefault="00EB3895" w:rsidP="00EB3895">
                          <w:pPr>
                            <w:pStyle w:val="Marge"/>
                            <w:tabs>
                              <w:tab w:val="left" w:pos="6237"/>
                              <w:tab w:val="left" w:pos="7088"/>
                            </w:tabs>
                            <w:spacing w:after="0"/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</w:pPr>
                          <w:bookmarkStart w:id="1" w:name="_Hlk54263549"/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IOC/</w:t>
                          </w:r>
                          <w:r w:rsidR="000723F0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A-3</w:t>
                          </w:r>
                          <w:r w:rsidR="005045C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3</w:t>
                          </w:r>
                          <w:r w:rsidRPr="002A5D14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/</w:t>
                          </w:r>
                          <w:bookmarkEnd w:id="1"/>
                          <w:r w:rsidR="00007BDC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3.</w:t>
                          </w:r>
                          <w:r w:rsidR="00536CDD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2</w:t>
                          </w:r>
                          <w:r w:rsidR="00F97E19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.Doc(</w:t>
                          </w:r>
                          <w:r w:rsidR="00536CDD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2</w:t>
                          </w:r>
                          <w:r w:rsidR="00F97E19">
                            <w:rPr>
                              <w:rFonts w:cs="Arial"/>
                              <w:b/>
                              <w:sz w:val="36"/>
                              <w:szCs w:val="36"/>
                            </w:rPr>
                            <w:t>)</w:t>
                          </w:r>
                        </w:p>
                        <w:p w14:paraId="10A5E3DC" w14:textId="75127B4C" w:rsidR="00EB3895" w:rsidRPr="002A5D14" w:rsidRDefault="00EB3895" w:rsidP="00EB3895">
                          <w:pPr>
                            <w:pStyle w:val="Marge"/>
                            <w:tabs>
                              <w:tab w:val="left" w:pos="6237"/>
                            </w:tabs>
                            <w:spacing w:after="0"/>
                            <w:rPr>
                              <w:rFonts w:cs="Arial"/>
                              <w:szCs w:val="22"/>
                            </w:rPr>
                          </w:pPr>
                          <w:r w:rsidRPr="002A5D14">
                            <w:rPr>
                              <w:rFonts w:cs="Arial"/>
                              <w:szCs w:val="22"/>
                            </w:rPr>
                            <w:t xml:space="preserve">Paris, le </w:t>
                          </w:r>
                          <w:r w:rsidR="005045C4">
                            <w:rPr>
                              <w:rFonts w:cs="Arial"/>
                              <w:szCs w:val="22"/>
                            </w:rPr>
                            <w:t>1</w:t>
                          </w:r>
                          <w:r w:rsidR="00536CDD">
                            <w:rPr>
                              <w:rFonts w:cs="Arial"/>
                              <w:szCs w:val="22"/>
                            </w:rPr>
                            <w:t>0</w:t>
                          </w:r>
                          <w:r w:rsidR="00F7634F">
                            <w:rPr>
                              <w:rFonts w:cs="Arial"/>
                              <w:szCs w:val="22"/>
                            </w:rPr>
                            <w:t xml:space="preserve"> </w:t>
                          </w:r>
                          <w:r w:rsidR="005045C4">
                            <w:rPr>
                              <w:rFonts w:cs="Arial"/>
                              <w:szCs w:val="22"/>
                            </w:rPr>
                            <w:t>avril</w:t>
                          </w:r>
                          <w:r w:rsidRPr="002A5D14">
                            <w:rPr>
                              <w:rFonts w:cs="Arial"/>
                              <w:szCs w:val="22"/>
                            </w:rPr>
                            <w:t xml:space="preserve"> 202</w:t>
                          </w:r>
                          <w:r w:rsidR="005045C4">
                            <w:rPr>
                              <w:rFonts w:cs="Arial"/>
                              <w:szCs w:val="22"/>
                            </w:rPr>
                            <w:t>5</w:t>
                          </w:r>
                        </w:p>
                        <w:p w14:paraId="03157CD4" w14:textId="567ECB1C" w:rsidR="00EB3895" w:rsidRPr="00EB3895" w:rsidRDefault="00EB3895" w:rsidP="00EB3895">
                          <w:pPr>
                            <w:pStyle w:val="Marge"/>
                            <w:tabs>
                              <w:tab w:val="left" w:pos="6237"/>
                            </w:tabs>
                            <w:rPr>
                              <w:rFonts w:cs="Arial"/>
                              <w:szCs w:val="22"/>
                            </w:rPr>
                          </w:pPr>
                          <w:r w:rsidRPr="002A5D14">
                            <w:rPr>
                              <w:rFonts w:cs="Arial"/>
                              <w:szCs w:val="22"/>
                            </w:rPr>
                            <w:t>Original anglais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95F0820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81.5pt;margin-top:-7.4pt;width:209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wS+wEAAM4DAAAOAAAAZHJzL2Uyb0RvYy54bWysU8tu2zAQvBfoPxC815IM200Ey0Ga1EWB&#10;9AGk/YA1RVlESS5L0pbSr++SchyjvRXVgSC13Nmd2eH6ZjSaHaUPCm3Dq1nJmbQCW2X3Df/+bfvm&#10;irMQwbag0cqGP8nAbzavX60HV8s59qhb6RmB2FAPruF9jK4uiiB6aSDM0ElLwQ69gUhHvy9aDwOh&#10;G13My3JVDOhb51HIEOjv/RTkm4zfdVLEL10XZGS64dRbzKvP6y6txWYN9d6D65U4tQH/0IUBZano&#10;GeoeIrCDV39BGSU8BuziTKApsOuUkJkDsanKP9g89uBk5kLiBHeWKfw/WPH5+Oi+ehbHdzjSADOJ&#10;4B5Q/AjM4l0Pdi9vvcehl9BS4SpJVgwu1KfUJHWoQwLZDZ+wpSHDIWIGGjtvkirEkxE6DeDpLLoc&#10;IxP0c75alWW15ExQrFqUi9U8j6WA+jnd+RA/SDQsbRruaaoZHo4PIaZ2oH6+kqpZ3Cqt82S1ZUPD&#10;r5fzZU64iBgVyXhamYZflembrJBYvrdtTo6g9LSnAtqeaCemE+c47ka6mOjvsH0iATxOBqMHQZse&#10;/S/OBjJXw8PPA3jJmf5oScTrarFIbsyHxfItMWb+MrK7jIAVBNXwyNm0vYvZwYlrcLck9lZlGV46&#10;OfVKpsnqnAyeXHl5zrdenuHmNwAAAP//AwBQSwMEFAAGAAgAAAAhAG6WHqHhAAAACwEAAA8AAABk&#10;cnMvZG93bnJldi54bWxMj8tOwzAQRfdI/IM1SOxaO6GENs2kqlBblkCJunZjk0TED8VuGv6eYQXL&#10;0Vzde06xmUzPRj2EzlmEZC6AaVs71dkGofrYz5bAQpRWyd5ZjfCtA2zK25tC5spd7bsej7FhVGJD&#10;LhHaGH3OeahbbWSYO68t/T7dYGSkc2i4GuSVyk3PUyEybmRnaaGVXj+3uv46XgyCj/7w9DK8vm13&#10;+1FUp0OVds0O8f5u2q6BRT3FvzD84hM6lMR0dherAusRHrMHcokIs2RBDpRYLZMVsDNCKrIF8LLg&#10;/x3KHwAAAP//AwBQSwECLQAUAAYACAAAACEAtoM4kv4AAADhAQAAEwAAAAAAAAAAAAAAAAAAAAAA&#10;W0NvbnRlbnRfVHlwZXNdLnhtbFBLAQItABQABgAIAAAAIQA4/SH/1gAAAJQBAAALAAAAAAAAAAAA&#10;AAAAAC8BAABfcmVscy8ucmVsc1BLAQItABQABgAIAAAAIQBAFDwS+wEAAM4DAAAOAAAAAAAAAAAA&#10;AAAAAC4CAABkcnMvZTJvRG9jLnhtbFBLAQItABQABgAIAAAAIQBulh6h4QAAAAsBAAAPAAAAAAAA&#10;AAAAAAAAAFUEAABkcnMvZG93bnJldi54bWxQSwUGAAAAAAQABADzAAAAYwUAAAAA&#10;" filled="f" stroked="f">
              <v:textbox style="mso-fit-shape-to-text:t">
                <w:txbxContent>
                  <w:p w14:paraId="6C6242B4" w14:textId="614E83C9" w:rsidR="00EB3895" w:rsidRPr="002A5D14" w:rsidRDefault="00EB3895" w:rsidP="00EB3895">
                    <w:pPr>
                      <w:pStyle w:val="Marge"/>
                      <w:tabs>
                        <w:tab w:val="left" w:pos="6237"/>
                        <w:tab w:val="left" w:pos="7088"/>
                      </w:tabs>
                      <w:spacing w:after="0"/>
                      <w:rPr>
                        <w:rFonts w:cs="Arial"/>
                        <w:b/>
                        <w:sz w:val="36"/>
                        <w:szCs w:val="36"/>
                      </w:rPr>
                    </w:pPr>
                    <w:bookmarkStart w:id="2" w:name="_Hlk54263549"/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IOC/</w:t>
                    </w:r>
                    <w:r w:rsidR="000723F0">
                      <w:rPr>
                        <w:rFonts w:cs="Arial"/>
                        <w:b/>
                        <w:sz w:val="36"/>
                        <w:szCs w:val="36"/>
                      </w:rPr>
                      <w:t>A-3</w:t>
                    </w:r>
                    <w:r w:rsidR="005045C4">
                      <w:rPr>
                        <w:rFonts w:cs="Arial"/>
                        <w:b/>
                        <w:sz w:val="36"/>
                        <w:szCs w:val="36"/>
                      </w:rPr>
                      <w:t>3</w:t>
                    </w:r>
                    <w:r w:rsidRPr="002A5D14">
                      <w:rPr>
                        <w:rFonts w:cs="Arial"/>
                        <w:b/>
                        <w:sz w:val="36"/>
                        <w:szCs w:val="36"/>
                      </w:rPr>
                      <w:t>/</w:t>
                    </w:r>
                    <w:bookmarkEnd w:id="2"/>
                    <w:r w:rsidR="00007BDC">
                      <w:rPr>
                        <w:rFonts w:cs="Arial"/>
                        <w:b/>
                        <w:sz w:val="36"/>
                        <w:szCs w:val="36"/>
                      </w:rPr>
                      <w:t>3.</w:t>
                    </w:r>
                    <w:r w:rsidR="00536CDD">
                      <w:rPr>
                        <w:rFonts w:cs="Arial"/>
                        <w:b/>
                        <w:sz w:val="36"/>
                        <w:szCs w:val="36"/>
                      </w:rPr>
                      <w:t>2</w:t>
                    </w:r>
                    <w:r w:rsidR="00F97E19">
                      <w:rPr>
                        <w:rFonts w:cs="Arial"/>
                        <w:b/>
                        <w:sz w:val="36"/>
                        <w:szCs w:val="36"/>
                      </w:rPr>
                      <w:t>.Doc(</w:t>
                    </w:r>
                    <w:r w:rsidR="00536CDD">
                      <w:rPr>
                        <w:rFonts w:cs="Arial"/>
                        <w:b/>
                        <w:sz w:val="36"/>
                        <w:szCs w:val="36"/>
                      </w:rPr>
                      <w:t>2</w:t>
                    </w:r>
                    <w:r w:rsidR="00F97E19">
                      <w:rPr>
                        <w:rFonts w:cs="Arial"/>
                        <w:b/>
                        <w:sz w:val="36"/>
                        <w:szCs w:val="36"/>
                      </w:rPr>
                      <w:t>)</w:t>
                    </w:r>
                  </w:p>
                  <w:p w14:paraId="10A5E3DC" w14:textId="75127B4C" w:rsidR="00EB3895" w:rsidRPr="002A5D14" w:rsidRDefault="00EB3895" w:rsidP="00EB3895">
                    <w:pPr>
                      <w:pStyle w:val="Marge"/>
                      <w:tabs>
                        <w:tab w:val="left" w:pos="6237"/>
                      </w:tabs>
                      <w:spacing w:after="0"/>
                      <w:rPr>
                        <w:rFonts w:cs="Arial"/>
                        <w:szCs w:val="22"/>
                      </w:rPr>
                    </w:pPr>
                    <w:r w:rsidRPr="002A5D14">
                      <w:rPr>
                        <w:rFonts w:cs="Arial"/>
                        <w:szCs w:val="22"/>
                      </w:rPr>
                      <w:t xml:space="preserve">Paris, le </w:t>
                    </w:r>
                    <w:r w:rsidR="005045C4">
                      <w:rPr>
                        <w:rFonts w:cs="Arial"/>
                        <w:szCs w:val="22"/>
                      </w:rPr>
                      <w:t>1</w:t>
                    </w:r>
                    <w:r w:rsidR="00536CDD">
                      <w:rPr>
                        <w:rFonts w:cs="Arial"/>
                        <w:szCs w:val="22"/>
                      </w:rPr>
                      <w:t>0</w:t>
                    </w:r>
                    <w:r w:rsidR="00F7634F">
                      <w:rPr>
                        <w:rFonts w:cs="Arial"/>
                        <w:szCs w:val="22"/>
                      </w:rPr>
                      <w:t xml:space="preserve"> </w:t>
                    </w:r>
                    <w:r w:rsidR="005045C4">
                      <w:rPr>
                        <w:rFonts w:cs="Arial"/>
                        <w:szCs w:val="22"/>
                      </w:rPr>
                      <w:t>avril</w:t>
                    </w:r>
                    <w:r w:rsidRPr="002A5D14">
                      <w:rPr>
                        <w:rFonts w:cs="Arial"/>
                        <w:szCs w:val="22"/>
                      </w:rPr>
                      <w:t xml:space="preserve"> 202</w:t>
                    </w:r>
                    <w:r w:rsidR="005045C4">
                      <w:rPr>
                        <w:rFonts w:cs="Arial"/>
                        <w:szCs w:val="22"/>
                      </w:rPr>
                      <w:t>5</w:t>
                    </w:r>
                  </w:p>
                  <w:p w14:paraId="03157CD4" w14:textId="567ECB1C" w:rsidR="00EB3895" w:rsidRPr="00EB3895" w:rsidRDefault="00EB3895" w:rsidP="00EB3895">
                    <w:pPr>
                      <w:pStyle w:val="Marge"/>
                      <w:tabs>
                        <w:tab w:val="left" w:pos="6237"/>
                      </w:tabs>
                      <w:rPr>
                        <w:rFonts w:cs="Arial"/>
                        <w:szCs w:val="22"/>
                      </w:rPr>
                    </w:pPr>
                    <w:r w:rsidRPr="002A5D14">
                      <w:rPr>
                        <w:rFonts w:cs="Arial"/>
                        <w:szCs w:val="22"/>
                      </w:rPr>
                      <w:t>Original anglais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A71B9">
      <w:rPr>
        <w:rFonts w:cs="Arial"/>
        <w:b/>
        <w:noProof/>
        <w:snapToGrid/>
        <w:szCs w:val="22"/>
        <w:lang w:eastAsia="fr-FR"/>
      </w:rPr>
      <w:drawing>
        <wp:anchor distT="0" distB="0" distL="114300" distR="114300" simplePos="0" relativeHeight="251659264" behindDoc="0" locked="0" layoutInCell="1" allowOverlap="1" wp14:anchorId="50B79300" wp14:editId="2EBE22C5">
          <wp:simplePos x="0" y="0"/>
          <wp:positionH relativeFrom="column">
            <wp:posOffset>-103201</wp:posOffset>
          </wp:positionH>
          <wp:positionV relativeFrom="paragraph">
            <wp:posOffset>254000</wp:posOffset>
          </wp:positionV>
          <wp:extent cx="1578610" cy="1047115"/>
          <wp:effectExtent l="0" t="0" r="2540" b="635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610" cy="1047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3895">
      <w:t>Distribution limitée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C66BE" w14:textId="6187F028" w:rsidR="002E0DF5" w:rsidRPr="006842FA" w:rsidRDefault="00E26B0D" w:rsidP="001E318E">
    <w:pPr>
      <w:pStyle w:val="Header"/>
      <w:rPr>
        <w:rFonts w:cs="Arial"/>
        <w:sz w:val="20"/>
        <w:szCs w:val="20"/>
      </w:rPr>
    </w:pPr>
    <w:r>
      <w:t>IOC</w:t>
    </w:r>
    <w:r w:rsidR="00DA45FE">
      <w:t>/A</w:t>
    </w:r>
    <w:r>
      <w:t>-3</w:t>
    </w:r>
    <w:r w:rsidR="005045C4">
      <w:t>3</w:t>
    </w:r>
    <w:r>
      <w:t>/</w:t>
    </w:r>
    <w:r w:rsidR="00577521">
      <w:t>3.</w:t>
    </w:r>
    <w:r w:rsidR="00536CDD">
      <w:t>2</w:t>
    </w:r>
    <w:r>
      <w:t>.Doc(</w:t>
    </w:r>
    <w:r w:rsidR="00536CDD">
      <w:t>2</w:t>
    </w:r>
    <w:r>
      <w:t>)</w:t>
    </w:r>
    <w:r w:rsidR="001E318E">
      <w:t xml:space="preserve"> – </w:t>
    </w:r>
    <w:r w:rsidRPr="00732C1F">
      <w:rPr>
        <w:rFonts w:cs="Arial"/>
        <w:szCs w:val="22"/>
      </w:rPr>
      <w:t>page </w:t>
    </w:r>
    <w:r w:rsidRPr="00732C1F">
      <w:rPr>
        <w:rStyle w:val="PageNumber"/>
        <w:rFonts w:cs="Arial"/>
        <w:szCs w:val="22"/>
      </w:rPr>
      <w:fldChar w:fldCharType="begin"/>
    </w:r>
    <w:r w:rsidRPr="00732C1F">
      <w:rPr>
        <w:rStyle w:val="PageNumber"/>
        <w:rFonts w:cs="Arial"/>
        <w:szCs w:val="22"/>
      </w:rPr>
      <w:instrText xml:space="preserve"> PAGE </w:instrText>
    </w:r>
    <w:r w:rsidRPr="00732C1F">
      <w:rPr>
        <w:rStyle w:val="PageNumber"/>
        <w:rFonts w:cs="Arial"/>
        <w:szCs w:val="22"/>
      </w:rPr>
      <w:fldChar w:fldCharType="separate"/>
    </w:r>
    <w:r w:rsidRPr="00732C1F">
      <w:rPr>
        <w:rStyle w:val="PageNumber"/>
        <w:rFonts w:cs="Arial"/>
        <w:noProof/>
        <w:szCs w:val="22"/>
      </w:rPr>
      <w:t>2</w:t>
    </w:r>
    <w:r w:rsidRPr="00732C1F">
      <w:rPr>
        <w:rStyle w:val="PageNumber"/>
        <w:rFonts w:cs="Arial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6C54F" w14:textId="6D2B0932" w:rsidR="002E0DF5" w:rsidRPr="00E2490F" w:rsidRDefault="00E26B0D" w:rsidP="0034270A">
    <w:pPr>
      <w:pStyle w:val="Header"/>
      <w:ind w:left="6521"/>
      <w:rPr>
        <w:rFonts w:cs="Arial"/>
        <w:color w:val="000000"/>
        <w:sz w:val="20"/>
        <w:szCs w:val="20"/>
      </w:rPr>
    </w:pPr>
    <w:r>
      <w:t>IOC</w:t>
    </w:r>
    <w:r w:rsidR="00DA45FE">
      <w:t>/A</w:t>
    </w:r>
    <w:r>
      <w:t>-3</w:t>
    </w:r>
    <w:r w:rsidR="005045C4">
      <w:t>3</w:t>
    </w:r>
    <w:r>
      <w:t>/</w:t>
    </w:r>
    <w:r w:rsidR="00577521">
      <w:t>3.</w:t>
    </w:r>
    <w:r w:rsidR="00536CDD">
      <w:t>2</w:t>
    </w:r>
    <w:r>
      <w:t>.Doc(</w:t>
    </w:r>
    <w:r w:rsidR="00536CDD">
      <w:t>2</w:t>
    </w:r>
    <w:r>
      <w:t>)</w:t>
    </w:r>
    <w:r w:rsidR="001E318E">
      <w:t xml:space="preserve"> – </w:t>
    </w:r>
    <w:r w:rsidRPr="00732C1F">
      <w:rPr>
        <w:rFonts w:cs="Arial"/>
      </w:rPr>
      <w:t>page </w:t>
    </w:r>
    <w:r w:rsidRPr="00732C1F">
      <w:rPr>
        <w:rStyle w:val="PageNumber"/>
        <w:rFonts w:cs="Arial"/>
      </w:rPr>
      <w:fldChar w:fldCharType="begin"/>
    </w:r>
    <w:r w:rsidRPr="00732C1F">
      <w:rPr>
        <w:rStyle w:val="PageNumber"/>
        <w:rFonts w:cs="Arial"/>
      </w:rPr>
      <w:instrText xml:space="preserve"> PAGE </w:instrText>
    </w:r>
    <w:r w:rsidRPr="00732C1F">
      <w:rPr>
        <w:rStyle w:val="PageNumber"/>
        <w:rFonts w:cs="Arial"/>
      </w:rPr>
      <w:fldChar w:fldCharType="separate"/>
    </w:r>
    <w:r w:rsidRPr="00732C1F">
      <w:rPr>
        <w:rStyle w:val="PageNumber"/>
        <w:rFonts w:cs="Arial"/>
        <w:noProof/>
      </w:rPr>
      <w:t>3</w:t>
    </w:r>
    <w:r w:rsidRPr="00732C1F">
      <w:rPr>
        <w:rStyle w:val="PageNumber"/>
        <w:rFonts w:cs="Arial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B2736" w14:textId="30CDBAA2" w:rsidR="002E0DF5" w:rsidRPr="00E2490F" w:rsidRDefault="00E26B0D" w:rsidP="00294AD5">
    <w:pPr>
      <w:pStyle w:val="Header"/>
      <w:jc w:val="right"/>
      <w:rPr>
        <w:rFonts w:cs="Arial"/>
        <w:color w:val="000000"/>
        <w:sz w:val="20"/>
        <w:szCs w:val="20"/>
      </w:rPr>
    </w:pPr>
    <w:r>
      <w:t>IOC</w:t>
    </w:r>
    <w:r w:rsidR="00DA45FE">
      <w:t>/A</w:t>
    </w:r>
    <w:r>
      <w:t>-3</w:t>
    </w:r>
    <w:r w:rsidR="005045C4">
      <w:t>3</w:t>
    </w:r>
    <w:r>
      <w:t>/</w:t>
    </w:r>
    <w:r w:rsidR="00577521">
      <w:t>3.</w:t>
    </w:r>
    <w:r w:rsidR="00536CDD">
      <w:t>2</w:t>
    </w:r>
    <w:r>
      <w:t>.Doc(</w:t>
    </w:r>
    <w:r w:rsidR="00536CDD">
      <w:t>2</w:t>
    </w:r>
    <w: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522D"/>
    <w:multiLevelType w:val="hybridMultilevel"/>
    <w:tmpl w:val="AAF29886"/>
    <w:lvl w:ilvl="0" w:tplc="365CB736">
      <w:start w:val="14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16674"/>
    <w:multiLevelType w:val="hybridMultilevel"/>
    <w:tmpl w:val="942AB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01378B"/>
    <w:multiLevelType w:val="hybridMultilevel"/>
    <w:tmpl w:val="3B14E6C8"/>
    <w:lvl w:ilvl="0" w:tplc="040C000B">
      <w:start w:val="1"/>
      <w:numFmt w:val="bullet"/>
      <w:lvlText w:val="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3" w15:restartNumberingAfterBreak="0">
    <w:nsid w:val="01D9043B"/>
    <w:multiLevelType w:val="hybridMultilevel"/>
    <w:tmpl w:val="F4167F0A"/>
    <w:lvl w:ilvl="0" w:tplc="043E3BCA">
      <w:start w:val="1"/>
      <w:numFmt w:val="decimal"/>
      <w:pStyle w:val="EX4text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A0156F"/>
    <w:multiLevelType w:val="hybridMultilevel"/>
    <w:tmpl w:val="09C4E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5168B"/>
    <w:multiLevelType w:val="hybridMultilevel"/>
    <w:tmpl w:val="422E3AF4"/>
    <w:lvl w:ilvl="0" w:tplc="C97E8356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B1C9C"/>
    <w:multiLevelType w:val="hybridMultilevel"/>
    <w:tmpl w:val="23A85EFA"/>
    <w:lvl w:ilvl="0" w:tplc="CFBCE880">
      <w:start w:val="1"/>
      <w:numFmt w:val="bullet"/>
      <w:pStyle w:val="TIRETbul1cm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7"/>
        </w:tabs>
        <w:ind w:left="115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7"/>
        </w:tabs>
        <w:ind w:left="18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7"/>
        </w:tabs>
        <w:ind w:left="25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7"/>
        </w:tabs>
        <w:ind w:left="331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7"/>
        </w:tabs>
        <w:ind w:left="40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7"/>
        </w:tabs>
        <w:ind w:left="47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7"/>
        </w:tabs>
        <w:ind w:left="547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7"/>
        </w:tabs>
        <w:ind w:left="6197" w:hanging="360"/>
      </w:pPr>
      <w:rPr>
        <w:rFonts w:ascii="Wingdings" w:hAnsi="Wingdings" w:hint="default"/>
      </w:rPr>
    </w:lvl>
  </w:abstractNum>
  <w:abstractNum w:abstractNumId="7" w15:restartNumberingAfterBreak="0">
    <w:nsid w:val="1A3B70A8"/>
    <w:multiLevelType w:val="hybridMultilevel"/>
    <w:tmpl w:val="F1DC423C"/>
    <w:lvl w:ilvl="0" w:tplc="8086F72E">
      <w:start w:val="1"/>
      <w:numFmt w:val="upperRoman"/>
      <w:lvlText w:val="%1."/>
      <w:lvlJc w:val="left"/>
      <w:pPr>
        <w:ind w:left="1440" w:hanging="720"/>
      </w:pPr>
      <w:rPr>
        <w:rFonts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F617D2A"/>
    <w:multiLevelType w:val="multilevel"/>
    <w:tmpl w:val="2BC69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E907F22"/>
    <w:multiLevelType w:val="hybridMultilevel"/>
    <w:tmpl w:val="1E48F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14D83"/>
    <w:multiLevelType w:val="singleLevel"/>
    <w:tmpl w:val="6BB68568"/>
    <w:lvl w:ilvl="0">
      <w:start w:val="1"/>
      <w:numFmt w:val="bullet"/>
      <w:lvlText w:val=""/>
      <w:lvlJc w:val="left"/>
      <w:pPr>
        <w:tabs>
          <w:tab w:val="num" w:pos="644"/>
        </w:tabs>
        <w:ind w:left="284" w:firstLine="0"/>
      </w:pPr>
      <w:rPr>
        <w:rFonts w:ascii="Symbol" w:hAnsi="Symbol" w:hint="default"/>
      </w:rPr>
    </w:lvl>
  </w:abstractNum>
  <w:abstractNum w:abstractNumId="11" w15:restartNumberingAfterBreak="0">
    <w:nsid w:val="346E1C6B"/>
    <w:multiLevelType w:val="multilevel"/>
    <w:tmpl w:val="908245F4"/>
    <w:lvl w:ilvl="0">
      <w:start w:val="1"/>
      <w:numFmt w:val="decimal"/>
      <w:lvlText w:val="%1."/>
      <w:lvlJc w:val="left"/>
      <w:pPr>
        <w:ind w:left="720" w:hanging="360"/>
      </w:pPr>
      <w:rPr>
        <w:b/>
        <w:lang w:val="en-US"/>
      </w:rPr>
    </w:lvl>
    <w:lvl w:ilvl="1">
      <w:start w:val="1"/>
      <w:numFmt w:val="decimal"/>
      <w:isLgl/>
      <w:lvlText w:val="%1.%2"/>
      <w:lvlJc w:val="left"/>
      <w:pPr>
        <w:ind w:left="1137" w:hanging="570"/>
      </w:pPr>
      <w:rPr>
        <w:rFonts w:hint="default"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2" w15:restartNumberingAfterBreak="0">
    <w:nsid w:val="34FF52C0"/>
    <w:multiLevelType w:val="hybridMultilevel"/>
    <w:tmpl w:val="599ABC30"/>
    <w:lvl w:ilvl="0" w:tplc="FC12F2B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97719"/>
    <w:multiLevelType w:val="hybridMultilevel"/>
    <w:tmpl w:val="76925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30DC1"/>
    <w:multiLevelType w:val="hybridMultilevel"/>
    <w:tmpl w:val="F508E1DE"/>
    <w:lvl w:ilvl="0" w:tplc="865E46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1306C"/>
    <w:multiLevelType w:val="hybridMultilevel"/>
    <w:tmpl w:val="BC082A6A"/>
    <w:lvl w:ilvl="0" w:tplc="FC12F2B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831B9C"/>
    <w:multiLevelType w:val="hybridMultilevel"/>
    <w:tmpl w:val="DF5694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AD1543"/>
    <w:multiLevelType w:val="hybridMultilevel"/>
    <w:tmpl w:val="36221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9F0D662">
      <w:start w:val="9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A6FFD"/>
    <w:multiLevelType w:val="hybridMultilevel"/>
    <w:tmpl w:val="3314E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E05B7"/>
    <w:multiLevelType w:val="hybridMultilevel"/>
    <w:tmpl w:val="B4ACCC7A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 w15:restartNumberingAfterBreak="0">
    <w:nsid w:val="548C3970"/>
    <w:multiLevelType w:val="hybridMultilevel"/>
    <w:tmpl w:val="9B720B5A"/>
    <w:lvl w:ilvl="0" w:tplc="8DD21D5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A07DD1"/>
    <w:multiLevelType w:val="multilevel"/>
    <w:tmpl w:val="F550C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204EE3"/>
    <w:multiLevelType w:val="hybridMultilevel"/>
    <w:tmpl w:val="599ABC30"/>
    <w:lvl w:ilvl="0" w:tplc="95B4AF8A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B976B3"/>
    <w:multiLevelType w:val="hybridMultilevel"/>
    <w:tmpl w:val="0C081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BE5310"/>
    <w:multiLevelType w:val="hybridMultilevel"/>
    <w:tmpl w:val="6E6A5B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392D55"/>
    <w:multiLevelType w:val="hybridMultilevel"/>
    <w:tmpl w:val="B628D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334174"/>
    <w:multiLevelType w:val="hybridMultilevel"/>
    <w:tmpl w:val="A2D68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2469A9"/>
    <w:multiLevelType w:val="hybridMultilevel"/>
    <w:tmpl w:val="BC082A6A"/>
    <w:lvl w:ilvl="0" w:tplc="8DD21D56">
      <w:start w:val="1"/>
      <w:numFmt w:val="bullet"/>
      <w:lvlText w:val=""/>
      <w:lvlJc w:val="left"/>
      <w:pPr>
        <w:tabs>
          <w:tab w:val="num" w:pos="927"/>
        </w:tabs>
        <w:ind w:left="851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2451D"/>
    <w:multiLevelType w:val="hybridMultilevel"/>
    <w:tmpl w:val="0168714A"/>
    <w:lvl w:ilvl="0" w:tplc="B43E528A">
      <w:start w:val="1"/>
      <w:numFmt w:val="lowerRoman"/>
      <w:lvlText w:val="(%1)"/>
      <w:lvlJc w:val="left"/>
      <w:pPr>
        <w:ind w:left="-54" w:hanging="720"/>
      </w:pPr>
      <w:rPr>
        <w:rFonts w:ascii="Arial" w:hAnsi="Arial" w:cs="Arial" w:hint="default"/>
        <w:sz w:val="22"/>
        <w:szCs w:val="22"/>
      </w:rPr>
    </w:lvl>
    <w:lvl w:ilvl="1" w:tplc="040C0019">
      <w:start w:val="1"/>
      <w:numFmt w:val="lowerLetter"/>
      <w:lvlText w:val="%2."/>
      <w:lvlJc w:val="left"/>
      <w:pPr>
        <w:ind w:left="306" w:hanging="360"/>
      </w:pPr>
    </w:lvl>
    <w:lvl w:ilvl="2" w:tplc="040C001B">
      <w:start w:val="1"/>
      <w:numFmt w:val="lowerRoman"/>
      <w:lvlText w:val="%3."/>
      <w:lvlJc w:val="right"/>
      <w:pPr>
        <w:ind w:left="1026" w:hanging="180"/>
      </w:pPr>
    </w:lvl>
    <w:lvl w:ilvl="3" w:tplc="040C000F">
      <w:start w:val="1"/>
      <w:numFmt w:val="decimal"/>
      <w:lvlText w:val="%4."/>
      <w:lvlJc w:val="left"/>
      <w:pPr>
        <w:ind w:left="1746" w:hanging="360"/>
      </w:pPr>
    </w:lvl>
    <w:lvl w:ilvl="4" w:tplc="040C0019">
      <w:start w:val="1"/>
      <w:numFmt w:val="lowerLetter"/>
      <w:lvlText w:val="%5."/>
      <w:lvlJc w:val="left"/>
      <w:pPr>
        <w:ind w:left="2466" w:hanging="360"/>
      </w:pPr>
    </w:lvl>
    <w:lvl w:ilvl="5" w:tplc="040C001B">
      <w:start w:val="1"/>
      <w:numFmt w:val="lowerRoman"/>
      <w:lvlText w:val="%6."/>
      <w:lvlJc w:val="right"/>
      <w:pPr>
        <w:ind w:left="3186" w:hanging="180"/>
      </w:pPr>
    </w:lvl>
    <w:lvl w:ilvl="6" w:tplc="040C000F">
      <w:start w:val="1"/>
      <w:numFmt w:val="decimal"/>
      <w:lvlText w:val="%7."/>
      <w:lvlJc w:val="left"/>
      <w:pPr>
        <w:ind w:left="3906" w:hanging="360"/>
      </w:pPr>
    </w:lvl>
    <w:lvl w:ilvl="7" w:tplc="040C0019">
      <w:start w:val="1"/>
      <w:numFmt w:val="lowerLetter"/>
      <w:lvlText w:val="%8."/>
      <w:lvlJc w:val="left"/>
      <w:pPr>
        <w:ind w:left="4626" w:hanging="360"/>
      </w:pPr>
    </w:lvl>
    <w:lvl w:ilvl="8" w:tplc="040C001B">
      <w:start w:val="1"/>
      <w:numFmt w:val="lowerRoman"/>
      <w:lvlText w:val="%9."/>
      <w:lvlJc w:val="right"/>
      <w:pPr>
        <w:ind w:left="5346" w:hanging="180"/>
      </w:pPr>
    </w:lvl>
  </w:abstractNum>
  <w:abstractNum w:abstractNumId="29" w15:restartNumberingAfterBreak="0">
    <w:nsid w:val="73F70DA7"/>
    <w:multiLevelType w:val="hybridMultilevel"/>
    <w:tmpl w:val="60FAE58E"/>
    <w:lvl w:ilvl="0" w:tplc="040C000F">
      <w:start w:val="1"/>
      <w:numFmt w:val="decimal"/>
      <w:pStyle w:val="paranumbered"/>
      <w:lvlText w:val="%1."/>
      <w:lvlJc w:val="left"/>
      <w:pPr>
        <w:ind w:left="0" w:firstLine="0"/>
      </w:pPr>
      <w:rPr>
        <w:rFonts w:hint="default"/>
        <w:b w:val="0"/>
        <w:i w:val="0"/>
        <w:iCs/>
        <w:sz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12C41A6">
      <w:start w:val="1"/>
      <w:numFmt w:val="lowerRoman"/>
      <w:lvlText w:val="(%3)"/>
      <w:lvlJc w:val="left"/>
      <w:pPr>
        <w:ind w:left="2840" w:hanging="860"/>
      </w:pPr>
      <w:rPr>
        <w:rFonts w:hint="default"/>
        <w:b w:val="0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455D9"/>
    <w:multiLevelType w:val="hybridMultilevel"/>
    <w:tmpl w:val="BD4A63B8"/>
    <w:lvl w:ilvl="0" w:tplc="091CDE1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E54C84"/>
    <w:multiLevelType w:val="hybridMultilevel"/>
    <w:tmpl w:val="6EA07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314570"/>
    <w:multiLevelType w:val="hybridMultilevel"/>
    <w:tmpl w:val="1988FF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331786">
    <w:abstractNumId w:val="10"/>
  </w:num>
  <w:num w:numId="2" w16cid:durableId="1267154687">
    <w:abstractNumId w:val="10"/>
  </w:num>
  <w:num w:numId="3" w16cid:durableId="963846369">
    <w:abstractNumId w:val="6"/>
  </w:num>
  <w:num w:numId="4" w16cid:durableId="773785167">
    <w:abstractNumId w:val="22"/>
  </w:num>
  <w:num w:numId="5" w16cid:durableId="1013070056">
    <w:abstractNumId w:val="12"/>
  </w:num>
  <w:num w:numId="6" w16cid:durableId="1339650376">
    <w:abstractNumId w:val="15"/>
  </w:num>
  <w:num w:numId="7" w16cid:durableId="1812166786">
    <w:abstractNumId w:val="27"/>
  </w:num>
  <w:num w:numId="8" w16cid:durableId="1854416480">
    <w:abstractNumId w:val="20"/>
  </w:num>
  <w:num w:numId="9" w16cid:durableId="501549823">
    <w:abstractNumId w:val="6"/>
  </w:num>
  <w:num w:numId="10" w16cid:durableId="944380961">
    <w:abstractNumId w:val="6"/>
  </w:num>
  <w:num w:numId="11" w16cid:durableId="909577179">
    <w:abstractNumId w:val="6"/>
  </w:num>
  <w:num w:numId="12" w16cid:durableId="1677732752">
    <w:abstractNumId w:val="6"/>
  </w:num>
  <w:num w:numId="13" w16cid:durableId="1577281272">
    <w:abstractNumId w:val="17"/>
  </w:num>
  <w:num w:numId="14" w16cid:durableId="579562946">
    <w:abstractNumId w:val="1"/>
  </w:num>
  <w:num w:numId="15" w16cid:durableId="316300898">
    <w:abstractNumId w:val="16"/>
  </w:num>
  <w:num w:numId="16" w16cid:durableId="1343095299">
    <w:abstractNumId w:val="6"/>
  </w:num>
  <w:num w:numId="17" w16cid:durableId="1151142221">
    <w:abstractNumId w:val="2"/>
  </w:num>
  <w:num w:numId="18" w16cid:durableId="1353873736">
    <w:abstractNumId w:val="6"/>
  </w:num>
  <w:num w:numId="19" w16cid:durableId="58868506">
    <w:abstractNumId w:val="0"/>
  </w:num>
  <w:num w:numId="20" w16cid:durableId="107127094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52445787">
    <w:abstractNumId w:val="19"/>
  </w:num>
  <w:num w:numId="22" w16cid:durableId="1691495095">
    <w:abstractNumId w:val="8"/>
  </w:num>
  <w:num w:numId="23" w16cid:durableId="932591313">
    <w:abstractNumId w:val="31"/>
  </w:num>
  <w:num w:numId="24" w16cid:durableId="2087409397">
    <w:abstractNumId w:val="4"/>
  </w:num>
  <w:num w:numId="25" w16cid:durableId="1493058797">
    <w:abstractNumId w:val="25"/>
  </w:num>
  <w:num w:numId="26" w16cid:durableId="38868474">
    <w:abstractNumId w:val="9"/>
  </w:num>
  <w:num w:numId="27" w16cid:durableId="550772872">
    <w:abstractNumId w:val="23"/>
  </w:num>
  <w:num w:numId="28" w16cid:durableId="1107196363">
    <w:abstractNumId w:val="13"/>
  </w:num>
  <w:num w:numId="29" w16cid:durableId="888885141">
    <w:abstractNumId w:val="32"/>
  </w:num>
  <w:num w:numId="30" w16cid:durableId="321665268">
    <w:abstractNumId w:val="18"/>
  </w:num>
  <w:num w:numId="31" w16cid:durableId="1412461504">
    <w:abstractNumId w:val="26"/>
  </w:num>
  <w:num w:numId="32" w16cid:durableId="431317579">
    <w:abstractNumId w:val="11"/>
  </w:num>
  <w:num w:numId="33" w16cid:durableId="1526167761">
    <w:abstractNumId w:val="28"/>
  </w:num>
  <w:num w:numId="34" w16cid:durableId="1911691351">
    <w:abstractNumId w:val="29"/>
  </w:num>
  <w:num w:numId="35" w16cid:durableId="1782336897">
    <w:abstractNumId w:val="21"/>
  </w:num>
  <w:num w:numId="36" w16cid:durableId="1964729907">
    <w:abstractNumId w:val="3"/>
  </w:num>
  <w:num w:numId="37" w16cid:durableId="55711248">
    <w:abstractNumId w:val="14"/>
  </w:num>
  <w:num w:numId="38" w16cid:durableId="493684385">
    <w:abstractNumId w:val="5"/>
  </w:num>
  <w:num w:numId="39" w16cid:durableId="1115757455">
    <w:abstractNumId w:val="30"/>
  </w:num>
  <w:num w:numId="40" w16cid:durableId="1282302960">
    <w:abstractNumId w:val="7"/>
  </w:num>
  <w:num w:numId="41" w16cid:durableId="9189089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evenAndOddHeaders/>
  <w:drawingGridHorizontalSpacing w:val="6"/>
  <w:drawingGridVerticalSpacing w:val="6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FC8"/>
    <w:rsid w:val="000071C8"/>
    <w:rsid w:val="00007BDC"/>
    <w:rsid w:val="00026D38"/>
    <w:rsid w:val="000723F0"/>
    <w:rsid w:val="000B0E4E"/>
    <w:rsid w:val="000C4930"/>
    <w:rsid w:val="000D190C"/>
    <w:rsid w:val="000D2E63"/>
    <w:rsid w:val="000D39FC"/>
    <w:rsid w:val="000D4E4C"/>
    <w:rsid w:val="000E3523"/>
    <w:rsid w:val="000E68BE"/>
    <w:rsid w:val="000E7AEA"/>
    <w:rsid w:val="000F1DBA"/>
    <w:rsid w:val="000F258B"/>
    <w:rsid w:val="00100A35"/>
    <w:rsid w:val="0011081B"/>
    <w:rsid w:val="0011114C"/>
    <w:rsid w:val="00136F5B"/>
    <w:rsid w:val="0015037E"/>
    <w:rsid w:val="0017170A"/>
    <w:rsid w:val="00177B08"/>
    <w:rsid w:val="001912E2"/>
    <w:rsid w:val="001A6E27"/>
    <w:rsid w:val="001C6211"/>
    <w:rsid w:val="001E318E"/>
    <w:rsid w:val="001E413E"/>
    <w:rsid w:val="001F1F04"/>
    <w:rsid w:val="001F5D62"/>
    <w:rsid w:val="00201171"/>
    <w:rsid w:val="00213953"/>
    <w:rsid w:val="0022749F"/>
    <w:rsid w:val="00234C33"/>
    <w:rsid w:val="00253855"/>
    <w:rsid w:val="00261E65"/>
    <w:rsid w:val="002750C1"/>
    <w:rsid w:val="0029264C"/>
    <w:rsid w:val="00297308"/>
    <w:rsid w:val="002A5E89"/>
    <w:rsid w:val="002B347B"/>
    <w:rsid w:val="002B4B18"/>
    <w:rsid w:val="002D2C1D"/>
    <w:rsid w:val="002E0DF5"/>
    <w:rsid w:val="002E70A1"/>
    <w:rsid w:val="00310E5D"/>
    <w:rsid w:val="00311ECE"/>
    <w:rsid w:val="003210F7"/>
    <w:rsid w:val="0032163E"/>
    <w:rsid w:val="0034270A"/>
    <w:rsid w:val="0034355C"/>
    <w:rsid w:val="00346B2C"/>
    <w:rsid w:val="00346C46"/>
    <w:rsid w:val="003557A8"/>
    <w:rsid w:val="003562F2"/>
    <w:rsid w:val="00363D04"/>
    <w:rsid w:val="003824D0"/>
    <w:rsid w:val="003829C6"/>
    <w:rsid w:val="003864FF"/>
    <w:rsid w:val="00397DEC"/>
    <w:rsid w:val="003B58D6"/>
    <w:rsid w:val="003C5CD1"/>
    <w:rsid w:val="003D46DA"/>
    <w:rsid w:val="003D4875"/>
    <w:rsid w:val="003E2147"/>
    <w:rsid w:val="003E27AC"/>
    <w:rsid w:val="003F3C42"/>
    <w:rsid w:val="003F57A6"/>
    <w:rsid w:val="00401C01"/>
    <w:rsid w:val="0041299F"/>
    <w:rsid w:val="004350DB"/>
    <w:rsid w:val="00435DE5"/>
    <w:rsid w:val="004573F3"/>
    <w:rsid w:val="004618DE"/>
    <w:rsid w:val="00461AB7"/>
    <w:rsid w:val="00463EA2"/>
    <w:rsid w:val="00480EDB"/>
    <w:rsid w:val="00484032"/>
    <w:rsid w:val="00494C58"/>
    <w:rsid w:val="00494E3A"/>
    <w:rsid w:val="004A1470"/>
    <w:rsid w:val="004A327F"/>
    <w:rsid w:val="004B08C6"/>
    <w:rsid w:val="004C1526"/>
    <w:rsid w:val="004C1D3F"/>
    <w:rsid w:val="004C3E47"/>
    <w:rsid w:val="004D05D2"/>
    <w:rsid w:val="004D0F08"/>
    <w:rsid w:val="004D1967"/>
    <w:rsid w:val="004E14FE"/>
    <w:rsid w:val="004E46D6"/>
    <w:rsid w:val="00503F9D"/>
    <w:rsid w:val="005045C4"/>
    <w:rsid w:val="00512E11"/>
    <w:rsid w:val="00513180"/>
    <w:rsid w:val="005169D0"/>
    <w:rsid w:val="00533732"/>
    <w:rsid w:val="00536CDD"/>
    <w:rsid w:val="0054673E"/>
    <w:rsid w:val="00566780"/>
    <w:rsid w:val="00577521"/>
    <w:rsid w:val="00596B7E"/>
    <w:rsid w:val="005B5EF5"/>
    <w:rsid w:val="005C7D01"/>
    <w:rsid w:val="005D54DD"/>
    <w:rsid w:val="005D6192"/>
    <w:rsid w:val="005E79A6"/>
    <w:rsid w:val="00623957"/>
    <w:rsid w:val="00632A9F"/>
    <w:rsid w:val="00640D32"/>
    <w:rsid w:val="00655725"/>
    <w:rsid w:val="006648AA"/>
    <w:rsid w:val="00673F0C"/>
    <w:rsid w:val="006835E4"/>
    <w:rsid w:val="0068583F"/>
    <w:rsid w:val="00695BA3"/>
    <w:rsid w:val="0069684F"/>
    <w:rsid w:val="006A3031"/>
    <w:rsid w:val="006C2C65"/>
    <w:rsid w:val="006C5D80"/>
    <w:rsid w:val="006D052A"/>
    <w:rsid w:val="006D36DB"/>
    <w:rsid w:val="006D6768"/>
    <w:rsid w:val="006E2A83"/>
    <w:rsid w:val="006E7669"/>
    <w:rsid w:val="007279DB"/>
    <w:rsid w:val="00732C1F"/>
    <w:rsid w:val="00742745"/>
    <w:rsid w:val="007449EA"/>
    <w:rsid w:val="00751056"/>
    <w:rsid w:val="00753AFA"/>
    <w:rsid w:val="00755CED"/>
    <w:rsid w:val="0076217F"/>
    <w:rsid w:val="007701CE"/>
    <w:rsid w:val="00773D5C"/>
    <w:rsid w:val="00783CE9"/>
    <w:rsid w:val="007A3E25"/>
    <w:rsid w:val="007A45CC"/>
    <w:rsid w:val="007A49EB"/>
    <w:rsid w:val="007A7EC6"/>
    <w:rsid w:val="007C403E"/>
    <w:rsid w:val="007D593C"/>
    <w:rsid w:val="007E2085"/>
    <w:rsid w:val="007E6082"/>
    <w:rsid w:val="007F2BA5"/>
    <w:rsid w:val="00814BE9"/>
    <w:rsid w:val="00835BC3"/>
    <w:rsid w:val="0085153D"/>
    <w:rsid w:val="008608E4"/>
    <w:rsid w:val="008735A8"/>
    <w:rsid w:val="00873BED"/>
    <w:rsid w:val="008852E4"/>
    <w:rsid w:val="00894FF3"/>
    <w:rsid w:val="008A6802"/>
    <w:rsid w:val="008B0B84"/>
    <w:rsid w:val="008C24D0"/>
    <w:rsid w:val="008C59A5"/>
    <w:rsid w:val="00902342"/>
    <w:rsid w:val="00904C98"/>
    <w:rsid w:val="009053BE"/>
    <w:rsid w:val="009063B7"/>
    <w:rsid w:val="00907D3B"/>
    <w:rsid w:val="009148B8"/>
    <w:rsid w:val="009173FE"/>
    <w:rsid w:val="00920B40"/>
    <w:rsid w:val="00921371"/>
    <w:rsid w:val="00932970"/>
    <w:rsid w:val="00940A3E"/>
    <w:rsid w:val="00972BBF"/>
    <w:rsid w:val="0098415A"/>
    <w:rsid w:val="00985C6C"/>
    <w:rsid w:val="009A7E4A"/>
    <w:rsid w:val="009B516F"/>
    <w:rsid w:val="009E53F6"/>
    <w:rsid w:val="009E5EB5"/>
    <w:rsid w:val="009E6CEB"/>
    <w:rsid w:val="00A00B63"/>
    <w:rsid w:val="00A143A6"/>
    <w:rsid w:val="00A23875"/>
    <w:rsid w:val="00A33021"/>
    <w:rsid w:val="00A36041"/>
    <w:rsid w:val="00A44962"/>
    <w:rsid w:val="00A56408"/>
    <w:rsid w:val="00A66F28"/>
    <w:rsid w:val="00A70F48"/>
    <w:rsid w:val="00A75068"/>
    <w:rsid w:val="00AA2478"/>
    <w:rsid w:val="00AE2122"/>
    <w:rsid w:val="00B143FE"/>
    <w:rsid w:val="00B243F2"/>
    <w:rsid w:val="00B2519D"/>
    <w:rsid w:val="00B331B5"/>
    <w:rsid w:val="00B33A92"/>
    <w:rsid w:val="00B54018"/>
    <w:rsid w:val="00B54421"/>
    <w:rsid w:val="00B557FF"/>
    <w:rsid w:val="00B57F85"/>
    <w:rsid w:val="00B80382"/>
    <w:rsid w:val="00B872CA"/>
    <w:rsid w:val="00B949A4"/>
    <w:rsid w:val="00BC1245"/>
    <w:rsid w:val="00BD5A86"/>
    <w:rsid w:val="00BE3F20"/>
    <w:rsid w:val="00C05FC8"/>
    <w:rsid w:val="00C108A8"/>
    <w:rsid w:val="00C123B8"/>
    <w:rsid w:val="00C138E0"/>
    <w:rsid w:val="00C32717"/>
    <w:rsid w:val="00C3501E"/>
    <w:rsid w:val="00C41845"/>
    <w:rsid w:val="00C67B70"/>
    <w:rsid w:val="00C720F0"/>
    <w:rsid w:val="00C73545"/>
    <w:rsid w:val="00C7459C"/>
    <w:rsid w:val="00C84B6A"/>
    <w:rsid w:val="00C91036"/>
    <w:rsid w:val="00C95942"/>
    <w:rsid w:val="00C97B94"/>
    <w:rsid w:val="00CA1880"/>
    <w:rsid w:val="00CA38AC"/>
    <w:rsid w:val="00CA48CF"/>
    <w:rsid w:val="00CB6571"/>
    <w:rsid w:val="00CC085D"/>
    <w:rsid w:val="00CC3A67"/>
    <w:rsid w:val="00CC501A"/>
    <w:rsid w:val="00CD6A85"/>
    <w:rsid w:val="00CE5093"/>
    <w:rsid w:val="00CE7C2F"/>
    <w:rsid w:val="00D2361F"/>
    <w:rsid w:val="00D23B0B"/>
    <w:rsid w:val="00D23EDD"/>
    <w:rsid w:val="00D302AD"/>
    <w:rsid w:val="00D4515E"/>
    <w:rsid w:val="00D47C8B"/>
    <w:rsid w:val="00D644C5"/>
    <w:rsid w:val="00D70321"/>
    <w:rsid w:val="00D86646"/>
    <w:rsid w:val="00DA45FE"/>
    <w:rsid w:val="00DA71B9"/>
    <w:rsid w:val="00DB0D0D"/>
    <w:rsid w:val="00DC1F0C"/>
    <w:rsid w:val="00DC7F96"/>
    <w:rsid w:val="00DD53BA"/>
    <w:rsid w:val="00DD6E32"/>
    <w:rsid w:val="00DF1829"/>
    <w:rsid w:val="00DF248E"/>
    <w:rsid w:val="00E174A3"/>
    <w:rsid w:val="00E2490F"/>
    <w:rsid w:val="00E26B0D"/>
    <w:rsid w:val="00E55674"/>
    <w:rsid w:val="00E55EEC"/>
    <w:rsid w:val="00E5717B"/>
    <w:rsid w:val="00E621C7"/>
    <w:rsid w:val="00E62C51"/>
    <w:rsid w:val="00E65D5E"/>
    <w:rsid w:val="00E71F05"/>
    <w:rsid w:val="00E80CF6"/>
    <w:rsid w:val="00E912CA"/>
    <w:rsid w:val="00EB1193"/>
    <w:rsid w:val="00EB3895"/>
    <w:rsid w:val="00EC5BC4"/>
    <w:rsid w:val="00ED39E0"/>
    <w:rsid w:val="00F0134D"/>
    <w:rsid w:val="00F017CE"/>
    <w:rsid w:val="00F04FBD"/>
    <w:rsid w:val="00F077E7"/>
    <w:rsid w:val="00F15303"/>
    <w:rsid w:val="00F410EC"/>
    <w:rsid w:val="00F63A2A"/>
    <w:rsid w:val="00F70E63"/>
    <w:rsid w:val="00F7634F"/>
    <w:rsid w:val="00F76FE7"/>
    <w:rsid w:val="00F844CF"/>
    <w:rsid w:val="00F85B2D"/>
    <w:rsid w:val="00F90CD8"/>
    <w:rsid w:val="00F92310"/>
    <w:rsid w:val="00F94805"/>
    <w:rsid w:val="00F97E19"/>
    <w:rsid w:val="00FC276A"/>
    <w:rsid w:val="00FC7B23"/>
    <w:rsid w:val="00FD0FD7"/>
    <w:rsid w:val="00FD39C7"/>
    <w:rsid w:val="00FD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C7C3A3"/>
  <w15:docId w15:val="{28A6BD04-9FF5-4433-985C-844F35F54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fr-FR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napToGrid w:val="0"/>
    </w:pPr>
    <w:rPr>
      <w:rFonts w:ascii="Arial" w:hAnsi="Arial"/>
      <w:snapToGrid w:val="0"/>
      <w:sz w:val="22"/>
      <w:szCs w:val="24"/>
    </w:rPr>
  </w:style>
  <w:style w:type="paragraph" w:styleId="Heading1">
    <w:name w:val="heading 1"/>
    <w:basedOn w:val="Normal"/>
    <w:next w:val="Marge"/>
    <w:qFormat/>
    <w:rsid w:val="001F1F04"/>
    <w:pPr>
      <w:keepNext/>
      <w:keepLines/>
      <w:spacing w:before="240" w:after="240"/>
      <w:jc w:val="center"/>
      <w:outlineLvl w:val="0"/>
    </w:pPr>
    <w:rPr>
      <w:rFonts w:eastAsia="Times New Roman"/>
      <w:b/>
      <w:bCs/>
      <w:kern w:val="28"/>
      <w:lang w:eastAsia="en-US"/>
    </w:rPr>
  </w:style>
  <w:style w:type="paragraph" w:styleId="Heading2">
    <w:name w:val="heading 2"/>
    <w:basedOn w:val="Normal"/>
    <w:next w:val="Marge"/>
    <w:qFormat/>
    <w:pPr>
      <w:keepNext/>
      <w:keepLines/>
      <w:spacing w:before="480" w:after="240"/>
      <w:ind w:left="567" w:hanging="567"/>
      <w:outlineLvl w:val="1"/>
    </w:pPr>
    <w:rPr>
      <w:rFonts w:eastAsia="Times New Roman"/>
      <w:b/>
      <w:bCs/>
      <w:caps/>
      <w:lang w:eastAsia="en-US"/>
    </w:rPr>
  </w:style>
  <w:style w:type="paragraph" w:styleId="Heading3">
    <w:name w:val="heading 3"/>
    <w:basedOn w:val="Normal"/>
    <w:next w:val="Marge"/>
    <w:qFormat/>
    <w:pPr>
      <w:keepNext/>
      <w:keepLines/>
      <w:spacing w:after="240"/>
      <w:ind w:left="567" w:hanging="567"/>
      <w:outlineLvl w:val="2"/>
    </w:pPr>
    <w:rPr>
      <w:rFonts w:eastAsia="Times New Roman"/>
      <w:b/>
      <w:bCs/>
      <w:lang w:eastAsia="en-US"/>
    </w:rPr>
  </w:style>
  <w:style w:type="paragraph" w:styleId="Heading4">
    <w:name w:val="heading 4"/>
    <w:basedOn w:val="Normal"/>
    <w:next w:val="Marge"/>
    <w:qFormat/>
    <w:pPr>
      <w:keepNext/>
      <w:keepLines/>
      <w:spacing w:after="240"/>
      <w:outlineLvl w:val="3"/>
    </w:pPr>
    <w:rPr>
      <w:rFonts w:eastAsia="Times New Roman"/>
      <w:b/>
      <w:bCs/>
      <w:lang w:eastAsia="en-US"/>
    </w:rPr>
  </w:style>
  <w:style w:type="paragraph" w:styleId="Heading5">
    <w:name w:val="heading 5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1134" w:hanging="567"/>
      <w:outlineLvl w:val="4"/>
    </w:pPr>
    <w:rPr>
      <w:rFonts w:eastAsia="Times New Roman"/>
      <w:b/>
      <w:bCs/>
      <w:lang w:eastAsia="en-US"/>
    </w:rPr>
  </w:style>
  <w:style w:type="paragraph" w:styleId="Heading6">
    <w:name w:val="heading 6"/>
    <w:basedOn w:val="Normal"/>
    <w:next w:val="Marge"/>
    <w:qFormat/>
    <w:pPr>
      <w:keepNext/>
      <w:keepLines/>
      <w:tabs>
        <w:tab w:val="clear" w:pos="567"/>
        <w:tab w:val="left" w:pos="1134"/>
      </w:tabs>
      <w:spacing w:after="240"/>
      <w:ind w:left="567"/>
      <w:outlineLvl w:val="5"/>
    </w:pPr>
    <w:rPr>
      <w:rFonts w:eastAsia="Times New Roman"/>
      <w:b/>
      <w:iCs/>
      <w:szCs w:val="22"/>
      <w:lang w:eastAsia="en-US"/>
    </w:rPr>
  </w:style>
  <w:style w:type="paragraph" w:styleId="Heading7">
    <w:name w:val="heading 7"/>
    <w:basedOn w:val="Normal"/>
    <w:next w:val="Normal"/>
    <w:qFormat/>
    <w:pPr>
      <w:keepNext/>
      <w:spacing w:after="240"/>
      <w:jc w:val="both"/>
      <w:outlineLvl w:val="6"/>
    </w:pPr>
    <w:rPr>
      <w:rFonts w:ascii="Times New Roman" w:hAnsi="Times New Roman"/>
      <w:snapToGrid/>
      <w:color w:val="000000"/>
      <w:sz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(a)"/>
    <w:basedOn w:val="Normal"/>
    <w:pPr>
      <w:tabs>
        <w:tab w:val="left" w:pos="-737"/>
      </w:tabs>
      <w:spacing w:after="240"/>
      <w:ind w:left="567" w:hanging="567"/>
      <w:jc w:val="both"/>
    </w:pPr>
    <w:rPr>
      <w:rFonts w:eastAsia="Times New Roman"/>
      <w:lang w:eastAsia="en-US"/>
    </w:rPr>
  </w:style>
  <w:style w:type="paragraph" w:customStyle="1" w:styleId="b">
    <w:name w:val="(b)"/>
    <w:basedOn w:val="a"/>
    <w:pPr>
      <w:tabs>
        <w:tab w:val="clear" w:pos="567"/>
        <w:tab w:val="left" w:pos="1134"/>
      </w:tabs>
      <w:ind w:left="1134"/>
    </w:pPr>
  </w:style>
  <w:style w:type="paragraph" w:customStyle="1" w:styleId="c">
    <w:name w:val="(c)"/>
    <w:basedOn w:val="Normal"/>
    <w:pPr>
      <w:tabs>
        <w:tab w:val="clear" w:pos="567"/>
        <w:tab w:val="left" w:pos="1701"/>
      </w:tabs>
      <w:spacing w:after="240"/>
      <w:ind w:left="1701" w:hanging="567"/>
      <w:jc w:val="both"/>
    </w:pPr>
  </w:style>
  <w:style w:type="paragraph" w:customStyle="1" w:styleId="alina">
    <w:name w:val="alinéa"/>
    <w:basedOn w:val="Normal"/>
    <w:pPr>
      <w:snapToGrid/>
      <w:spacing w:after="240"/>
      <w:ind w:left="567"/>
      <w:jc w:val="both"/>
    </w:pPr>
    <w:rPr>
      <w:rFonts w:eastAsia="Times New Roman"/>
      <w:snapToGrid/>
      <w:lang w:eastAsia="en-US"/>
    </w:rPr>
  </w:style>
  <w:style w:type="character" w:styleId="FootnoteReference">
    <w:name w:val="footnote reference"/>
    <w:rPr>
      <w:vertAlign w:val="superscript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customStyle="1" w:styleId="Par">
    <w:name w:val="Par"/>
    <w:basedOn w:val="Normal"/>
    <w:pPr>
      <w:spacing w:after="240"/>
      <w:ind w:firstLine="567"/>
      <w:jc w:val="both"/>
    </w:pPr>
    <w:rPr>
      <w:rFonts w:eastAsia="Times New Roman"/>
      <w:lang w:eastAsia="en-US"/>
    </w:rPr>
  </w:style>
  <w:style w:type="paragraph" w:customStyle="1" w:styleId="Marge">
    <w:name w:val="Marge"/>
    <w:basedOn w:val="Par"/>
    <w:link w:val="MargeChar"/>
    <w:uiPriority w:val="99"/>
    <w:pPr>
      <w:ind w:firstLine="0"/>
    </w:pPr>
  </w:style>
  <w:style w:type="paragraph" w:styleId="FootnoteText">
    <w:name w:val="footnote text"/>
    <w:basedOn w:val="Normal"/>
    <w:link w:val="FootnoteTextChar"/>
    <w:uiPriority w:val="99"/>
    <w:semiHidden/>
    <w:pPr>
      <w:ind w:left="567" w:hanging="567"/>
    </w:pPr>
    <w:rPr>
      <w:rFonts w:eastAsia="Times New Roman"/>
      <w:sz w:val="20"/>
      <w:szCs w:val="20"/>
      <w:lang w:eastAsia="en-US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rFonts w:eastAsia="Times New Roman"/>
      <w:lang w:eastAsia="en-US"/>
    </w:rPr>
  </w:style>
  <w:style w:type="paragraph" w:styleId="BodyText3">
    <w:name w:val="Body Text 3"/>
    <w:basedOn w:val="Normal"/>
    <w:rPr>
      <w:color w:val="000080"/>
    </w:rPr>
  </w:style>
  <w:style w:type="character" w:styleId="PageNumber">
    <w:name w:val="page number"/>
    <w:basedOn w:val="DefaultParagraphFont"/>
  </w:style>
  <w:style w:type="paragraph" w:customStyle="1" w:styleId="TIRETbul1cm">
    <w:name w:val="TIRET bul 1cm"/>
    <w:basedOn w:val="Normal"/>
    <w:pPr>
      <w:numPr>
        <w:numId w:val="3"/>
      </w:numPr>
      <w:tabs>
        <w:tab w:val="clear" w:pos="567"/>
        <w:tab w:val="left" w:pos="851"/>
      </w:tabs>
      <w:adjustRightInd w:val="0"/>
      <w:spacing w:after="240"/>
      <w:jc w:val="both"/>
    </w:pPr>
  </w:style>
  <w:style w:type="paragraph" w:customStyle="1" w:styleId="Serre">
    <w:name w:val="Serre"/>
    <w:basedOn w:val="Normal"/>
    <w:pPr>
      <w:tabs>
        <w:tab w:val="clear" w:pos="567"/>
      </w:tabs>
      <w:suppressAutoHyphens/>
      <w:snapToGrid/>
      <w:jc w:val="both"/>
      <w:outlineLvl w:val="2"/>
    </w:pPr>
    <w:rPr>
      <w:rFonts w:eastAsia="Times New Roman"/>
      <w:snapToGrid/>
      <w:szCs w:val="20"/>
      <w:lang w:eastAsia="fr-FR"/>
    </w:rPr>
  </w:style>
  <w:style w:type="paragraph" w:customStyle="1" w:styleId="tiret">
    <w:name w:val="tiret"/>
    <w:basedOn w:val="Marge"/>
    <w:pPr>
      <w:ind w:left="284" w:hanging="284"/>
    </w:pPr>
    <w:rPr>
      <w:lang w:val="en-GB"/>
    </w:rPr>
  </w:style>
  <w:style w:type="character" w:customStyle="1" w:styleId="PointSoul">
    <w:name w:val="PointSoul"/>
    <w:rPr>
      <w:u w:val="single"/>
    </w:rPr>
  </w:style>
  <w:style w:type="table" w:styleId="TableGrid">
    <w:name w:val="Table Grid"/>
    <w:basedOn w:val="TableNormal"/>
    <w:uiPriority w:val="59"/>
    <w:rsid w:val="00ED39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A36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36041"/>
    <w:rPr>
      <w:rFonts w:ascii="Tahoma" w:hAnsi="Tahoma" w:cs="Tahoma"/>
      <w:snapToGrid w:val="0"/>
      <w:sz w:val="16"/>
      <w:szCs w:val="16"/>
      <w:lang w:eastAsia="zh-CN"/>
    </w:rPr>
  </w:style>
  <w:style w:type="paragraph" w:styleId="BodyText">
    <w:name w:val="Body Text"/>
    <w:basedOn w:val="Normal"/>
    <w:link w:val="BodyTextChar"/>
    <w:rsid w:val="005169D0"/>
    <w:pPr>
      <w:spacing w:after="120"/>
    </w:pPr>
  </w:style>
  <w:style w:type="character" w:customStyle="1" w:styleId="BodyTextChar">
    <w:name w:val="Body Text Char"/>
    <w:link w:val="BodyText"/>
    <w:uiPriority w:val="99"/>
    <w:rsid w:val="005169D0"/>
    <w:rPr>
      <w:rFonts w:ascii="Arial" w:hAnsi="Arial"/>
      <w:snapToGrid w:val="0"/>
      <w:sz w:val="22"/>
      <w:szCs w:val="24"/>
    </w:rPr>
  </w:style>
  <w:style w:type="paragraph" w:styleId="ListParagraph">
    <w:name w:val="List Paragraph"/>
    <w:aliases w:val="ADB List Paragraph,Dot pt,List Paragraph Char Char Char,Indicator Text,List Paragraph1,Numbered Para 1,List Paragraph12,Bullet Points,MAIN CONTENT,Bullet 1,Colorful List - Accent 11,Light Grid - Accent 31,References,Indent Paragraph"/>
    <w:basedOn w:val="Normal"/>
    <w:link w:val="ListParagraphChar"/>
    <w:uiPriority w:val="34"/>
    <w:qFormat/>
    <w:rsid w:val="005169D0"/>
    <w:pPr>
      <w:tabs>
        <w:tab w:val="clear" w:pos="567"/>
      </w:tabs>
      <w:snapToGrid/>
      <w:spacing w:after="200" w:line="276" w:lineRule="auto"/>
      <w:ind w:left="720"/>
      <w:contextualSpacing/>
    </w:pPr>
    <w:rPr>
      <w:rFonts w:ascii="Calibri" w:hAnsi="Calibri"/>
      <w:snapToGrid/>
      <w:szCs w:val="22"/>
      <w:lang w:val="en-GB" w:eastAsia="en-GB"/>
    </w:rPr>
  </w:style>
  <w:style w:type="paragraph" w:styleId="NormalWeb">
    <w:name w:val="Normal (Web)"/>
    <w:basedOn w:val="Normal"/>
    <w:uiPriority w:val="99"/>
    <w:rsid w:val="00B872CA"/>
    <w:pPr>
      <w:tabs>
        <w:tab w:val="clear" w:pos="567"/>
      </w:tabs>
      <w:suppressAutoHyphens/>
      <w:overflowPunct w:val="0"/>
      <w:autoSpaceDE w:val="0"/>
      <w:snapToGrid/>
      <w:spacing w:before="280" w:after="280"/>
      <w:textAlignment w:val="baseline"/>
    </w:pPr>
    <w:rPr>
      <w:rFonts w:ascii="Times New Roman" w:eastAsia="Times New Roman" w:hAnsi="Times New Roman"/>
      <w:snapToGrid/>
      <w:sz w:val="24"/>
      <w:szCs w:val="20"/>
      <w:lang w:val="en-US" w:eastAsia="ar-SA"/>
    </w:rPr>
  </w:style>
  <w:style w:type="paragraph" w:customStyle="1" w:styleId="Default">
    <w:name w:val="Default"/>
    <w:rsid w:val="006D052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de-DE" w:eastAsia="en-US"/>
    </w:rPr>
  </w:style>
  <w:style w:type="character" w:customStyle="1" w:styleId="admitted">
    <w:name w:val="admitted"/>
    <w:rsid w:val="00100A35"/>
  </w:style>
  <w:style w:type="character" w:customStyle="1" w:styleId="hps">
    <w:name w:val="hps"/>
    <w:uiPriority w:val="99"/>
    <w:rsid w:val="00100A35"/>
  </w:style>
  <w:style w:type="character" w:styleId="Hyperlink">
    <w:name w:val="Hyperlink"/>
    <w:uiPriority w:val="99"/>
    <w:unhideWhenUsed/>
    <w:rsid w:val="00100A35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100A35"/>
    <w:pPr>
      <w:tabs>
        <w:tab w:val="clear" w:pos="567"/>
        <w:tab w:val="right" w:leader="dot" w:pos="9071"/>
      </w:tabs>
      <w:snapToGrid/>
    </w:pPr>
    <w:rPr>
      <w:rFonts w:eastAsia="Calibri" w:cs="Arial"/>
      <w:noProof/>
      <w:snapToGrid/>
      <w:szCs w:val="22"/>
      <w:lang w:val="en-GB" w:eastAsia="de-DE"/>
    </w:rPr>
  </w:style>
  <w:style w:type="character" w:customStyle="1" w:styleId="newskoshortdesc">
    <w:name w:val="newskoshortdesc"/>
    <w:basedOn w:val="DefaultParagraphFont"/>
    <w:rsid w:val="007A7EC6"/>
  </w:style>
  <w:style w:type="character" w:customStyle="1" w:styleId="newskolongdesc">
    <w:name w:val="newskolongdesc"/>
    <w:basedOn w:val="DefaultParagraphFont"/>
    <w:rsid w:val="007A7EC6"/>
  </w:style>
  <w:style w:type="paragraph" w:styleId="Title">
    <w:name w:val="Title"/>
    <w:basedOn w:val="Normal"/>
    <w:link w:val="TitleChar"/>
    <w:qFormat/>
    <w:rsid w:val="007A7EC6"/>
    <w:pPr>
      <w:tabs>
        <w:tab w:val="clear" w:pos="567"/>
      </w:tabs>
      <w:snapToGrid/>
      <w:jc w:val="center"/>
    </w:pPr>
    <w:rPr>
      <w:rFonts w:ascii="Times New Roman" w:eastAsia="Times New Roman" w:hAnsi="Times New Roman"/>
      <w:b/>
      <w:snapToGrid/>
      <w:sz w:val="24"/>
      <w:szCs w:val="20"/>
      <w:lang w:val="en-GB" w:eastAsia="en-US"/>
    </w:rPr>
  </w:style>
  <w:style w:type="character" w:customStyle="1" w:styleId="TitleChar">
    <w:name w:val="Title Char"/>
    <w:basedOn w:val="DefaultParagraphFont"/>
    <w:link w:val="Title"/>
    <w:rsid w:val="007A7EC6"/>
    <w:rPr>
      <w:rFonts w:eastAsia="Times New Roman"/>
      <w:b/>
      <w:sz w:val="24"/>
      <w:lang w:val="en-GB" w:eastAsia="en-US"/>
    </w:rPr>
  </w:style>
  <w:style w:type="character" w:customStyle="1" w:styleId="Style2">
    <w:name w:val="Style2"/>
    <w:rsid w:val="007A7EC6"/>
    <w:rPr>
      <w:rFonts w:ascii="Arial Black" w:hAnsi="Arial Black"/>
      <w:caps/>
      <w:sz w:val="18"/>
      <w:szCs w:val="22"/>
      <w:u w:val="single"/>
    </w:rPr>
  </w:style>
  <w:style w:type="table" w:styleId="TableWeb1">
    <w:name w:val="Table Web 1"/>
    <w:basedOn w:val="TableNormal"/>
    <w:rsid w:val="007A7EC6"/>
    <w:rPr>
      <w:rFonts w:eastAsia="Times New Roman"/>
      <w:lang w:eastAsia="fr-FR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lainText">
    <w:name w:val="Plain Text"/>
    <w:basedOn w:val="Normal"/>
    <w:link w:val="PlainTextChar"/>
    <w:rsid w:val="007A7EC6"/>
    <w:pPr>
      <w:tabs>
        <w:tab w:val="clear" w:pos="567"/>
      </w:tabs>
      <w:snapToGrid/>
    </w:pPr>
    <w:rPr>
      <w:rFonts w:ascii="Courier New" w:eastAsia="Times New Roman" w:hAnsi="Courier New"/>
      <w:snapToGrid/>
      <w:sz w:val="20"/>
      <w:szCs w:val="20"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7A7EC6"/>
    <w:rPr>
      <w:rFonts w:ascii="Courier New" w:eastAsia="Times New Roman" w:hAnsi="Courier New"/>
      <w:lang w:val="en-US" w:eastAsia="en-US"/>
    </w:rPr>
  </w:style>
  <w:style w:type="character" w:styleId="Strong">
    <w:name w:val="Strong"/>
    <w:qFormat/>
    <w:rsid w:val="007A7EC6"/>
    <w:rPr>
      <w:b/>
      <w:bCs/>
    </w:rPr>
  </w:style>
  <w:style w:type="table" w:styleId="TableWeb2">
    <w:name w:val="Table Web 2"/>
    <w:basedOn w:val="TableNormal"/>
    <w:rsid w:val="007A7EC6"/>
    <w:rPr>
      <w:rFonts w:eastAsia="Times New Roman"/>
      <w:lang w:eastAsia="fr-FR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7A7EC6"/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2">
    <w:name w:val="Body Text Indent 2"/>
    <w:basedOn w:val="Normal"/>
    <w:link w:val="BodyTextIndent2Char"/>
    <w:rsid w:val="007A7EC6"/>
    <w:pPr>
      <w:tabs>
        <w:tab w:val="clear" w:pos="567"/>
      </w:tabs>
      <w:snapToGrid/>
      <w:ind w:left="720"/>
      <w:jc w:val="both"/>
    </w:pPr>
    <w:rPr>
      <w:rFonts w:eastAsia="Times New Roman"/>
      <w:snapToGrid/>
      <w:szCs w:val="20"/>
      <w:lang w:val="en-GB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7A7EC6"/>
    <w:rPr>
      <w:rFonts w:ascii="Arial" w:eastAsia="Times New Roman" w:hAnsi="Arial"/>
      <w:sz w:val="22"/>
      <w:lang w:val="en-GB" w:eastAsia="en-US"/>
    </w:rPr>
  </w:style>
  <w:style w:type="paragraph" w:styleId="BodyTextIndent">
    <w:name w:val="Body Text Indent"/>
    <w:basedOn w:val="Normal"/>
    <w:link w:val="BodyTextIndentChar"/>
    <w:rsid w:val="007A7EC6"/>
    <w:pPr>
      <w:widowControl w:val="0"/>
      <w:tabs>
        <w:tab w:val="clear" w:pos="567"/>
      </w:tabs>
      <w:snapToGrid/>
      <w:spacing w:line="280" w:lineRule="exact"/>
      <w:ind w:left="720" w:hanging="720"/>
    </w:pPr>
    <w:rPr>
      <w:rFonts w:eastAsia="Times New Roman" w:cs="Arial"/>
      <w:snapToGrid/>
      <w:szCs w:val="20"/>
      <w:lang w:val="en-GB" w:eastAsia="en-US"/>
    </w:rPr>
  </w:style>
  <w:style w:type="character" w:customStyle="1" w:styleId="BodyTextIndentChar">
    <w:name w:val="Body Text Indent Char"/>
    <w:basedOn w:val="DefaultParagraphFont"/>
    <w:link w:val="BodyTextIndent"/>
    <w:rsid w:val="007A7EC6"/>
    <w:rPr>
      <w:rFonts w:ascii="Arial" w:eastAsia="Times New Roman" w:hAnsi="Arial" w:cs="Arial"/>
      <w:sz w:val="22"/>
      <w:lang w:val="en-GB" w:eastAsia="en-US"/>
    </w:rPr>
  </w:style>
  <w:style w:type="character" w:styleId="Emphasis">
    <w:name w:val="Emphasis"/>
    <w:uiPriority w:val="20"/>
    <w:qFormat/>
    <w:rsid w:val="007A7EC6"/>
    <w:rPr>
      <w:b/>
      <w:bCs/>
      <w:i w:val="0"/>
      <w:iCs w:val="0"/>
    </w:rPr>
  </w:style>
  <w:style w:type="paragraph" w:styleId="Date">
    <w:name w:val="Date"/>
    <w:basedOn w:val="Normal"/>
    <w:next w:val="Normal"/>
    <w:link w:val="DateChar"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4"/>
      <w:lang w:val="x-none" w:eastAsia="en-US"/>
    </w:rPr>
  </w:style>
  <w:style w:type="character" w:customStyle="1" w:styleId="DateChar">
    <w:name w:val="Date Char"/>
    <w:basedOn w:val="DefaultParagraphFont"/>
    <w:link w:val="Date"/>
    <w:rsid w:val="007A7EC6"/>
    <w:rPr>
      <w:rFonts w:eastAsia="Times New Roman"/>
      <w:sz w:val="24"/>
      <w:szCs w:val="24"/>
      <w:lang w:val="x-none" w:eastAsia="en-US"/>
    </w:rPr>
  </w:style>
  <w:style w:type="paragraph" w:styleId="NoSpacing">
    <w:name w:val="No Spacing"/>
    <w:basedOn w:val="Normal"/>
    <w:link w:val="NoSpacingChar"/>
    <w:qFormat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4"/>
      <w:lang w:eastAsia="fr-FR"/>
    </w:rPr>
  </w:style>
  <w:style w:type="character" w:customStyle="1" w:styleId="NoSpacingChar">
    <w:name w:val="No Spacing Char"/>
    <w:link w:val="NoSpacing"/>
    <w:rsid w:val="007A7EC6"/>
    <w:rPr>
      <w:rFonts w:eastAsia="Times New Roman"/>
      <w:sz w:val="24"/>
      <w:szCs w:val="24"/>
      <w:lang w:eastAsia="fr-FR"/>
    </w:rPr>
  </w:style>
  <w:style w:type="character" w:styleId="FollowedHyperlink">
    <w:name w:val="FollowedHyperlink"/>
    <w:rsid w:val="007A7EC6"/>
    <w:rPr>
      <w:color w:val="800080"/>
      <w:u w:val="single"/>
    </w:rPr>
  </w:style>
  <w:style w:type="character" w:customStyle="1" w:styleId="fn">
    <w:name w:val="fn"/>
    <w:basedOn w:val="DefaultParagraphFont"/>
    <w:rsid w:val="007A7EC6"/>
  </w:style>
  <w:style w:type="character" w:styleId="CommentReference">
    <w:name w:val="annotation reference"/>
    <w:rsid w:val="007A7EC6"/>
    <w:rPr>
      <w:sz w:val="16"/>
      <w:szCs w:val="16"/>
    </w:rPr>
  </w:style>
  <w:style w:type="paragraph" w:styleId="CommentText">
    <w:name w:val="annotation text"/>
    <w:basedOn w:val="Normal"/>
    <w:link w:val="CommentTextChar"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rsid w:val="007A7EC6"/>
    <w:rPr>
      <w:rFonts w:eastAsia="Times New Roman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A7EC6"/>
    <w:rPr>
      <w:b/>
      <w:bCs/>
      <w:lang w:val="x-none" w:eastAsia="x-none"/>
    </w:rPr>
  </w:style>
  <w:style w:type="character" w:customStyle="1" w:styleId="CommentSubjectChar">
    <w:name w:val="Comment Subject Char"/>
    <w:basedOn w:val="CommentTextChar"/>
    <w:link w:val="CommentSubject"/>
    <w:rsid w:val="007A7EC6"/>
    <w:rPr>
      <w:rFonts w:eastAsia="Times New Roman"/>
      <w:b/>
      <w:bCs/>
      <w:lang w:val="x-none" w:eastAsia="x-none"/>
    </w:rPr>
  </w:style>
  <w:style w:type="paragraph" w:styleId="Revision">
    <w:name w:val="Revision"/>
    <w:hidden/>
    <w:uiPriority w:val="99"/>
    <w:semiHidden/>
    <w:rsid w:val="007A7EC6"/>
    <w:rPr>
      <w:rFonts w:eastAsia="Times New Roman"/>
      <w:sz w:val="24"/>
      <w:szCs w:val="24"/>
      <w:lang w:val="en-US" w:eastAsia="en-US"/>
    </w:rPr>
  </w:style>
  <w:style w:type="table" w:customStyle="1" w:styleId="TableGrid0">
    <w:name w:val="TableGrid"/>
    <w:rsid w:val="007A7EC6"/>
    <w:rPr>
      <w:rFonts w:ascii="Calibri" w:eastAsia="Times New Roman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7A7EC6"/>
  </w:style>
  <w:style w:type="character" w:customStyle="1" w:styleId="FootnoteTextChar">
    <w:name w:val="Footnote Text Char"/>
    <w:link w:val="FootnoteText"/>
    <w:uiPriority w:val="99"/>
    <w:semiHidden/>
    <w:rsid w:val="007A7EC6"/>
    <w:rPr>
      <w:rFonts w:ascii="Arial" w:eastAsia="Times New Roman" w:hAnsi="Arial"/>
      <w:snapToGrid w:val="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7A7EC6"/>
    <w:pPr>
      <w:widowControl w:val="0"/>
      <w:tabs>
        <w:tab w:val="clear" w:pos="567"/>
      </w:tabs>
      <w:autoSpaceDE w:val="0"/>
      <w:autoSpaceDN w:val="0"/>
      <w:snapToGrid/>
      <w:ind w:left="107"/>
    </w:pPr>
    <w:rPr>
      <w:rFonts w:eastAsia="Arial" w:cs="Arial"/>
      <w:snapToGrid/>
      <w:szCs w:val="22"/>
      <w:lang w:val="en-US" w:eastAsia="en-US" w:bidi="en-US"/>
    </w:rPr>
  </w:style>
  <w:style w:type="table" w:styleId="TableClassic1">
    <w:name w:val="Table Classic 1"/>
    <w:basedOn w:val="TableNormal"/>
    <w:rsid w:val="007A7EC6"/>
    <w:rPr>
      <w:rFonts w:eastAsia="Times New Roman"/>
      <w:lang w:eastAsia="fr-FR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7A7EC6"/>
    <w:rPr>
      <w:rFonts w:eastAsia="Times New Roman"/>
      <w:lang w:eastAsia="fr-FR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rsid w:val="007A7EC6"/>
    <w:rPr>
      <w:rFonts w:eastAsia="Times New Roman"/>
      <w:lang w:eastAsia="fr-FR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rsid w:val="007A7EC6"/>
    <w:rPr>
      <w:rFonts w:eastAsia="Times New Roman"/>
      <w:lang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7A7EC6"/>
    <w:rPr>
      <w:rFonts w:eastAsia="Times New Roman"/>
      <w:lang w:eastAsia="fr-FR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msonormal">
    <w:name w:val="x_msonormal"/>
    <w:basedOn w:val="Normal"/>
    <w:uiPriority w:val="99"/>
    <w:rsid w:val="007A7EC6"/>
    <w:pPr>
      <w:tabs>
        <w:tab w:val="clear" w:pos="567"/>
      </w:tabs>
      <w:snapToGrid/>
    </w:pPr>
    <w:rPr>
      <w:rFonts w:ascii="Calibri" w:eastAsia="Calibri" w:hAnsi="Calibri"/>
      <w:snapToGrid/>
      <w:szCs w:val="22"/>
      <w:lang w:eastAsia="fr-FR"/>
    </w:rPr>
  </w:style>
  <w:style w:type="paragraph" w:styleId="EndnoteText">
    <w:name w:val="endnote text"/>
    <w:basedOn w:val="Normal"/>
    <w:link w:val="EndnoteTextChar"/>
    <w:rsid w:val="007A7EC6"/>
    <w:pPr>
      <w:tabs>
        <w:tab w:val="clear" w:pos="567"/>
      </w:tabs>
      <w:snapToGrid/>
    </w:pPr>
    <w:rPr>
      <w:rFonts w:ascii="Times New Roman" w:eastAsia="Times New Roman" w:hAnsi="Times New Roman"/>
      <w:snapToGrid/>
      <w:sz w:val="20"/>
      <w:szCs w:val="20"/>
      <w:lang w:val="en-US" w:eastAsia="en-US"/>
    </w:rPr>
  </w:style>
  <w:style w:type="character" w:customStyle="1" w:styleId="EndnoteTextChar">
    <w:name w:val="Endnote Text Char"/>
    <w:basedOn w:val="DefaultParagraphFont"/>
    <w:link w:val="EndnoteText"/>
    <w:rsid w:val="007A7EC6"/>
    <w:rPr>
      <w:rFonts w:eastAsia="Times New Roman"/>
      <w:lang w:val="en-US" w:eastAsia="en-US"/>
    </w:rPr>
  </w:style>
  <w:style w:type="character" w:styleId="EndnoteReference">
    <w:name w:val="endnote reference"/>
    <w:rsid w:val="007A7EC6"/>
    <w:rPr>
      <w:vertAlign w:val="superscrip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F3C42"/>
    <w:rPr>
      <w:rFonts w:ascii="Arial" w:eastAsia="Times New Roman" w:hAnsi="Arial"/>
      <w:snapToGrid w:val="0"/>
      <w:sz w:val="22"/>
      <w:szCs w:val="24"/>
      <w:lang w:eastAsia="en-US"/>
    </w:rPr>
  </w:style>
  <w:style w:type="character" w:customStyle="1" w:styleId="MargeChar">
    <w:name w:val="Marge Char"/>
    <w:basedOn w:val="DefaultParagraphFont"/>
    <w:link w:val="Marge"/>
    <w:uiPriority w:val="99"/>
    <w:rsid w:val="003864FF"/>
    <w:rPr>
      <w:rFonts w:ascii="Arial" w:eastAsia="Times New Roman" w:hAnsi="Arial"/>
      <w:snapToGrid w:val="0"/>
      <w:sz w:val="22"/>
      <w:szCs w:val="24"/>
      <w:lang w:eastAsia="en-US"/>
    </w:rPr>
  </w:style>
  <w:style w:type="paragraph" w:customStyle="1" w:styleId="COI">
    <w:name w:val="COI"/>
    <w:basedOn w:val="Marge"/>
    <w:link w:val="COIChar"/>
    <w:rsid w:val="003864FF"/>
    <w:pPr>
      <w:tabs>
        <w:tab w:val="clear" w:pos="567"/>
        <w:tab w:val="left" w:pos="709"/>
      </w:tabs>
    </w:pPr>
    <w:rPr>
      <w:rFonts w:eastAsia="Arial Unicode MS"/>
      <w:szCs w:val="22"/>
      <w:lang w:val="en-GB"/>
    </w:rPr>
  </w:style>
  <w:style w:type="character" w:customStyle="1" w:styleId="COIChar">
    <w:name w:val="COI Char"/>
    <w:link w:val="COI"/>
    <w:rsid w:val="003864FF"/>
    <w:rPr>
      <w:rFonts w:ascii="Arial" w:eastAsia="Arial Unicode MS" w:hAnsi="Arial"/>
      <w:snapToGrid w:val="0"/>
      <w:sz w:val="22"/>
      <w:szCs w:val="22"/>
      <w:lang w:val="en-GB" w:eastAsia="en-US"/>
    </w:rPr>
  </w:style>
  <w:style w:type="paragraph" w:customStyle="1" w:styleId="paranumbered">
    <w:name w:val="paranumbered"/>
    <w:basedOn w:val="Normal"/>
    <w:next w:val="Normal"/>
    <w:qFormat/>
    <w:rsid w:val="003864FF"/>
    <w:pPr>
      <w:numPr>
        <w:numId w:val="34"/>
      </w:numPr>
      <w:tabs>
        <w:tab w:val="clear" w:pos="567"/>
      </w:tabs>
      <w:snapToGrid/>
      <w:spacing w:before="120" w:line="276" w:lineRule="auto"/>
      <w:jc w:val="both"/>
    </w:pPr>
    <w:rPr>
      <w:rFonts w:eastAsia="Arial" w:cs="Arial"/>
      <w:snapToGrid/>
      <w:szCs w:val="22"/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331B5"/>
    <w:rPr>
      <w:color w:val="605E5C"/>
      <w:shd w:val="clear" w:color="auto" w:fill="E1DFDD"/>
    </w:rPr>
  </w:style>
  <w:style w:type="paragraph" w:customStyle="1" w:styleId="EX4subtitles">
    <w:name w:val="EX4 sub titles"/>
    <w:basedOn w:val="Normal"/>
    <w:link w:val="EX4subtitlesChar"/>
    <w:qFormat/>
    <w:rsid w:val="00F7634F"/>
    <w:pPr>
      <w:tabs>
        <w:tab w:val="clear" w:pos="567"/>
      </w:tabs>
      <w:autoSpaceDE w:val="0"/>
      <w:autoSpaceDN w:val="0"/>
      <w:adjustRightInd w:val="0"/>
      <w:snapToGrid/>
      <w:spacing w:before="240" w:after="160" w:line="276" w:lineRule="auto"/>
    </w:pPr>
    <w:rPr>
      <w:rFonts w:asciiTheme="minorBidi" w:eastAsiaTheme="minorEastAsia" w:hAnsiTheme="minorBidi" w:cstheme="minorBidi"/>
      <w:b/>
      <w:bCs/>
      <w:snapToGrid/>
      <w:color w:val="000000"/>
      <w:szCs w:val="22"/>
      <w:lang w:val="en-US"/>
    </w:rPr>
  </w:style>
  <w:style w:type="character" w:customStyle="1" w:styleId="EX4subtitlesChar">
    <w:name w:val="EX4 sub titles Char"/>
    <w:basedOn w:val="DefaultParagraphFont"/>
    <w:link w:val="EX4subtitles"/>
    <w:rsid w:val="00F7634F"/>
    <w:rPr>
      <w:rFonts w:asciiTheme="minorBidi" w:eastAsiaTheme="minorEastAsia" w:hAnsiTheme="minorBidi" w:cstheme="minorBidi"/>
      <w:b/>
      <w:bCs/>
      <w:color w:val="000000"/>
      <w:sz w:val="22"/>
      <w:szCs w:val="22"/>
      <w:lang w:val="en-US"/>
    </w:rPr>
  </w:style>
  <w:style w:type="paragraph" w:customStyle="1" w:styleId="EX4texte">
    <w:name w:val="EX4 texte"/>
    <w:basedOn w:val="Normal"/>
    <w:link w:val="EX4texteChar"/>
    <w:autoRedefine/>
    <w:qFormat/>
    <w:rsid w:val="00F7634F"/>
    <w:pPr>
      <w:numPr>
        <w:numId w:val="36"/>
      </w:numPr>
      <w:tabs>
        <w:tab w:val="clear" w:pos="567"/>
        <w:tab w:val="left" w:pos="854"/>
      </w:tabs>
      <w:spacing w:after="240"/>
      <w:ind w:left="0" w:firstLine="0"/>
      <w:jc w:val="both"/>
    </w:pPr>
    <w:rPr>
      <w:rFonts w:asciiTheme="minorBidi" w:hAnsiTheme="minorBidi" w:cstheme="minorBidi"/>
      <w:shd w:val="clear" w:color="auto" w:fill="FFFFFF"/>
      <w:lang w:val="en-IN"/>
    </w:rPr>
  </w:style>
  <w:style w:type="character" w:customStyle="1" w:styleId="EX4texteChar">
    <w:name w:val="EX4 texte Char"/>
    <w:basedOn w:val="DefaultParagraphFont"/>
    <w:link w:val="EX4texte"/>
    <w:rsid w:val="00F7634F"/>
    <w:rPr>
      <w:rFonts w:asciiTheme="minorBidi" w:hAnsiTheme="minorBidi" w:cstheme="minorBidi"/>
      <w:snapToGrid w:val="0"/>
      <w:sz w:val="22"/>
      <w:szCs w:val="24"/>
      <w:lang w:val="en-IN"/>
    </w:rPr>
  </w:style>
  <w:style w:type="character" w:customStyle="1" w:styleId="ListParagraphChar">
    <w:name w:val="List Paragraph Char"/>
    <w:aliases w:val="ADB List Paragraph Char,Dot pt Char,List Paragraph Char Char Char Char,Indicator Text Char,List Paragraph1 Char,Numbered Para 1 Char,List Paragraph12 Char,Bullet Points Char,MAIN CONTENT Char,Bullet 1 Char,Light Grid - Accent 31 Char"/>
    <w:basedOn w:val="DefaultParagraphFont"/>
    <w:link w:val="ListParagraph"/>
    <w:uiPriority w:val="34"/>
    <w:qFormat/>
    <w:locked/>
    <w:rsid w:val="005045C4"/>
    <w:rPr>
      <w:rFonts w:ascii="Calibri" w:hAnsi="Calibri"/>
      <w:sz w:val="22"/>
      <w:szCs w:val="2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chart" Target="charts/chart3.xml"/><Relationship Id="rId26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chart" Target="charts/chart2.xml"/><Relationship Id="rId25" Type="http://schemas.openxmlformats.org/officeDocument/2006/relationships/image" Target="media/image13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8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2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28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image" Target="media/image7.emf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header" Target="header4.xml"/><Relationship Id="rId30" Type="http://schemas.openxmlformats.org/officeDocument/2006/relationships/footer" Target="footer2.xml"/><Relationship Id="rId8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'[fr-Source-Detailed workings IOC.xlsx]IPSAS'!$C$35</c:f>
              <c:strCache>
                <c:ptCount val="1"/>
                <c:pt idx="0">
                  <c:v>Personnel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'[fr-Source-Detailed workings IOC.xlsx]IPSAS'!$B$36:$B$38</c:f>
              <c:strCache>
                <c:ptCount val="3"/>
                <c:pt idx="0">
                  <c:v>Budget ordinaire</c:v>
                </c:pt>
                <c:pt idx="1">
                  <c:v>Contributions volontaires</c:v>
                </c:pt>
                <c:pt idx="2">
                  <c:v>Total</c:v>
                </c:pt>
              </c:strCache>
            </c:strRef>
          </c:cat>
          <c:val>
            <c:numRef>
              <c:f>'[fr-Source-Detailed workings IOC.xlsx]IPSAS'!$C$36:$C$38</c:f>
              <c:numCache>
                <c:formatCode>#,##0</c:formatCode>
                <c:ptCount val="3"/>
                <c:pt idx="0">
                  <c:v>4936149</c:v>
                </c:pt>
                <c:pt idx="1">
                  <c:v>3562289</c:v>
                </c:pt>
                <c:pt idx="2">
                  <c:v>8498438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B4-47C0-A441-2B5327890BE9}"/>
            </c:ext>
          </c:extLst>
        </c:ser>
        <c:ser>
          <c:idx val="1"/>
          <c:order val="1"/>
          <c:tx>
            <c:strRef>
              <c:f>'[fr-Source-Detailed workings IOC.xlsx]IPSAS'!$D$35</c:f>
              <c:strCache>
                <c:ptCount val="1"/>
                <c:pt idx="0">
                  <c:v>Hors personnel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'[fr-Source-Detailed workings IOC.xlsx]IPSAS'!$B$36:$B$38</c:f>
              <c:strCache>
                <c:ptCount val="3"/>
                <c:pt idx="0">
                  <c:v>Budget ordinaire</c:v>
                </c:pt>
                <c:pt idx="1">
                  <c:v>Contributions volontaires</c:v>
                </c:pt>
                <c:pt idx="2">
                  <c:v>Total</c:v>
                </c:pt>
              </c:strCache>
            </c:strRef>
          </c:cat>
          <c:val>
            <c:numRef>
              <c:f>'[fr-Source-Detailed workings IOC.xlsx]IPSAS'!$D$36:$D$38</c:f>
              <c:numCache>
                <c:formatCode>#,##0</c:formatCode>
                <c:ptCount val="3"/>
                <c:pt idx="0">
                  <c:v>3833908</c:v>
                </c:pt>
                <c:pt idx="1">
                  <c:v>7876850</c:v>
                </c:pt>
                <c:pt idx="2">
                  <c:v>11710758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9B4-47C0-A441-2B5327890BE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25788160"/>
        <c:axId val="358861056"/>
      </c:barChart>
      <c:catAx>
        <c:axId val="325788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8861056"/>
        <c:crosses val="autoZero"/>
        <c:auto val="1"/>
        <c:lblAlgn val="ctr"/>
        <c:lblOffset val="100"/>
        <c:noMultiLvlLbl val="0"/>
      </c:catAx>
      <c:valAx>
        <c:axId val="358861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5788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'GAP IOC1 by function'!$D$15</c:f>
              <c:strCache>
                <c:ptCount val="1"/>
                <c:pt idx="0">
                  <c:v>Objectif total, contributions volontaires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'GAP IOC1 by function'!$C$16:$C$23</c:f>
              <c:strCache>
                <c:ptCount val="8"/>
                <c:pt idx="1">
                  <c:v>A</c:v>
                </c:pt>
                <c:pt idx="2">
                  <c:v>B</c:v>
                </c:pt>
                <c:pt idx="3">
                  <c:v>C</c:v>
                </c:pt>
                <c:pt idx="4">
                  <c:v>D</c:v>
                </c:pt>
                <c:pt idx="5">
                  <c:v>E</c:v>
                </c:pt>
                <c:pt idx="6">
                  <c:v>F</c:v>
                </c:pt>
                <c:pt idx="7">
                  <c:v>Total</c:v>
                </c:pt>
              </c:strCache>
            </c:strRef>
          </c:cat>
          <c:val>
            <c:numRef>
              <c:f>'GAP IOC1 by function'!$D$16:$D$23</c:f>
              <c:numCache>
                <c:formatCode>#,##0</c:formatCode>
                <c:ptCount val="8"/>
                <c:pt idx="1">
                  <c:v>1053247</c:v>
                </c:pt>
                <c:pt idx="2">
                  <c:v>6582791</c:v>
                </c:pt>
                <c:pt idx="3">
                  <c:v>4212986</c:v>
                </c:pt>
                <c:pt idx="4">
                  <c:v>1316558</c:v>
                </c:pt>
                <c:pt idx="5">
                  <c:v>8162661</c:v>
                </c:pt>
                <c:pt idx="6">
                  <c:v>5727921</c:v>
                </c:pt>
                <c:pt idx="7">
                  <c:v>27056164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86-4E93-B36F-CC357BCA8D19}"/>
            </c:ext>
          </c:extLst>
        </c:ser>
        <c:ser>
          <c:idx val="1"/>
          <c:order val="1"/>
          <c:tx>
            <c:strRef>
              <c:f>'GAP IOC1 by function'!$E$15</c:f>
              <c:strCache>
                <c:ptCount val="1"/>
                <c:pt idx="0">
                  <c:v>Contributions volontaires reçues au 31/12/2024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'GAP IOC1 by function'!$C$16:$C$23</c:f>
              <c:strCache>
                <c:ptCount val="8"/>
                <c:pt idx="1">
                  <c:v>A</c:v>
                </c:pt>
                <c:pt idx="2">
                  <c:v>B</c:v>
                </c:pt>
                <c:pt idx="3">
                  <c:v>C</c:v>
                </c:pt>
                <c:pt idx="4">
                  <c:v>D</c:v>
                </c:pt>
                <c:pt idx="5">
                  <c:v>E</c:v>
                </c:pt>
                <c:pt idx="6">
                  <c:v>F</c:v>
                </c:pt>
                <c:pt idx="7">
                  <c:v>Total</c:v>
                </c:pt>
              </c:strCache>
            </c:strRef>
          </c:cat>
          <c:val>
            <c:numRef>
              <c:f>'GAP IOC1 by function'!$E$16:$E$23</c:f>
              <c:numCache>
                <c:formatCode>#,##0</c:formatCode>
                <c:ptCount val="8"/>
                <c:pt idx="1">
                  <c:v>1358736</c:v>
                </c:pt>
                <c:pt idx="2">
                  <c:v>3494840</c:v>
                </c:pt>
                <c:pt idx="3">
                  <c:v>2606692</c:v>
                </c:pt>
                <c:pt idx="4">
                  <c:v>1412191</c:v>
                </c:pt>
                <c:pt idx="5">
                  <c:v>15140365</c:v>
                </c:pt>
                <c:pt idx="6">
                  <c:v>6272235</c:v>
                </c:pt>
                <c:pt idx="7">
                  <c:v>30285059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86-4E93-B36F-CC357BCA8D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6812672"/>
        <c:axId val="358862784"/>
      </c:barChart>
      <c:catAx>
        <c:axId val="32681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8862784"/>
        <c:crosses val="autoZero"/>
        <c:auto val="1"/>
        <c:lblAlgn val="ctr"/>
        <c:lblOffset val="100"/>
        <c:noMultiLvlLbl val="0"/>
      </c:catAx>
      <c:valAx>
        <c:axId val="358862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681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150"/>
              <a:t>Principaux contributeurs </a:t>
            </a:r>
            <a:r>
              <a:rPr lang="en-US" sz="1150" baseline="0"/>
              <a:t>(&gt; 50 000 dollars É.-U.) en fonction des accords signés</a:t>
            </a:r>
            <a:endParaRPr lang="en-US" sz="115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'[fr-Source-Detailed workings IOC.xlsx]FM 2024 from BSP'!$C$6</c:f>
              <c:strCache>
                <c:ptCount val="1"/>
                <c:pt idx="0">
                  <c:v>Montant (dollars É.-U.)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'[fr-Source-Detailed workings IOC.xlsx]FM 2024 from BSP'!$B$7:$B$26</c:f>
              <c:strCache>
                <c:ptCount val="20"/>
                <c:pt idx="0">
                  <c:v>Suède</c:v>
                </c:pt>
                <c:pt idx="1">
                  <c:v>Norvège</c:v>
                </c:pt>
                <c:pt idx="2">
                  <c:v>France</c:v>
                </c:pt>
                <c:pt idx="3">
                  <c:v>Australie</c:v>
                </c:pt>
                <c:pt idx="4">
                  <c:v>Fondation d’entreprise ENGIE</c:v>
                </c:pt>
                <c:pt idx="5">
                  <c:v>REV Ocean Inc.</c:v>
                </c:pt>
                <c:pt idx="6">
                  <c:v>Fondation Gordon et Betty Moore</c:v>
                </c:pt>
                <c:pt idx="7">
                  <c:v>Fondation Velux</c:v>
                </c:pt>
                <c:pt idx="8">
                  <c:v>Nippon Foundation</c:v>
                </c:pt>
                <c:pt idx="9">
                  <c:v>Chine</c:v>
                </c:pt>
                <c:pt idx="10">
                  <c:v>Danemark</c:v>
                </c:pt>
                <c:pt idx="11">
                  <c:v>République de Corée</c:v>
                </c:pt>
                <c:pt idx="12">
                  <c:v>Canada</c:v>
                </c:pt>
                <c:pt idx="13">
                  <c:v>Union européenne</c:v>
                </c:pt>
                <c:pt idx="14">
                  <c:v>Officine Panerai</c:v>
                </c:pt>
                <c:pt idx="15">
                  <c:v>Royaume-Uni</c:v>
                </c:pt>
                <c:pt idx="16">
                  <c:v>Société des Explorations de Monaco</c:v>
                </c:pt>
                <c:pt idx="17">
                  <c:v>E.ON Energia SpA</c:v>
                </c:pt>
                <c:pt idx="18">
                  <c:v>Sargasso Sea Project Inc.</c:v>
                </c:pt>
                <c:pt idx="19">
                  <c:v>Colombie</c:v>
                </c:pt>
              </c:strCache>
            </c:strRef>
          </c:cat>
          <c:val>
            <c:numRef>
              <c:f>'[fr-Source-Detailed workings IOC.xlsx]FM 2024 from BSP'!$C$7:$C$26</c:f>
              <c:numCache>
                <c:formatCode>#,##0</c:formatCode>
                <c:ptCount val="20"/>
                <c:pt idx="0">
                  <c:v>1097695</c:v>
                </c:pt>
                <c:pt idx="1">
                  <c:v>1083262</c:v>
                </c:pt>
                <c:pt idx="2">
                  <c:v>661194</c:v>
                </c:pt>
                <c:pt idx="3">
                  <c:v>557968</c:v>
                </c:pt>
                <c:pt idx="4">
                  <c:v>550661</c:v>
                </c:pt>
                <c:pt idx="5">
                  <c:v>500000</c:v>
                </c:pt>
                <c:pt idx="6">
                  <c:v>400000</c:v>
                </c:pt>
                <c:pt idx="7">
                  <c:v>345087</c:v>
                </c:pt>
                <c:pt idx="8">
                  <c:v>294300</c:v>
                </c:pt>
                <c:pt idx="9">
                  <c:v>238522</c:v>
                </c:pt>
                <c:pt idx="10">
                  <c:v>162627</c:v>
                </c:pt>
                <c:pt idx="11">
                  <c:v>149241</c:v>
                </c:pt>
                <c:pt idx="12">
                  <c:v>134298</c:v>
                </c:pt>
                <c:pt idx="13">
                  <c:v>129201</c:v>
                </c:pt>
                <c:pt idx="14">
                  <c:v>96519</c:v>
                </c:pt>
                <c:pt idx="15">
                  <c:v>76250</c:v>
                </c:pt>
                <c:pt idx="16">
                  <c:v>75922</c:v>
                </c:pt>
                <c:pt idx="17">
                  <c:v>75594</c:v>
                </c:pt>
                <c:pt idx="18">
                  <c:v>54693</c:v>
                </c:pt>
                <c:pt idx="19">
                  <c:v>53247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CF-4971-BDD6-7D1444EE02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25788672"/>
        <c:axId val="358865088"/>
      </c:barChart>
      <c:catAx>
        <c:axId val="325788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58865088"/>
        <c:crosses val="autoZero"/>
        <c:auto val="1"/>
        <c:lblAlgn val="ctr"/>
        <c:lblOffset val="100"/>
        <c:noMultiLvlLbl val="0"/>
      </c:catAx>
      <c:valAx>
        <c:axId val="3588650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57886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b="1"/>
              <a:t>Dépenses au</a:t>
            </a:r>
            <a:r>
              <a:rPr lang="en-US" sz="1000" b="1" baseline="0"/>
              <a:t> 31 décembre 2024, en milliers de dollars des États-Unis</a:t>
            </a:r>
            <a:endParaRPr lang="en-US" sz="1000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5">
                  <a:lumMod val="20000"/>
                  <a:lumOff val="8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6EA-4D34-B233-FB18DBF6C8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fr-FR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'[fr-Source-Detailed workings IOC.xlsx] EX4 USSA 2023'!$D$13:$D$14</c:f>
              <c:strCache>
                <c:ptCount val="2"/>
                <c:pt idx="0">
                  <c:v>Budget</c:v>
                </c:pt>
                <c:pt idx="1">
                  <c:v>Dépenses</c:v>
                </c:pt>
              </c:strCache>
            </c:strRef>
          </c:cat>
          <c:val>
            <c:numRef>
              <c:f>'[fr-Source-Detailed workings IOC.xlsx] EX4 USSA 2023'!$E$13:$E$14</c:f>
              <c:numCache>
                <c:formatCode>General</c:formatCode>
                <c:ptCount val="2"/>
                <c:pt idx="0" formatCode="#,##0">
                  <c:v>1530</c:v>
                </c:pt>
                <c:pt idx="1">
                  <c:v>246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EA-4D34-B233-FB18DBF6C8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329746944"/>
        <c:axId val="360463104"/>
      </c:barChart>
      <c:catAx>
        <c:axId val="329746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60463104"/>
        <c:crosses val="autoZero"/>
        <c:auto val="1"/>
        <c:lblAlgn val="ctr"/>
        <c:lblOffset val="100"/>
        <c:noMultiLvlLbl val="0"/>
      </c:catAx>
      <c:valAx>
        <c:axId val="360463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32974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6B20C-12F1-4343-B109-22E8025CE8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8e024d6-51f2-471b-ac2c-b1117d65062e}" enabled="1" method="Standard" siteId="{1d4fae52-39b3-4bfa-b0b3-022956b11194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1410</Words>
  <Characters>7250</Characters>
  <Application>Microsoft Office Word</Application>
  <DocSecurity>4</DocSecurity>
  <Lines>60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8</vt:i4>
      </vt:variant>
    </vt:vector>
  </HeadingPairs>
  <TitlesOfParts>
    <vt:vector size="9" baseType="lpstr">
      <vt:lpstr>Rapport de la COI sur ses activités (2024-2025) à la Conférence générale de l’UNESCO à sa 43e session</vt:lpstr>
      <vt:lpstr/>
      <vt:lpstr>COMMISSION OCÉANOGRAPHIQUE INTERGOUVERNEMENTALE</vt:lpstr>
      <vt:lpstr>Points 3.2 et 5.4 de l’ordre du jour provisoire</vt:lpstr>
      <vt:lpstr>II.	CONTRIBUTIONS VOLONTAIRES</vt:lpstr>
      <vt:lpstr>COMPTE SPÉCIAL DE LA COI</vt:lpstr>
      <vt:lpstr>ANNEXE I</vt:lpstr>
      <vt:lpstr>ANNEXE II</vt:lpstr>
      <vt:lpstr>Informations sur l’exécution du budget du Compte spécial  pour l’utilisation de </vt:lpstr>
    </vt:vector>
  </TitlesOfParts>
  <Company>Unesco</Company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sur l'exécution du budget 2024-2025 (42 C/5) au 31 décembre 2024</dc:title>
  <dc:subject>IOC/A-33/3.2.Doc(2)</dc:subject>
  <dc:creator>as.machu@unesco.org</dc:creator>
  <cp:keywords>18.12F</cp:keywords>
  <dc:description/>
  <cp:lastModifiedBy>Boned, Patrice</cp:lastModifiedBy>
  <cp:revision>2</cp:revision>
  <cp:lastPrinted>2012-08-02T14:52:00Z</cp:lastPrinted>
  <dcterms:created xsi:type="dcterms:W3CDTF">2025-05-08T11:04:00Z</dcterms:created>
  <dcterms:modified xsi:type="dcterms:W3CDTF">2025-05-08T11:04:00Z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F</vt:lpwstr>
  </property>
  <property fmtid="{D5CDD505-2E9C-101B-9397-08002B2CF9AE}" pid="3" name="JobDCPMS">
    <vt:lpwstr>202301870</vt:lpwstr>
  </property>
  <property fmtid="{D5CDD505-2E9C-101B-9397-08002B2CF9AE}" pid="4" name="JobNumber">
    <vt:lpwstr>2500417F</vt:lpwstr>
  </property>
  <property fmtid="{D5CDD505-2E9C-101B-9397-08002B2CF9AE}" pid="5" name="ForceJobNumber">
    <vt:bool>false</vt:bool>
  </property>
</Properties>
</file>