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E33134" w14:paraId="6253EDAD" w14:textId="77777777">
        <w:trPr>
          <w:jc w:val="center"/>
        </w:trPr>
        <w:tc>
          <w:tcPr>
            <w:tcW w:w="7654" w:type="dxa"/>
            <w:tcMar>
              <w:top w:w="170" w:type="dxa"/>
              <w:left w:w="170" w:type="dxa"/>
              <w:bottom w:w="170" w:type="dxa"/>
              <w:right w:w="170" w:type="dxa"/>
            </w:tcMar>
          </w:tcPr>
          <w:p w14:paraId="586B9867" w14:textId="77777777" w:rsidR="00E33134" w:rsidRDefault="000F73A3">
            <w:pPr>
              <w:pBdr>
                <w:top w:val="nil"/>
                <w:left w:val="nil"/>
                <w:bottom w:val="nil"/>
                <w:right w:val="nil"/>
                <w:between w:val="nil"/>
              </w:pBdr>
              <w:spacing w:after="240"/>
              <w:jc w:val="center"/>
              <w:rPr>
                <w:color w:val="000000"/>
              </w:rPr>
            </w:pPr>
            <w:r>
              <w:rPr>
                <w:color w:val="000000"/>
                <w:u w:val="single"/>
                <w:lang w:val="ru"/>
              </w:rPr>
              <w:t>Резюме</w:t>
            </w:r>
          </w:p>
          <w:p w14:paraId="1FD12572" w14:textId="600FDC47" w:rsidR="00E33134" w:rsidRDefault="00B84BC3">
            <w:pPr>
              <w:spacing w:after="120"/>
              <w:jc w:val="both"/>
              <w:rPr>
                <w:i/>
              </w:rPr>
            </w:pPr>
            <w:r>
              <w:rPr>
                <w:lang w:val="ru"/>
              </w:rPr>
              <w:t xml:space="preserve">В соответствии с </w:t>
            </w:r>
            <w:hyperlink r:id="rId7" w:history="1">
              <w:r>
                <w:rPr>
                  <w:rStyle w:val="Hyperlink"/>
                  <w:lang w:val="ru"/>
                </w:rPr>
                <w:t>Резолюцией МОК EC-57/2</w:t>
              </w:r>
            </w:hyperlink>
            <w:r>
              <w:rPr>
                <w:lang w:val="ru"/>
              </w:rPr>
              <w:t>«Аспекты деятельности Комиссии, касающиеся управления и подготовки программы и бюджета» (2024 г.) в настоящем документе представлены результаты Этапа 1 процесса консультаций по теме «МОК и будущее океана». В нем изложены обобщенные мнения и точки зрения широкого ряда участников процесса консультаций и предложен подход к Этапу 2 процесса консультаций. Результаты Этапа 1 процесса консультаций будут в дальнейшем доработаны на следующих двух этапах процесса консультаций по теме «МОК и будущее океана», который завершится окончательным анализом предложенной будущей роли МОК и приоритетов для дискуссий на 34-й сессии Ассамблеи МОК в 2027 году.</w:t>
            </w:r>
          </w:p>
          <w:p w14:paraId="35964EA5" w14:textId="4E8E1278" w:rsidR="00E33134" w:rsidRDefault="000F73A3">
            <w:pPr>
              <w:pBdr>
                <w:top w:val="nil"/>
                <w:left w:val="nil"/>
                <w:bottom w:val="nil"/>
                <w:right w:val="nil"/>
                <w:between w:val="nil"/>
              </w:pBdr>
              <w:spacing w:after="120"/>
              <w:jc w:val="both"/>
              <w:rPr>
                <w:i/>
                <w:color w:val="000000"/>
              </w:rPr>
            </w:pPr>
            <w:r>
              <w:rPr>
                <w:color w:val="000000"/>
                <w:u w:val="single"/>
                <w:lang w:val="ru"/>
              </w:rPr>
              <w:t>Предлагаемое решение</w:t>
            </w:r>
            <w:r>
              <w:rPr>
                <w:color w:val="000000"/>
                <w:lang w:val="ru"/>
              </w:rPr>
              <w:t xml:space="preserve"> представлено в Документе о принятых и предлагаемых мерах (документ </w:t>
            </w:r>
            <w:hyperlink r:id="rId8" w:history="1">
              <w:r>
                <w:rPr>
                  <w:rStyle w:val="Hyperlink"/>
                  <w:lang w:val="ru"/>
                </w:rPr>
                <w:t>IOC/A-33/2 Prov.</w:t>
              </w:r>
            </w:hyperlink>
            <w:r>
              <w:rPr>
                <w:color w:val="000000"/>
                <w:lang w:val="ru"/>
              </w:rPr>
              <w:t xml:space="preserve">) под номером A-33/Dec.5.3. Настоящий документ вместе с документом </w:t>
            </w:r>
            <w:hyperlink r:id="rId9" w:history="1">
              <w:r>
                <w:rPr>
                  <w:rStyle w:val="Hyperlink"/>
                  <w:lang w:val="ru"/>
                </w:rPr>
                <w:t>IOC/A-33/5.3.Doc(2)</w:t>
              </w:r>
            </w:hyperlink>
            <w:r>
              <w:rPr>
                <w:color w:val="000000"/>
                <w:lang w:val="ru"/>
              </w:rPr>
              <w:t xml:space="preserve"> «Об</w:t>
            </w:r>
            <w:r>
              <w:rPr>
                <w:lang w:val="ru"/>
              </w:rPr>
              <w:t>новленная информация о реализации Плана действий в связи с проведенной IOS оценкой стратегического позиционирования МОК», представленным по этому пункту, подлежат дальнейшему рассмотрению в ходе сессии Комитетом по финансовым вопросам с целью разработки более широкого проекта резолюции для обсуждения на пленарном заседании в рамках пункта 5.4 повестки дня.</w:t>
            </w:r>
          </w:p>
        </w:tc>
      </w:tr>
    </w:tbl>
    <w:p w14:paraId="23C51C94" w14:textId="77777777" w:rsidR="00125497" w:rsidRDefault="00125497">
      <w:pPr>
        <w:pStyle w:val="Heading3"/>
      </w:pPr>
    </w:p>
    <w:p w14:paraId="28DA9C92" w14:textId="77777777" w:rsidR="00125497" w:rsidRDefault="00125497">
      <w:pPr>
        <w:rPr>
          <w:b/>
        </w:rPr>
      </w:pPr>
      <w:r>
        <w:rPr>
          <w:lang w:val="ru"/>
        </w:rPr>
        <w:br w:type="page"/>
      </w:r>
    </w:p>
    <w:p w14:paraId="0BCD570E" w14:textId="208CF4E5" w:rsidR="00E33134" w:rsidRDefault="000F73A3" w:rsidP="002703FF">
      <w:pPr>
        <w:pStyle w:val="Heading3"/>
        <w:numPr>
          <w:ilvl w:val="0"/>
          <w:numId w:val="3"/>
        </w:numPr>
        <w:tabs>
          <w:tab w:val="clear" w:pos="567"/>
        </w:tabs>
        <w:ind w:left="709" w:hanging="709"/>
      </w:pPr>
      <w:r>
        <w:rPr>
          <w:bCs/>
          <w:lang w:val="ru"/>
        </w:rPr>
        <w:lastRenderedPageBreak/>
        <w:t>Введение</w:t>
      </w:r>
    </w:p>
    <w:p w14:paraId="0D386BC3" w14:textId="4BA09A07" w:rsidR="002A41A7" w:rsidRDefault="002A41A7" w:rsidP="002A41A7">
      <w:pPr>
        <w:numPr>
          <w:ilvl w:val="0"/>
          <w:numId w:val="1"/>
        </w:numPr>
        <w:shd w:val="clear" w:color="auto" w:fill="FFFFFF"/>
        <w:tabs>
          <w:tab w:val="clear" w:pos="567"/>
          <w:tab w:val="left" w:pos="709"/>
        </w:tabs>
        <w:spacing w:after="240"/>
        <w:jc w:val="both"/>
      </w:pPr>
      <w:r>
        <w:rPr>
          <w:lang w:val="ru"/>
        </w:rPr>
        <w:t xml:space="preserve">Ассамблея МОК на своей 32-й сессии в июне 2023 года обсудила вопрос долгосрочной устойчивости и будущих приоритетов МОК с учетом быстрых изменений состояния океана, развития научных знаний об океане и эволюции глобальных структур управления океаном. В решении МОК A-32/5 Ассамблея призвала начать консультации по вопросу о том, как МОК, исходя из своей цели, определенной в ее Уставе, могла бы оптимально содействовать деятельности государств-членов и других заинтересованных сторон в трех ключевых областях: (i) в области научно обоснованного устойчивого океанического планирования, (ii) в области поддержки осуществления экологических конвенций и рамочных программ ООН с помощью науки об океане, (iii) в области развития устойчивой экономики океана. </w:t>
      </w:r>
    </w:p>
    <w:p w14:paraId="676FDA4B" w14:textId="3E1C2B0A" w:rsidR="00E33134" w:rsidRDefault="002A41A7" w:rsidP="002A41A7">
      <w:pPr>
        <w:numPr>
          <w:ilvl w:val="0"/>
          <w:numId w:val="1"/>
        </w:numPr>
        <w:shd w:val="clear" w:color="auto" w:fill="FFFFFF"/>
        <w:tabs>
          <w:tab w:val="clear" w:pos="567"/>
          <w:tab w:val="left" w:pos="709"/>
        </w:tabs>
        <w:spacing w:after="120"/>
        <w:jc w:val="both"/>
      </w:pPr>
      <w:r>
        <w:rPr>
          <w:lang w:val="ru"/>
        </w:rPr>
        <w:t xml:space="preserve">В июне 2024 года 57-я сессия Исполнительного совета МОК в резолюции МОК </w:t>
      </w:r>
      <w:hyperlink r:id="rId10" w:history="1">
        <w:r>
          <w:rPr>
            <w:rStyle w:val="Hyperlink"/>
            <w:lang w:val="ru"/>
          </w:rPr>
          <w:t>EC-57/2</w:t>
        </w:r>
      </w:hyperlink>
      <w:r>
        <w:rPr>
          <w:lang w:val="ru"/>
        </w:rPr>
        <w:t>«Аспекты деятельности Комиссии, касающиеся управления и подготовки программы и бюджета» попросила Секретариат запустить трехэтапный трехгодичный процесс консультаций по теме «МОК и будущее океана», структурированный следующим образом:</w:t>
      </w:r>
    </w:p>
    <w:p w14:paraId="3498E27A" w14:textId="77777777" w:rsidR="002A41A7" w:rsidRDefault="002A41A7" w:rsidP="002A41A7">
      <w:pPr>
        <w:shd w:val="clear" w:color="auto" w:fill="FFFFFF"/>
        <w:tabs>
          <w:tab w:val="clear" w:pos="567"/>
        </w:tabs>
        <w:spacing w:after="120"/>
        <w:ind w:left="1414" w:hanging="700"/>
        <w:jc w:val="both"/>
      </w:pPr>
      <w:r>
        <w:rPr>
          <w:lang w:val="ru"/>
        </w:rPr>
        <w:t>(i)</w:t>
      </w:r>
      <w:r>
        <w:rPr>
          <w:lang w:val="ru"/>
        </w:rPr>
        <w:tab/>
        <w:t xml:space="preserve">Этап 1: июнь 2024 г. – июнь 2025 г.: «оценка спроса» для определения критических потребностей государств-членов и партнеров в знаниях, принятии решений и поддержке в трех вышеуказанных ключевых областях; </w:t>
      </w:r>
    </w:p>
    <w:p w14:paraId="683523E1" w14:textId="77777777" w:rsidR="002A41A7" w:rsidRDefault="002A41A7" w:rsidP="002A41A7">
      <w:pPr>
        <w:shd w:val="clear" w:color="auto" w:fill="FFFFFF"/>
        <w:tabs>
          <w:tab w:val="clear" w:pos="567"/>
        </w:tabs>
        <w:spacing w:after="120"/>
        <w:ind w:left="1414" w:hanging="700"/>
        <w:jc w:val="both"/>
      </w:pPr>
      <w:r>
        <w:rPr>
          <w:lang w:val="ru"/>
        </w:rPr>
        <w:t>(ii)</w:t>
      </w:r>
      <w:r>
        <w:rPr>
          <w:lang w:val="ru"/>
        </w:rPr>
        <w:tab/>
        <w:t xml:space="preserve">Этап 2: июнь 2025 г. – июнь 2026 г.: «оценка предложения» посредством диалога об эффективности предложения для удовлетворения выявленных потребностей посредством многосторонних структур и процессов, связанных с океаном, и других партнеров; </w:t>
      </w:r>
    </w:p>
    <w:p w14:paraId="5B361552" w14:textId="59AE6C77" w:rsidR="002A41A7" w:rsidRDefault="002A41A7" w:rsidP="002703FF">
      <w:pPr>
        <w:shd w:val="clear" w:color="auto" w:fill="FFFFFF"/>
        <w:tabs>
          <w:tab w:val="clear" w:pos="567"/>
        </w:tabs>
        <w:spacing w:after="240"/>
        <w:ind w:left="1411" w:hanging="697"/>
        <w:jc w:val="both"/>
      </w:pPr>
      <w:r>
        <w:rPr>
          <w:lang w:val="ru"/>
        </w:rPr>
        <w:t>(iii)</w:t>
      </w:r>
      <w:r>
        <w:rPr>
          <w:lang w:val="ru"/>
        </w:rPr>
        <w:tab/>
        <w:t>Этап 3: июнь 2026 г. – июнь 2027 г.: «комплексная оценка» процесса «МОК и будущее океана» для определения будущих стратегических приоритетов и действий для МОК.</w:t>
      </w:r>
    </w:p>
    <w:p w14:paraId="2091146A" w14:textId="77777777" w:rsidR="002703FF" w:rsidRPr="002703FF" w:rsidRDefault="002703FF" w:rsidP="002703FF">
      <w:pPr>
        <w:numPr>
          <w:ilvl w:val="0"/>
          <w:numId w:val="1"/>
        </w:numPr>
        <w:shd w:val="clear" w:color="auto" w:fill="FFFFFF"/>
        <w:tabs>
          <w:tab w:val="clear" w:pos="567"/>
          <w:tab w:val="left" w:pos="709"/>
        </w:tabs>
        <w:spacing w:after="240"/>
        <w:jc w:val="both"/>
      </w:pPr>
      <w:r>
        <w:rPr>
          <w:lang w:val="ru"/>
        </w:rPr>
        <w:t xml:space="preserve">В решении Исполнительного совета указывается, что консультации будут проводиться в сотрудничестве с программами, региональными вспомогательными органами, государствами-членами МОК (в том числе Межсессионной финансовой консультативной группой (МФКГ) и Рабочей группой МОК по устойчивому океаническому планированию и управлению), а также с другими заинтересованными сторонами при необходимости. Исполнительному секретарю было поручено начать процесс консультаций с представлением регулярных докладов МФКГ и предъявлением результатов первого этапа на 33-й сессии Ассамблеи МОК. Результаты консультаций будут учтены при разработке следующей Среднесрочной стратегии МОК (2030–2037 гг.) и в текущих двухгодичных процессах разработки программы и бюджета. </w:t>
      </w:r>
    </w:p>
    <w:p w14:paraId="19BFBE39" w14:textId="4E42547E" w:rsidR="002A41A7" w:rsidRPr="002703FF" w:rsidRDefault="002703FF" w:rsidP="002703FF">
      <w:pPr>
        <w:numPr>
          <w:ilvl w:val="0"/>
          <w:numId w:val="1"/>
        </w:numPr>
        <w:shd w:val="clear" w:color="auto" w:fill="FFFFFF"/>
        <w:tabs>
          <w:tab w:val="clear" w:pos="567"/>
          <w:tab w:val="left" w:pos="709"/>
        </w:tabs>
        <w:spacing w:after="240"/>
        <w:jc w:val="both"/>
      </w:pPr>
      <w:r>
        <w:rPr>
          <w:lang w:val="ru"/>
        </w:rPr>
        <w:t>В рабочем документе содержится краткая информация о результатах Этапа 1 процесса консультаций. В нем изложены обобщенные мнения и точки зрения широкого ряда участников процесса консультаций, при этом он не представляет собой заявление об окончательном наборе будущих приоритетов для МОК. Результаты Этапа 1 процесса консультаций будут в дальнейшем доработаны на следующих двух этапах процесса консультаций по теме «МОК и будущее океана», который завершится окончательным анализом предложенной будущей роли МОК и приоритетов для дискуссий на 34-й сессии Ассамблеи МОК в 2027 году.</w:t>
      </w:r>
    </w:p>
    <w:p w14:paraId="491664CF" w14:textId="0D0FA5C2" w:rsidR="00E33134" w:rsidRDefault="002703FF" w:rsidP="002703FF">
      <w:pPr>
        <w:tabs>
          <w:tab w:val="left" w:pos="709"/>
        </w:tabs>
        <w:spacing w:after="240"/>
        <w:jc w:val="both"/>
        <w:rPr>
          <w:b/>
        </w:rPr>
      </w:pPr>
      <w:r>
        <w:rPr>
          <w:b/>
          <w:bCs/>
          <w:lang w:val="ru"/>
        </w:rPr>
        <w:t>II.</w:t>
      </w:r>
      <w:r>
        <w:rPr>
          <w:b/>
          <w:bCs/>
          <w:lang w:val="ru"/>
        </w:rPr>
        <w:tab/>
        <w:t>Методология Этапа 1 процесса консультаций</w:t>
      </w:r>
    </w:p>
    <w:p w14:paraId="5B98123A" w14:textId="4C96EF11" w:rsidR="002703FF" w:rsidRPr="002703FF" w:rsidRDefault="002703FF" w:rsidP="002703FF">
      <w:pPr>
        <w:numPr>
          <w:ilvl w:val="0"/>
          <w:numId w:val="1"/>
        </w:numPr>
        <w:shd w:val="clear" w:color="auto" w:fill="FFFFFF"/>
        <w:tabs>
          <w:tab w:val="clear" w:pos="567"/>
          <w:tab w:val="left" w:pos="709"/>
        </w:tabs>
        <w:spacing w:after="240"/>
        <w:jc w:val="both"/>
      </w:pPr>
      <w:r>
        <w:rPr>
          <w:lang w:val="ru"/>
        </w:rPr>
        <w:t xml:space="preserve">Цель Этапа 1 процесса консультаций заключается в определении в недостаточной степени удовлетворенных потребностей заинтересованных сторон МОК в отношении: (i) устойчивого океанического планирования, (ii) поддержки осуществления экологических конвенций и рамочных программ ООН с помощью науки об океане, (iii) развития устойчивой экономики океана, и в последующем определении приоритетов этих потребностей посредством консультаций, посвященных тому, насколько проблематичными являются в </w:t>
      </w:r>
      <w:r>
        <w:rPr>
          <w:lang w:val="ru"/>
        </w:rPr>
        <w:lastRenderedPageBreak/>
        <w:t xml:space="preserve">недостаточной степени удовлетворенные потребности для деятельности государств-членов и партнеров. </w:t>
      </w:r>
    </w:p>
    <w:p w14:paraId="42995B88" w14:textId="26D6C38F" w:rsidR="002703FF" w:rsidRPr="002703FF" w:rsidRDefault="002703FF" w:rsidP="002703FF">
      <w:pPr>
        <w:numPr>
          <w:ilvl w:val="0"/>
          <w:numId w:val="1"/>
        </w:numPr>
        <w:shd w:val="clear" w:color="auto" w:fill="FFFFFF"/>
        <w:tabs>
          <w:tab w:val="clear" w:pos="567"/>
          <w:tab w:val="left" w:pos="709"/>
        </w:tabs>
        <w:spacing w:after="240"/>
        <w:jc w:val="both"/>
      </w:pPr>
      <w:r>
        <w:rPr>
          <w:lang w:val="ru"/>
        </w:rPr>
        <w:t>Для консультаций использовался ряд методов сбора данных, включая: (i) 15 углубленных интервью с государствами-членами, многосторонними и межправительственными организациями, включая региональные экономические комиссии ООН и т. д., и другими участниками из частного сектора; (ii) четыре обсуждения в фокус-группах, три их которых были организованы во время совещания Региональных вспомогательных органов МОК ВЕСТПАК, МОКАРИБ И МОКАФРИКА (с марта по май 2025 г.) и одно во время очного заседания Рабочей группы по устойчивому океаническому планированию и управлению (март 2025 г.); (iii) обсуждения на пленарном заседании в рамках сессии Подкомиссии МОК для центральной части Индийского океана (ИОСИНДИО) (май 2025г.); (iv) глобальный опрос, направленный государствам-членам посредством Циркулярного письма </w:t>
      </w:r>
      <w:hyperlink r:id="rId11" w:history="1">
        <w:r>
          <w:rPr>
            <w:rStyle w:val="Hyperlink"/>
            <w:lang w:val="ru"/>
          </w:rPr>
          <w:t>3031</w:t>
        </w:r>
      </w:hyperlink>
      <w:r>
        <w:rPr>
          <w:lang w:val="ru"/>
        </w:rPr>
        <w:t xml:space="preserve"> (59 индивидуальных ответов от 35 государств-членов). </w:t>
      </w:r>
    </w:p>
    <w:p w14:paraId="2A3C6874" w14:textId="77308A8E" w:rsidR="002703FF" w:rsidRDefault="002703FF" w:rsidP="002703FF">
      <w:pPr>
        <w:numPr>
          <w:ilvl w:val="0"/>
          <w:numId w:val="1"/>
        </w:numPr>
        <w:shd w:val="clear" w:color="auto" w:fill="FFFFFF"/>
        <w:tabs>
          <w:tab w:val="clear" w:pos="567"/>
          <w:tab w:val="left" w:pos="709"/>
        </w:tabs>
        <w:spacing w:after="240"/>
        <w:jc w:val="both"/>
      </w:pPr>
      <w:r>
        <w:rPr>
          <w:lang w:val="ru"/>
        </w:rPr>
        <w:t>Данные из всех трех источников были проанализированы по отдельности, а затем триангулированы в единое целое. Результаты опроса предоставили количественный обзор мнений, в то время как качественные выводы из обсуждений на заседаниях региональных вспомогательных органов и интервью были использованы для углубления анализа результатов опроса. Все методы были структурированы таким образом, чтобы охватить три ключевые области, определенные решением МОК A-32/5, и исследовать приоритетные потребности науки об океане по критически важным элементам цепочки создания ценности науки об океане, в частности, наблюдения за океаном и инфраструктура данных; данные, научные исследования и знания; способы применения, продукты и инструменты для разработки политики и принятия решений; элементы межсекторальной поддержки.</w:t>
      </w:r>
    </w:p>
    <w:p w14:paraId="2173249A" w14:textId="0EA038E9" w:rsidR="002703FF" w:rsidRPr="002703FF" w:rsidRDefault="002703FF" w:rsidP="002703FF">
      <w:pPr>
        <w:pStyle w:val="ListParagraph"/>
        <w:numPr>
          <w:ilvl w:val="0"/>
          <w:numId w:val="4"/>
        </w:numPr>
        <w:tabs>
          <w:tab w:val="clear" w:pos="567"/>
        </w:tabs>
        <w:spacing w:after="240"/>
        <w:ind w:left="709"/>
        <w:jc w:val="both"/>
        <w:rPr>
          <w:b/>
        </w:rPr>
      </w:pPr>
      <w:r>
        <w:rPr>
          <w:b/>
          <w:bCs/>
          <w:lang w:val="ru"/>
        </w:rPr>
        <w:t>Результаты Этапа 1 процесса консультаций</w:t>
      </w:r>
    </w:p>
    <w:p w14:paraId="553EF402" w14:textId="38CC63EE" w:rsidR="002703FF" w:rsidRDefault="002703FF" w:rsidP="002703FF">
      <w:pPr>
        <w:numPr>
          <w:ilvl w:val="0"/>
          <w:numId w:val="1"/>
        </w:numPr>
        <w:shd w:val="clear" w:color="auto" w:fill="FFFFFF"/>
        <w:tabs>
          <w:tab w:val="clear" w:pos="567"/>
          <w:tab w:val="left" w:pos="709"/>
        </w:tabs>
        <w:spacing w:after="240"/>
        <w:jc w:val="both"/>
      </w:pPr>
      <w:r>
        <w:rPr>
          <w:lang w:val="ru"/>
        </w:rPr>
        <w:t>В данном разделе представлен обзор выводов высокого уровня из консультаций, сопровождаемый анализом для каждой из трех ключевых областей, определенных в решении МОК A-32/5, обзор выводов в отношении сквозных и создающих возможности вопросов и, в завершение, информация по конкретным проблемам, выявленным на региональном уровне.</w:t>
      </w:r>
    </w:p>
    <w:p w14:paraId="0984CF8D" w14:textId="5294E5E2" w:rsidR="002703FF" w:rsidRPr="002703FF" w:rsidRDefault="002703FF" w:rsidP="002703FF">
      <w:pPr>
        <w:shd w:val="clear" w:color="auto" w:fill="FFFFFF"/>
        <w:tabs>
          <w:tab w:val="clear" w:pos="567"/>
          <w:tab w:val="left" w:pos="709"/>
        </w:tabs>
        <w:spacing w:after="240"/>
        <w:jc w:val="both"/>
        <w:rPr>
          <w:u w:val="single"/>
        </w:rPr>
      </w:pPr>
      <w:r>
        <w:rPr>
          <w:u w:val="single"/>
          <w:lang w:val="ru"/>
        </w:rPr>
        <w:t>(i)</w:t>
      </w:r>
      <w:r>
        <w:rPr>
          <w:u w:val="single"/>
          <w:lang w:val="ru"/>
        </w:rPr>
        <w:tab/>
        <w:t>Сообщения высокого уровня по результатам консультаций</w:t>
      </w:r>
    </w:p>
    <w:p w14:paraId="471B0753" w14:textId="77777777" w:rsidR="002703FF" w:rsidRDefault="002703FF" w:rsidP="002703FF">
      <w:pPr>
        <w:numPr>
          <w:ilvl w:val="0"/>
          <w:numId w:val="1"/>
        </w:numPr>
        <w:shd w:val="clear" w:color="auto" w:fill="FFFFFF"/>
        <w:tabs>
          <w:tab w:val="clear" w:pos="567"/>
          <w:tab w:val="left" w:pos="709"/>
        </w:tabs>
        <w:spacing w:after="240"/>
        <w:jc w:val="both"/>
      </w:pPr>
      <w:r>
        <w:rPr>
          <w:lang w:val="ru"/>
        </w:rPr>
        <w:t>Мнения участников консультаций по трем ключевым областям (устойчивое океаническое планирование, конвенции и рамочные программы ООН и устойчивая экономика океана) показывают сильную степень конвергенции вокруг основного набора вопросов, которые в значительной мере актуальны для приоритетов многочисленных государств-членов и партнеров. Из этих подтем были выделены следующие вопросы, которые были определены как проблемные и в недостаточной степени охваченные, а потому представляющие постоянные проблемы и подчеркивающие потребность в более целенаправленном вмешательстве: морское биоразнообразие, круговорот питательных веществ (включая связь с вредоносным цветением водорослей), физическая океанография, а также системы раннего предупреждения и обеспечение готовности и снижения риска бедствий. Участники определили основополагающие пробелы в научном понимании, человеческом и институциональном потенциале и инфраструктуре в отношении этих подтем, которые сдерживают прогресс во всех трех ключевых областях. Регулярное определение этих подтем как в недостаточной степени охваченных подчеркивает четкую возможность для МОК возглавить целенаправленные усилия по устранению критических научных и инфраструктурных пробелов.</w:t>
      </w:r>
    </w:p>
    <w:p w14:paraId="72F4D058" w14:textId="77777777" w:rsidR="002703FF" w:rsidRDefault="002703FF" w:rsidP="002703FF">
      <w:pPr>
        <w:numPr>
          <w:ilvl w:val="0"/>
          <w:numId w:val="1"/>
        </w:numPr>
        <w:shd w:val="clear" w:color="auto" w:fill="FFFFFF"/>
        <w:tabs>
          <w:tab w:val="clear" w:pos="567"/>
          <w:tab w:val="left" w:pos="709"/>
        </w:tabs>
        <w:spacing w:after="240"/>
        <w:jc w:val="both"/>
      </w:pPr>
      <w:r>
        <w:rPr>
          <w:lang w:val="ru"/>
        </w:rPr>
        <w:t>Во всех трех ключевых областях был выявлен повторяющийся набор умеренно проблемных вопросов, среди которых оказались: закисление океана, распространение морских данных и планирование для охраняемых морских районов (ОМР) и зонально привязанных инструментов хозяйствования, особенно в отношении готовности государств-</w:t>
      </w:r>
      <w:r>
        <w:rPr>
          <w:lang w:val="ru"/>
        </w:rPr>
        <w:lastRenderedPageBreak/>
        <w:t xml:space="preserve">членов к реализации Соглашения на основе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 (Соглашение БПНЮ). </w:t>
      </w:r>
    </w:p>
    <w:p w14:paraId="34E9ADF7" w14:textId="77777777" w:rsidR="002703FF" w:rsidRDefault="002703FF" w:rsidP="002703FF">
      <w:pPr>
        <w:numPr>
          <w:ilvl w:val="0"/>
          <w:numId w:val="1"/>
        </w:numPr>
        <w:shd w:val="clear" w:color="auto" w:fill="FFFFFF"/>
        <w:tabs>
          <w:tab w:val="clear" w:pos="567"/>
          <w:tab w:val="left" w:pos="709"/>
        </w:tabs>
        <w:spacing w:after="240"/>
        <w:jc w:val="both"/>
      </w:pPr>
      <w:r>
        <w:rPr>
          <w:lang w:val="ru"/>
        </w:rPr>
        <w:t>Другие области, в частности, поддержка морских научных исследований, биологическая океанография и морское пространственное планирование (МПП), были определены как приоритетные потребности государств-членов, но были квалифицированы как «в целом удовлетворительные» и относительно беспроблемные. Это свидетельствует о том, что многолетняя работа МОК в этих областях способствовала укреплению потенциала государств-членов, обеспечив прочную основу для дальнейшей адаптации или расширения поддержки при условии устойчивого финансирования этих услуг.</w:t>
      </w:r>
    </w:p>
    <w:p w14:paraId="03C3A916" w14:textId="77777777" w:rsidR="002703FF" w:rsidRDefault="002703FF" w:rsidP="002703FF">
      <w:pPr>
        <w:numPr>
          <w:ilvl w:val="0"/>
          <w:numId w:val="1"/>
        </w:numPr>
        <w:shd w:val="clear" w:color="auto" w:fill="FFFFFF"/>
        <w:tabs>
          <w:tab w:val="clear" w:pos="567"/>
          <w:tab w:val="left" w:pos="709"/>
        </w:tabs>
        <w:spacing w:after="240"/>
        <w:jc w:val="both"/>
      </w:pPr>
      <w:r>
        <w:rPr>
          <w:lang w:val="ru"/>
        </w:rPr>
        <w:t>Были подняты несколько важных сквозных тем. Среди них: потребность в усилении поддержки для перехода к использованию данных, а не просто их сбору; существенные проблемы, вызванные отсутствием устойчивого финансирования инфраструктуры наблюдений за океаном; необходимость более четкой согласованности между научными результатами и потребностями политики; необходимость содействия более тесному взаимодействию между наукой, экономикой и промышленностью; возможности для технологических инноваций в целях увеличения инвестиций; социальные вопросы, такие как важность справедливости; постоянные возможности для укрепления автономии и популяризации МОК, включая роль МОК в региональной и национальной координации. Проблема развития потенциала, хотя и не всегда входит в число главных тем, красной нитью проходит через все ключевые области.</w:t>
      </w:r>
    </w:p>
    <w:p w14:paraId="043A67FE" w14:textId="77777777" w:rsidR="002703FF" w:rsidRDefault="002703FF" w:rsidP="002703FF">
      <w:pPr>
        <w:numPr>
          <w:ilvl w:val="0"/>
          <w:numId w:val="1"/>
        </w:numPr>
        <w:shd w:val="clear" w:color="auto" w:fill="FFFFFF"/>
        <w:tabs>
          <w:tab w:val="clear" w:pos="567"/>
          <w:tab w:val="left" w:pos="709"/>
        </w:tabs>
        <w:spacing w:after="240"/>
        <w:jc w:val="both"/>
      </w:pPr>
      <w:r>
        <w:rPr>
          <w:lang w:val="ru"/>
        </w:rPr>
        <w:t>Согласованность этих общих тем подчеркивает взаимосвязанный характер проблем управления океаном и растущую потребность в комплексных научно обоснованных подходах. Она свидетельствует о том, что целенаправленные инвестиции в ряд высокоприоритетных сквозных тем, связанных с наукой и потенциалом, могут принести значительную пользу, особенно там, где потребности пересекаются с точки зрения планирования, реализации и целей экономического развития. Участники считают, что позиция МОК позволяет ей возглавить эти усилия посредством совершенствования координации, технического сотрудничества и обмена знаниями, уделяя особое внимание оказанию помощи государствам-членам в преобразовании науки в действия с учетом быстро меняющейся политики в отношении океана.</w:t>
      </w:r>
    </w:p>
    <w:p w14:paraId="504F77F4"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ru"/>
        </w:rPr>
        <w:t>(ii)</w:t>
      </w:r>
      <w:r>
        <w:rPr>
          <w:u w:val="single"/>
          <w:lang w:val="ru"/>
        </w:rPr>
        <w:tab/>
        <w:t>Мнения в отношении научно-обоснованного устойчивого океанического планирования</w:t>
      </w:r>
    </w:p>
    <w:p w14:paraId="13B9AB7A"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Хотя основополагающие знания, необходимые для устойчивого океанического планирования, в основном имеются, участники выявили пробелы в доступности, интеграции и практическом применении данных и информации. Эффективное планирование требует не только устойчивых базовых систем наблюдения и данных, но и удобных инструментов и продуктов, содействующих принятию решения, для преобразования науки в действенную политику и процесс принятия решений. Существующие системы по-прежнему не удовлетворяют потребности пользователей для целей планирования с точки зрения качества, операционной совместимости и удобства использования. Участники постоянно ссылались на потребность в лучшем охвате или системной функциональности, согласованности и доступности в области наблюдений за океаном и данных. </w:t>
      </w:r>
    </w:p>
    <w:p w14:paraId="54F42702"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Другие проблемы, такие как знания по морскому биоразнообразию, инвазивным видам, закислению океана и эвтрофикации, представляют собой критически важные и слабо интегрированные области, в которых научные знания в недостаточной степени внедрены в инструменты планирования и национальные процессы. </w:t>
      </w:r>
    </w:p>
    <w:p w14:paraId="724F9F39"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Консультации подтвердили важнейшую роль МОК в поддержке государств-членов и других заинтересованных лиц посредством научно-обоснованных подходов к </w:t>
      </w:r>
      <w:r>
        <w:rPr>
          <w:lang w:val="ru"/>
        </w:rPr>
        <w:lastRenderedPageBreak/>
        <w:t>пространственному планированию, включая охраняемые морские районы (ОМР), комплексное управление прибрежными зонами (КУПЗ) и более широкие системы для устойчивого использования океана. Такие выводы указывают на необходимость постоянного участия МОК в продвижении технической координации или обмена данными и разработке инструментов совместно с планировщиками, гарантируя, что научно обоснованное планирование идет в ногу с изменениями окружающей среды и меняющимися требованиями политики.</w:t>
      </w:r>
    </w:p>
    <w:p w14:paraId="4A4F6477" w14:textId="77777777" w:rsidR="002703FF" w:rsidRDefault="002703FF" w:rsidP="002703FF">
      <w:pPr>
        <w:numPr>
          <w:ilvl w:val="0"/>
          <w:numId w:val="1"/>
        </w:numPr>
        <w:shd w:val="clear" w:color="auto" w:fill="FFFFFF"/>
        <w:tabs>
          <w:tab w:val="clear" w:pos="567"/>
          <w:tab w:val="left" w:pos="709"/>
        </w:tabs>
        <w:spacing w:after="240"/>
        <w:jc w:val="both"/>
      </w:pPr>
      <w:r>
        <w:rPr>
          <w:lang w:val="ru"/>
        </w:rPr>
        <w:t>Многие методы планирования по-прежнему предполагают устойчивость окружающей среды. Однако климатические воздействия, такие как подъем уровня океана, эрозия и сдвиги ареала, все чаще требуют инструментов, учитывающих динамику экосистем. Многим странам, даже хорошо обеспеченным ресурсами, не хватает биологических, экологических и исторических временных рядов данных для содействия морскому пространственному планированию (МПП) и адаптивному принятию решений. Это ограничивает способность прогнозирования экологических сдвигов и разработки устойчивых пространственных планов. Необходимо большее количество исторических временных наборов данных и интегрированных систем данных для поддержания долгосрочного планирования, особенно в меняющихся климатических условиях.</w:t>
      </w:r>
    </w:p>
    <w:p w14:paraId="15EB091C" w14:textId="1551ED7B" w:rsidR="002703FF" w:rsidRDefault="002703FF" w:rsidP="002703FF">
      <w:pPr>
        <w:numPr>
          <w:ilvl w:val="0"/>
          <w:numId w:val="1"/>
        </w:numPr>
        <w:shd w:val="clear" w:color="auto" w:fill="FFFFFF"/>
        <w:tabs>
          <w:tab w:val="clear" w:pos="567"/>
          <w:tab w:val="left" w:pos="709"/>
        </w:tabs>
        <w:spacing w:after="240"/>
        <w:jc w:val="both"/>
      </w:pPr>
      <w:r>
        <w:rPr>
          <w:lang w:val="ru"/>
        </w:rPr>
        <w:t>Постоянный разрыв между отраслевыми данными (например, рыболовство, возобновляемые источники энергии) и политикой и сроками принятия решений затрудняет разработку согласованных межотраслевых стратегий. В некоторых странах отсутствуют механизмы объединения океанического планирования с энергетикой, промышленностью и управлением прибрежными зонами. Эта проблема усугубляется разделением на наземное и морское пространственное планирование в прибрежных зонах.</w:t>
      </w:r>
    </w:p>
    <w:p w14:paraId="642B3756"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Участники подчеркнули растущую важность инструментов, связанных с рисками, в поддержке пространственного планирования, особенно в уязвимых прибрежных зонах. Они заявили о потребности в более согласованных и широко доступных инструментах для принятия решений, которые могут быть использованы для обеспечения устойчивости в контексте планирования. </w:t>
      </w:r>
    </w:p>
    <w:p w14:paraId="607E9B92"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Государства-члены также не имеют доступа к практическим руководствам, инструментам сценариев и удобным наборам инструментов, способствующим принятию адаптивных и перспективных решений, включая планирование ОМР. Совместная разработка на местном уровне и взаимодействие с заинтересованными сторонами являются критически важными для создания легитимности и приверженности. Участники подчеркнули необходимость в том, чтобы МОК осуществляла более действенное и профильное руководство. Существует большой спрос на структуры (например такие, как создаваемые в рамках программы MSPGlobal), которые предлагают четкие шаги, шаблоны и примеры внедрения. Участники подчеркнули потребность в адаптации этих инструментов к местному контексту и в обеспечении доступа государств-членов к соответствующим наборам данных, руководствам и обучению. </w:t>
      </w:r>
    </w:p>
    <w:p w14:paraId="7F5B8D1D"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ru"/>
        </w:rPr>
        <w:t>(iii)</w:t>
      </w:r>
      <w:r>
        <w:rPr>
          <w:u w:val="single"/>
          <w:lang w:val="ru"/>
        </w:rPr>
        <w:tab/>
        <w:t>Мнения, касающиеся реализации конвенций и рамочных программ ООН</w:t>
      </w:r>
    </w:p>
    <w:p w14:paraId="4C025719"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Существует явный дефицит научных знаний, необходимых для выполнения меняющихся международных обязательств. Реализация экологических конвенций и рамочных программ ООН зависит от постоянной доступности науки об океане, инфраструктуры данных и политически значимых инструментов для содействия деятельности. Ответы, полученные в ходе консультаций, позволили выявить ряд научных тем (включая морское биоразнообразие, физическую океанографию, поступление питательных веществ, способствующее эвтрофикации и связанным с ней нагрузкам, и загрязнение океана), которые государства-члены считают особенно важными для выполнения обязательств в рамках соглашений, таких как Конвенция о биологическом разнообразии (КБР), Рамочная конвенция ООН об изменении климата (РКИК ООН) и, в частности, новое Соглашение на </w:t>
      </w:r>
      <w:r>
        <w:rPr>
          <w:lang w:val="ru"/>
        </w:rPr>
        <w:lastRenderedPageBreak/>
        <w:t>основе ЮНКЛОС о сохранении и устойчивом использовании морского биологического разнообразия в районах за пределами действия национальной юрисдикции (БПНЮ). Эти глобальные обязательства все больше требуют наличия совместимых данных, потенциала прогнозирования и масштабируемых инструментов для мониторинга, управления и составления отчетов о морских ресурсах и угрозах. Инструменты реализации (в частности, планирования для охраняемых морских районов (ОМР)) также оказались препятствием для реализации. Заинтересованные стороны видят четкую ведущую роль МОК в устранении этих пробелов посредством согласования данных, трансграничного научного сотрудничества, передачи технологий и поддержки для преобразования науки в действенные пути на национальном уровне.</w:t>
      </w:r>
    </w:p>
    <w:p w14:paraId="37433D22"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Хотя страны могут обладать соответствующими данными, отсутствие совместимости, сохранение разрозненности в наборах данных об океане и отсутствие стандартизированных протоколов препятствует их использованию для целей международной отчетности и мониторинга, особенно в контексте конвенций ООН. Распространение морских данных вызвало наибольшее беспокойство, что указывает на возросшую потребность во внимании к доступности и согласованности данных. </w:t>
      </w:r>
    </w:p>
    <w:p w14:paraId="22E654AB" w14:textId="77777777" w:rsidR="002703FF" w:rsidRDefault="002703FF" w:rsidP="002703FF">
      <w:pPr>
        <w:numPr>
          <w:ilvl w:val="0"/>
          <w:numId w:val="1"/>
        </w:numPr>
        <w:shd w:val="clear" w:color="auto" w:fill="FFFFFF"/>
        <w:tabs>
          <w:tab w:val="clear" w:pos="567"/>
          <w:tab w:val="left" w:pos="709"/>
        </w:tabs>
        <w:spacing w:after="240"/>
        <w:jc w:val="both"/>
      </w:pPr>
      <w:r>
        <w:rPr>
          <w:lang w:val="ru"/>
        </w:rPr>
        <w:t>Несколько конвенций ООН испытывают очень значительные практические потребности, которые государства-члены МОК не всегда способны удовлетворить. Новое Соглашение БПНЮ потребует надежных оценок воздействия на окружающую среду, инструментов мониторинга и зонально-привязанного потенциала хозяйствования в районах за пределами национальной юрисдикции. Однако участники отметили, что многие государства-члены, особенно МОСРГ и развивающиеся страны, не готовы к выполнению этих обязательств. Существует необходимость долгосрочных инвестиций в национальные научные институты и создание механизмов поддержки (например, механизмов обмена информацией, инструментов руководства) для устранения пробела в готовности. Технические возможности разработки и практического применения пространственной защиты и управления, включая ОМР и зонально привязанные инструменты хозяйствования, остаются ограниченными, особенно в странах с ограниченной институциональной инфраструктурой. Результаты консультаций показывают, что даже там, где существуют политические амбиции, технические возможности для разработки и реализации пространственных мер в соответствии с глобальными обязательствами могут быть ограничены.</w:t>
      </w:r>
    </w:p>
    <w:p w14:paraId="794AE72E" w14:textId="77777777" w:rsidR="002703FF" w:rsidRDefault="002703FF" w:rsidP="002703FF">
      <w:pPr>
        <w:numPr>
          <w:ilvl w:val="0"/>
          <w:numId w:val="1"/>
        </w:numPr>
        <w:shd w:val="clear" w:color="auto" w:fill="FFFFFF"/>
        <w:tabs>
          <w:tab w:val="clear" w:pos="567"/>
          <w:tab w:val="left" w:pos="709"/>
        </w:tabs>
        <w:spacing w:after="240"/>
        <w:jc w:val="both"/>
      </w:pPr>
      <w:r>
        <w:rPr>
          <w:lang w:val="ru"/>
        </w:rPr>
        <w:t>Участники отметили отсутствие координации между международными институтами. Они подчеркнули, что реализация рамочных программ, связанных с БПНЮ и климатом, не может осуществляться в условиях разрозненности, и рекомендовали МОК активно координировать работу с институтами, такими как Международный орган по морскому дну (в отношении глубоководной морской добычи), ОЭСР (в отношении экономической политики) и IEA (в отношении энергетических ресурсов в море), чтобы обеспечить согласованность технического руководства и устранить пробелы путем сотрудничества, а не дублирования.</w:t>
      </w:r>
    </w:p>
    <w:p w14:paraId="4993BF5B"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ru"/>
        </w:rPr>
        <w:t>(iv)</w:t>
      </w:r>
      <w:r>
        <w:rPr>
          <w:u w:val="single"/>
          <w:lang w:val="ru"/>
        </w:rPr>
        <w:tab/>
        <w:t>Мнения в отношении устойчивой экономики океана</w:t>
      </w:r>
    </w:p>
    <w:p w14:paraId="3A34E382"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Обеспечение устойчивой экономики океана зависит от доступности и интеграции науки об океане для поддержки политики, позволяющей достигнуть баланса между экономическим развитием, защитой окружающей среды и социальной интеграцией. Консультации подчеркнули пробелы в интеграции и применении науки об океане в ключевых секторах экономики. Эта проблема усугубляется неравным доступом, технической операционной совместимостью и региональными различиями в использовании. Консультации выявили широкий спектр научных тем, которые считаются критически важными для этой цели, отражая потребность в данных, знаниях и прикладных инструментах, которые позволили бы государствам-членам использовать возможности устойчивой экономики океана без ущерба для здоровья морской экосистемы. </w:t>
      </w:r>
    </w:p>
    <w:p w14:paraId="5AA6E698" w14:textId="77777777" w:rsidR="002703FF" w:rsidRDefault="002703FF" w:rsidP="002703FF">
      <w:pPr>
        <w:numPr>
          <w:ilvl w:val="0"/>
          <w:numId w:val="1"/>
        </w:numPr>
        <w:shd w:val="clear" w:color="auto" w:fill="FFFFFF"/>
        <w:tabs>
          <w:tab w:val="clear" w:pos="567"/>
          <w:tab w:val="left" w:pos="709"/>
        </w:tabs>
        <w:spacing w:after="240"/>
        <w:jc w:val="both"/>
      </w:pPr>
      <w:r>
        <w:rPr>
          <w:lang w:val="ru"/>
        </w:rPr>
        <w:lastRenderedPageBreak/>
        <w:t>Инструменты планирования, такие как МПП и зонально-привязанное хозяйствование, широко признаны как необходимые для согласования экономического развития с сохранением, при этом участники указали, что потребности МПП в должной мере удовлетворены в данном контексте. Однако реализация процесса принятия решений с учетом информации о существующих рисках, например, посредством систем раннего предупреждения и прогнозирования опасных явлений, является неравномерной, что приводит к усилению призывов к более масштабному внедрению в подверженных риску районах. В недостаточной степени охваченные научные области, такие как морское биоразнообразие, вредоносное цветение водорослей и закисление океана, отражают критические пробелы в понимании экосистем, которые сдерживают разработку устойчивых, основанных на природе экономических стратегий. Респонденты признали стратегическую роль МОК в масштабировании и обеспечении поддержки государств-членов в этих критически важных областях с одновременным продолжением координации, укрепления и стандартизации глобальных систем наблюдения за океаном.</w:t>
      </w:r>
    </w:p>
    <w:p w14:paraId="40A519C6"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Участники отметили сохраняющуюся двусмысленность вокруг концепции «устойчивой экономики океана». Существует настоятельный призыв к МОК помочь в разработке общих показателей устойчивости и критериев оценки в сотрудничестве с глобальными партнерами. Некоторые из опрошенных подчеркнули, что многим инфраструктурным разработкам (энергия морского ветра, аквакультура, глубоководная морская добыча) не хватает всестороннего научного обзора. Оценки воздействия на окружающую среду часто являются разовыми, статическими мероприятиями, и некоторые призвали МОК в дальнейшем поддерживать методы скользящих оценок и мониторинга после развертывания для отслеживания долгосрочного экологического воздействия, которое остается неучтенным. Некоторые участники отметили, что частные инвесторы зачастую не решаются присоединиться к набирающему популярность сектору «голубой экономики» вследствие отсутствия научной заметности, всесторонней оценки риска и действенных политических структур, и предложили, чтобы МОК содействовала партнерствам с бизнес-сообществом для ускорения инноваций в области океанических технологий, особенно в таких областях, как автономное зондирование и анализ данных. Опрошенные отметили, что наука об океане по-прежнему недостаточно задействована в процессе принятия политических и инвестиционных решений. Они подчеркнули потребность во внедрении экономических обоснований в научные результаты и рекомендовали МОК содействовать более тесному сотрудничеству между учеными, национальными статистическими управлениями и министерствами инноваций. </w:t>
      </w:r>
    </w:p>
    <w:p w14:paraId="17B4EF1E"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ru"/>
        </w:rPr>
        <w:t>(v)</w:t>
      </w:r>
      <w:r>
        <w:rPr>
          <w:u w:val="single"/>
          <w:lang w:val="ru"/>
        </w:rPr>
        <w:tab/>
        <w:t>Мнения по межсекторальным проблемам</w:t>
      </w:r>
    </w:p>
    <w:p w14:paraId="13461077" w14:textId="77777777" w:rsidR="002703FF" w:rsidRDefault="002703FF" w:rsidP="002703FF">
      <w:pPr>
        <w:numPr>
          <w:ilvl w:val="0"/>
          <w:numId w:val="1"/>
        </w:numPr>
        <w:shd w:val="clear" w:color="auto" w:fill="FFFFFF"/>
        <w:tabs>
          <w:tab w:val="clear" w:pos="567"/>
          <w:tab w:val="left" w:pos="709"/>
        </w:tabs>
        <w:spacing w:after="240"/>
        <w:jc w:val="both"/>
      </w:pPr>
      <w:r>
        <w:rPr>
          <w:lang w:val="ru"/>
        </w:rPr>
        <w:t>Во всех трех ключевых областях было выявлено несколько межсекторальных проблем. Участники неоднократно упоминали недостаточные инвестиции в наблюдения за океаном и данные, которые они расценивали как препятствие. Системы наблюдений, такие как Глобальная система наблюдений за океаном (ГСНО) и сети по вредоносному цветению водорослей (ВЦВ) признаны основополагающими, однако отсутствие устойчивых инвестиций и технической поддержки наносят ущерб глобальному мониторингу, особенно в уязвимых районах, таких как Тихий океан и южная часть Атлантического океана.</w:t>
      </w:r>
    </w:p>
    <w:p w14:paraId="4D1BDD11" w14:textId="77777777" w:rsidR="002703FF" w:rsidRDefault="002703FF" w:rsidP="002703FF">
      <w:pPr>
        <w:numPr>
          <w:ilvl w:val="0"/>
          <w:numId w:val="1"/>
        </w:numPr>
        <w:shd w:val="clear" w:color="auto" w:fill="FFFFFF"/>
        <w:tabs>
          <w:tab w:val="clear" w:pos="567"/>
          <w:tab w:val="left" w:pos="709"/>
        </w:tabs>
        <w:spacing w:after="240"/>
        <w:jc w:val="both"/>
      </w:pPr>
      <w:r>
        <w:rPr>
          <w:lang w:val="ru"/>
        </w:rPr>
        <w:t>Участники процесса консультаций подчеркнули необходимость в том, чтобы МОК сместила свой фокус со сбора данных на использование данных, например, путем курирования информации, координации пользователей и поддержания устойчивых систем. Некоторые участники описали системные сбои в том, как наука достигает лиц, принимающих решения. Некоторые респонденты отметили, что научные результаты, включая продукты для оценки и синтеза, часто слишком абстрактны, слишком медленны или не соответствуют политическим циклам. Некоторые эксперты призвали к созданию постоянных механизмов консультирования по вопросам науки и политики на региональном или национальном уровнях, другие подчеркнули потребность в гибких, совместно разрабатываемых решениях, которые могут быть быстро интегрированы в политические процессы.</w:t>
      </w:r>
    </w:p>
    <w:p w14:paraId="39A4EBB0" w14:textId="77777777" w:rsidR="002703FF" w:rsidRDefault="002703FF" w:rsidP="002703FF">
      <w:pPr>
        <w:numPr>
          <w:ilvl w:val="0"/>
          <w:numId w:val="1"/>
        </w:numPr>
        <w:shd w:val="clear" w:color="auto" w:fill="FFFFFF"/>
        <w:tabs>
          <w:tab w:val="clear" w:pos="567"/>
          <w:tab w:val="left" w:pos="709"/>
        </w:tabs>
        <w:spacing w:after="240"/>
        <w:jc w:val="both"/>
      </w:pPr>
      <w:r>
        <w:rPr>
          <w:lang w:val="ru"/>
        </w:rPr>
        <w:lastRenderedPageBreak/>
        <w:t xml:space="preserve">В связи с этим стала часто упоминаться проблема недостаточной грамотности в связанных с океаном вопросах. Тогда как усилия МОК в области школьного образования, затрагивающего океан, были охарактеризованы как положительная и необходимая инициатива, эксперты из различных регионов подчеркнули необходимость более широкого использования в обществе подходов к грамотности в связанных с океаном вопросах. Без такого базового понимания проблем океана более широким кругом общественных субъектов политическая воля и государственные инвестиции в науку об океане будут оставаться незначительными. </w:t>
      </w:r>
    </w:p>
    <w:p w14:paraId="2357A1EA" w14:textId="77777777" w:rsidR="002703FF" w:rsidRDefault="002703FF" w:rsidP="002703FF">
      <w:pPr>
        <w:numPr>
          <w:ilvl w:val="0"/>
          <w:numId w:val="1"/>
        </w:numPr>
        <w:shd w:val="clear" w:color="auto" w:fill="FFFFFF"/>
        <w:tabs>
          <w:tab w:val="clear" w:pos="567"/>
          <w:tab w:val="left" w:pos="709"/>
        </w:tabs>
        <w:spacing w:after="240"/>
        <w:jc w:val="both"/>
      </w:pPr>
      <w:r>
        <w:rPr>
          <w:lang w:val="ru"/>
        </w:rPr>
        <w:t>Развитие потенциала было определено многими участниками как основное узкое место в амбициях государств-членов в трех ключевых областях. Они подчеркнули, что вместо общих программ по развитию потенциала МОК следует разрабатывать индивидуальные инициативы для наращивания существующего местного потенциала. Эксперты подчеркнули необходимость устойчивых и долгосрочных моделей инвестиций в потенциал, включая поддержку начинающих специалистов-океанографов и постоянную институциональную поддержку. Без целенаправленных инвестиций в человеческие способности, включая обучение и обмен знаниями, для толкования, применения и адаптации науки об океане, даже лучшие данные и инструменты могут остаться недоиспользованными.</w:t>
      </w:r>
    </w:p>
    <w:p w14:paraId="28944629" w14:textId="77777777" w:rsidR="002703FF" w:rsidRDefault="002703FF" w:rsidP="002703FF">
      <w:pPr>
        <w:numPr>
          <w:ilvl w:val="0"/>
          <w:numId w:val="1"/>
        </w:numPr>
        <w:shd w:val="clear" w:color="auto" w:fill="FFFFFF"/>
        <w:tabs>
          <w:tab w:val="clear" w:pos="567"/>
          <w:tab w:val="left" w:pos="709"/>
        </w:tabs>
        <w:spacing w:after="240"/>
        <w:jc w:val="both"/>
      </w:pPr>
      <w:r>
        <w:rPr>
          <w:lang w:val="ru"/>
        </w:rPr>
        <w:t>Участники выявили стратегическую возможность для МОК играть более активную роль в работе с промышленностью и определении потребностей в инновациях в океанических технологиях (например, автономные транспортные средства, умные буи и прогнозирование на основе ИИ) как средств решения проблем справедливости, отсутствия данных и расширения наблюдений. Хотя МОК в настоящее время сосредоточена на создании стандартов, она могла бы более активно взаимодействовать с научно-исследовательской экосистемой посредством партнерств, инновационных задач и разработки технологий с открытым исходным кодом.</w:t>
      </w:r>
    </w:p>
    <w:p w14:paraId="500D4348"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Наконец, эксперты указали, что ЮНЕСКО часто затмевает МОК, несмотря на ее ведущую роль во многих инициативах, связанных с океаном. Они призывают к более четкому брендированию, усилению функциональной автономии и более активному взаимодействию с международными альянсами для расширения присутствия и легитимности МОК. </w:t>
      </w:r>
    </w:p>
    <w:p w14:paraId="1543ACAD" w14:textId="77777777" w:rsidR="002703FF" w:rsidRPr="002703FF" w:rsidRDefault="002703FF" w:rsidP="002703FF">
      <w:pPr>
        <w:shd w:val="clear" w:color="auto" w:fill="FFFFFF"/>
        <w:tabs>
          <w:tab w:val="clear" w:pos="567"/>
          <w:tab w:val="left" w:pos="709"/>
        </w:tabs>
        <w:spacing w:after="240"/>
        <w:jc w:val="both"/>
        <w:rPr>
          <w:u w:val="single"/>
        </w:rPr>
      </w:pPr>
      <w:r>
        <w:rPr>
          <w:u w:val="single"/>
          <w:lang w:val="ru"/>
        </w:rPr>
        <w:t>(vi)</w:t>
      </w:r>
      <w:r>
        <w:rPr>
          <w:u w:val="single"/>
          <w:lang w:val="ru"/>
        </w:rPr>
        <w:tab/>
        <w:t xml:space="preserve">Вопросы регионального характера, затронутые во время консультаций </w:t>
      </w:r>
    </w:p>
    <w:p w14:paraId="3163DDCA"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В предыдущих разделах представлены обобщенные ответы, полученные во всех формах консультаций и во всех географических регионах. В каждом из регионов участники выявили конкретные проблемы, которые потребуют дальнейшего анализа на Этапе 2 процесса консультаций. </w:t>
      </w:r>
    </w:p>
    <w:p w14:paraId="43027A5D" w14:textId="18502B5E" w:rsidR="002703FF" w:rsidRDefault="002703FF" w:rsidP="002703FF">
      <w:pPr>
        <w:numPr>
          <w:ilvl w:val="0"/>
          <w:numId w:val="1"/>
        </w:numPr>
        <w:shd w:val="clear" w:color="auto" w:fill="FFFFFF"/>
        <w:tabs>
          <w:tab w:val="clear" w:pos="567"/>
          <w:tab w:val="left" w:pos="709"/>
        </w:tabs>
        <w:spacing w:after="240"/>
        <w:jc w:val="both"/>
      </w:pPr>
      <w:r>
        <w:rPr>
          <w:lang w:val="ru"/>
        </w:rPr>
        <w:t xml:space="preserve">Подкомиссия МОК для западной части Тихого океана (ВЕСТПАК): обсуждения сосредоточились на потребности в соответствующих и своевременных продуктах синтеза и оценки для содействия политике и процессу принятия решений. Обсуждения подчеркнули, что, несмотря на некоторые пробелы, в регионе уже имеется или создается значительный объем научных знаний, однако отсутствует преобразование этих знаний в формы, которые могли бы быть легко доступны и использованы государствами-членами. Участники отметили потребность в институциональном усилении государств-членов и региональных организаций и определили роль МОК в активизации совместных инициатив государств-членов для достижения общих целей и обмена опытом. Была выявлена потребность в более тесном взаимодействии с международными организациями, работающими в регионе, и были поддержаны призывы к увеличению ресурсов и укреплению региональных вспомогательных органов для выполнения ими координирующей роли. </w:t>
      </w:r>
    </w:p>
    <w:p w14:paraId="66298A3E"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Подкомиссия МОК для Карибского бассейна и прилегающих регионов (МОКАРИБ): было подчеркнуто разнообразие потребностей в регионе (в том числе между континентальными странами и МОСРГ). В ходе дискуссий особое внимание уделялось </w:t>
      </w:r>
      <w:r>
        <w:rPr>
          <w:lang w:val="ru"/>
        </w:rPr>
        <w:lastRenderedPageBreak/>
        <w:t xml:space="preserve">необходимости опираться на существующие региональные инициативы и механизмы координации, а также необходимости усиления поддержки долгосрочных наблюдений и мониторинга, в том числе путем поддержки инфраструктуры, обслуживания оборудования и обучения. Была подчеркнута важность океана для экономик МОСРГ, при этом активизация усилий по повышению грамотности в связанных с океаном вопросах для лиц, принимающих решения, была названа необходимостью, принимая во внимание низкую осведомленность о важности науки об океане для творцов политики, имеющих отношение к развитию экономики. Участники также подчеркнули, что, учитывая ограниченные человеческие возможности многих МОСРГ, МОК могла бы сыграть важную роль в оказании им помощи в ориентировании в требованиях различных глобальных рамочных программ и в поддержке разработки данных и информации, которые могут использоваться для различных целей в различных рамочных программах. </w:t>
      </w:r>
    </w:p>
    <w:p w14:paraId="145BDFAF"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Подкомиссия МОК для Африки и прилегающих островных государств (МОКАФРИКА): были выявлены многочисленные пробелы в знаниях, касающиеся загрязнения океана вдоль границы суши и моря, эрозии прибрежных районов и повышения уровня моря. Участники определили, что устойчивое развитие экономики с привлечением ресурсов океана является политическим императивом для многих африканских государств-членов, но выразили озабоченность по поводу слабого понимания творцами политики ее сути и критического пробела в знаниях и подходах, позволяющих интегрировать науку в политические дискуссии. Консультации также отметили, что образование для творцов политики имеет важное значение. В Африке взаимодействие науки и политики на уровне местных сообществ является очень важным, а подходы и инструменты для передачи научных знаний местным руководителям и лицам, принимающим решения, отсутствуют. Связь между местными средствами к существованию и устойчивым океаном очень важна, поэтому поддержка подходов к эффективной работе на местном уровне должна быть приоритетом. Консультации также позволили прийти к выводу, что наборы данных являются разрозненными, часто отсутствуют или недоступны, а также не имеют согласованности и операционной совместимости. Существует потребность в процессе определения критических пробелов в данных, разблокировки существующих данных и создания новых данных для устранения этих пробелов. Учет океанических ресурсов был определен как инструмент, который способен помочь в этом, особенно в отношении развития устойчивой экономики океана. Отсутствует оборудование для наблюдений за океаном и мониторингом in-situ, необходима четкая поддержка. </w:t>
      </w:r>
    </w:p>
    <w:p w14:paraId="23A0EB8E"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Подкомиссия МОК для центральной части Индийского океана (ИОСИНДИО): была подчеркнута важность постоянной и усиленной поддержки в области снижения риска бедствий, устойчивости прибрежных районов и систем раннего предупреждения. Работа МОК в отношении цунами, связанных с сейсмической активностью, была признана образцом, который может быть адаптирован к другим типам опасных океанических явлений. </w:t>
      </w:r>
    </w:p>
    <w:p w14:paraId="229CCEA5" w14:textId="2CE02909" w:rsidR="002703FF" w:rsidRPr="003C4B14" w:rsidRDefault="002703FF" w:rsidP="003C4B14">
      <w:pPr>
        <w:pStyle w:val="ListParagraph"/>
        <w:numPr>
          <w:ilvl w:val="0"/>
          <w:numId w:val="4"/>
        </w:numPr>
        <w:tabs>
          <w:tab w:val="clear" w:pos="567"/>
        </w:tabs>
        <w:spacing w:after="240"/>
        <w:ind w:left="709"/>
        <w:jc w:val="both"/>
        <w:rPr>
          <w:b/>
        </w:rPr>
      </w:pPr>
      <w:r>
        <w:rPr>
          <w:lang w:val="ru"/>
        </w:rPr>
        <w:tab/>
      </w:r>
      <w:r>
        <w:rPr>
          <w:b/>
          <w:bCs/>
          <w:lang w:val="ru"/>
        </w:rPr>
        <w:t xml:space="preserve">Предлагаемая структура Этапа 2 процесса консультаций </w:t>
      </w:r>
    </w:p>
    <w:p w14:paraId="74B047C3" w14:textId="194FEF73" w:rsidR="002703FF" w:rsidRDefault="007D71D1" w:rsidP="003C4B14">
      <w:pPr>
        <w:numPr>
          <w:ilvl w:val="0"/>
          <w:numId w:val="1"/>
        </w:numPr>
        <w:shd w:val="clear" w:color="auto" w:fill="FFFFFF"/>
        <w:tabs>
          <w:tab w:val="clear" w:pos="567"/>
          <w:tab w:val="left" w:pos="709"/>
        </w:tabs>
        <w:spacing w:after="120"/>
        <w:jc w:val="both"/>
      </w:pPr>
      <w:r>
        <w:rPr>
          <w:lang w:val="ru"/>
        </w:rPr>
        <w:t xml:space="preserve">В соответствии с </w:t>
      </w:r>
      <w:hyperlink r:id="rId12" w:history="1">
        <w:r>
          <w:rPr>
            <w:rStyle w:val="Hyperlink"/>
            <w:lang w:val="ru"/>
          </w:rPr>
          <w:t>резолюцией МОК EC-57/2</w:t>
        </w:r>
      </w:hyperlink>
      <w:r>
        <w:rPr>
          <w:lang w:val="ru"/>
        </w:rPr>
        <w:t xml:space="preserve"> было принято решение, что Этап 2 процесса консультаций будет проходить с июня 2025 г. по июнь 2026 г. и будет включать диалог на тему эффективности предложения для удовлетворения выявленных потребностей государств-членов и партнеров (определенных на Этапе 1) посредством многосторонних структур, и процессов, связанных с океаном, и других партнеров. Предлагаемая структура Этапа 2 процесса консультаций представлена ниже: </w:t>
      </w:r>
    </w:p>
    <w:p w14:paraId="29BDEA0B" w14:textId="77777777" w:rsidR="002703FF" w:rsidRDefault="002703FF" w:rsidP="003C4B14">
      <w:pPr>
        <w:shd w:val="clear" w:color="auto" w:fill="FFFFFF"/>
        <w:tabs>
          <w:tab w:val="clear" w:pos="567"/>
        </w:tabs>
        <w:spacing w:after="120"/>
        <w:ind w:left="1400" w:hanging="691"/>
        <w:jc w:val="both"/>
      </w:pPr>
      <w:r>
        <w:rPr>
          <w:lang w:val="ru"/>
        </w:rPr>
        <w:t>(i)</w:t>
      </w:r>
      <w:r>
        <w:rPr>
          <w:lang w:val="ru"/>
        </w:rPr>
        <w:tab/>
        <w:t>Краткий перечень областей, имеющих наивысший приоритет, во всем мире и в каждом регионе на основании выводов Этапа 1 процесса консультаций и с учетом обсуждения на 33-ей сессии Ассамблеи МОК (июнь 2025 г.).</w:t>
      </w:r>
    </w:p>
    <w:p w14:paraId="75C8788B" w14:textId="77777777" w:rsidR="002703FF" w:rsidRDefault="002703FF" w:rsidP="003C4B14">
      <w:pPr>
        <w:shd w:val="clear" w:color="auto" w:fill="FFFFFF"/>
        <w:tabs>
          <w:tab w:val="clear" w:pos="567"/>
        </w:tabs>
        <w:spacing w:after="120"/>
        <w:ind w:left="1400" w:hanging="691"/>
        <w:jc w:val="both"/>
      </w:pPr>
      <w:r>
        <w:rPr>
          <w:lang w:val="ru"/>
        </w:rPr>
        <w:t>(ii)</w:t>
      </w:r>
      <w:r>
        <w:rPr>
          <w:lang w:val="ru"/>
        </w:rPr>
        <w:tab/>
        <w:t>Картирование ключевых провайдеров «услуг» в каждой из этих областей на международном и региональном уровне.</w:t>
      </w:r>
    </w:p>
    <w:p w14:paraId="26C55074" w14:textId="77777777" w:rsidR="002703FF" w:rsidRDefault="002703FF" w:rsidP="003C4B14">
      <w:pPr>
        <w:shd w:val="clear" w:color="auto" w:fill="FFFFFF"/>
        <w:tabs>
          <w:tab w:val="clear" w:pos="567"/>
        </w:tabs>
        <w:spacing w:after="120"/>
        <w:ind w:left="1400" w:hanging="691"/>
        <w:jc w:val="both"/>
      </w:pPr>
      <w:r>
        <w:rPr>
          <w:lang w:val="ru"/>
        </w:rPr>
        <w:lastRenderedPageBreak/>
        <w:t>(iii)</w:t>
      </w:r>
      <w:r>
        <w:rPr>
          <w:lang w:val="ru"/>
        </w:rPr>
        <w:tab/>
        <w:t xml:space="preserve">Широкий обзор существующих и потенциальных будущих взаимодействий МОК в каждой области для оценки соответствующего объема деятельности МОК и материальных возможностей для повышения результативности деятельности МОК. </w:t>
      </w:r>
    </w:p>
    <w:p w14:paraId="7AAC319A" w14:textId="77777777" w:rsidR="002703FF" w:rsidRDefault="002703FF" w:rsidP="003C4B14">
      <w:pPr>
        <w:shd w:val="clear" w:color="auto" w:fill="FFFFFF"/>
        <w:tabs>
          <w:tab w:val="clear" w:pos="567"/>
        </w:tabs>
        <w:spacing w:after="120"/>
        <w:ind w:left="1400" w:hanging="691"/>
        <w:jc w:val="both"/>
      </w:pPr>
      <w:r>
        <w:rPr>
          <w:lang w:val="ru"/>
        </w:rPr>
        <w:t>(iv)</w:t>
      </w:r>
      <w:r>
        <w:rPr>
          <w:lang w:val="ru"/>
        </w:rPr>
        <w:tab/>
        <w:t>Обзор стратегического направления и планов ключевых партнерских организаций, являющихся поставщиками услуг в каждой области, включая учреждения системы ООН и частный сектор, путем структурного диалога с учреждениями системы ООН и других соответствующих целенаправленных диалогов.</w:t>
      </w:r>
    </w:p>
    <w:p w14:paraId="3AF7DB61" w14:textId="77777777" w:rsidR="002703FF" w:rsidRDefault="002703FF" w:rsidP="003C4B14">
      <w:pPr>
        <w:shd w:val="clear" w:color="auto" w:fill="FFFFFF"/>
        <w:tabs>
          <w:tab w:val="clear" w:pos="567"/>
        </w:tabs>
        <w:spacing w:after="120"/>
        <w:ind w:left="1400" w:hanging="691"/>
        <w:jc w:val="both"/>
      </w:pPr>
      <w:r>
        <w:rPr>
          <w:lang w:val="ru"/>
        </w:rPr>
        <w:t>(v)</w:t>
      </w:r>
      <w:r>
        <w:rPr>
          <w:lang w:val="ru"/>
        </w:rPr>
        <w:tab/>
        <w:t xml:space="preserve">Подробный анализ вариантов и сценариев для ниши добавочной ценности МОК в отношении приоритетной области в настоящий момент и в будущем, а также рассмотрение областей, в которых МОК могла бы играть ведущую роль, и областей, в которых партнерства могли бы принести более высокие результаты. </w:t>
      </w:r>
    </w:p>
    <w:p w14:paraId="51A7EA95" w14:textId="77777777" w:rsidR="002703FF" w:rsidRDefault="002703FF" w:rsidP="003C4B14">
      <w:pPr>
        <w:shd w:val="clear" w:color="auto" w:fill="FFFFFF"/>
        <w:tabs>
          <w:tab w:val="clear" w:pos="567"/>
        </w:tabs>
        <w:spacing w:after="240"/>
        <w:ind w:left="1400" w:hanging="691"/>
        <w:jc w:val="both"/>
      </w:pPr>
      <w:r>
        <w:rPr>
          <w:lang w:val="ru"/>
        </w:rPr>
        <w:t>(vi)</w:t>
      </w:r>
      <w:r>
        <w:rPr>
          <w:lang w:val="ru"/>
        </w:rPr>
        <w:tab/>
        <w:t>Тематические исследования небольшого числа регионов и государств-членов для получения информации о том, как можно использовать будущую нишу добавочной ценности МОК посредством разработки стратегических вариантов и сценариев, включая потребности в ресурсах, партнерствах и координации.</w:t>
      </w:r>
    </w:p>
    <w:p w14:paraId="5DD50582" w14:textId="77777777" w:rsidR="002703FF" w:rsidRDefault="002703FF" w:rsidP="002703FF">
      <w:pPr>
        <w:numPr>
          <w:ilvl w:val="0"/>
          <w:numId w:val="1"/>
        </w:numPr>
        <w:shd w:val="clear" w:color="auto" w:fill="FFFFFF"/>
        <w:tabs>
          <w:tab w:val="clear" w:pos="567"/>
          <w:tab w:val="left" w:pos="709"/>
        </w:tabs>
        <w:spacing w:after="240"/>
        <w:jc w:val="both"/>
      </w:pPr>
      <w:r>
        <w:rPr>
          <w:lang w:val="ru"/>
        </w:rPr>
        <w:t xml:space="preserve">Предлагается реализовать этот процесс в консультации с МФКГ, как это было в сделано на Этапе 1 консультаций, и включить в него консультации с государствами-членами и внешними партнерами с более сильным акцентом на консультации, проводимые государствами-членами на региональном и национальном уровнях при поддержке Секретариата. Результаты Этапа 2 будут представлены на 59-й сессии Исполнительного совета МОК в июне 2026 года. </w:t>
      </w:r>
    </w:p>
    <w:p w14:paraId="0AFDA6EA" w14:textId="77777777" w:rsidR="002703FF" w:rsidRPr="002703FF" w:rsidRDefault="002703FF" w:rsidP="002703FF">
      <w:pPr>
        <w:shd w:val="clear" w:color="auto" w:fill="FFFFFF"/>
        <w:tabs>
          <w:tab w:val="clear" w:pos="567"/>
          <w:tab w:val="left" w:pos="709"/>
        </w:tabs>
        <w:spacing w:after="240"/>
        <w:jc w:val="both"/>
      </w:pPr>
    </w:p>
    <w:sectPr w:rsidR="002703FF" w:rsidRPr="002703FF">
      <w:headerReference w:type="even" r:id="rId13"/>
      <w:headerReference w:type="default" r:id="rId14"/>
      <w:headerReference w:type="first" r:id="rId15"/>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1878" w14:textId="77777777" w:rsidR="000F73A3" w:rsidRDefault="000F73A3">
      <w:r>
        <w:separator/>
      </w:r>
    </w:p>
  </w:endnote>
  <w:endnote w:type="continuationSeparator" w:id="0">
    <w:p w14:paraId="5B578095" w14:textId="77777777" w:rsidR="000F73A3" w:rsidRDefault="000F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DDC7" w14:textId="77777777" w:rsidR="000F73A3" w:rsidRDefault="000F73A3">
      <w:r>
        <w:separator/>
      </w:r>
    </w:p>
  </w:footnote>
  <w:footnote w:type="continuationSeparator" w:id="0">
    <w:p w14:paraId="0BEBBD64" w14:textId="77777777" w:rsidR="000F73A3" w:rsidRDefault="000F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1BBF" w14:textId="273B19A1" w:rsidR="00E33134" w:rsidRPr="007D71D1" w:rsidRDefault="000F73A3">
    <w:pPr>
      <w:pBdr>
        <w:top w:val="nil"/>
        <w:left w:val="nil"/>
        <w:bottom w:val="nil"/>
        <w:right w:val="nil"/>
        <w:between w:val="nil"/>
      </w:pBdr>
      <w:tabs>
        <w:tab w:val="center" w:pos="4153"/>
        <w:tab w:val="right" w:pos="8306"/>
      </w:tabs>
      <w:rPr>
        <w:color w:val="000000"/>
      </w:rPr>
    </w:pPr>
    <w:r>
      <w:rPr>
        <w:color w:val="000000"/>
        <w:lang w:val="ru"/>
      </w:rPr>
      <w:t>IOC/A-33/5.3.Doc(1)</w:t>
    </w:r>
  </w:p>
  <w:p w14:paraId="43894FDE" w14:textId="6AC80959" w:rsidR="00E33134" w:rsidRPr="007D71D1" w:rsidRDefault="000F73A3">
    <w:pPr>
      <w:pBdr>
        <w:top w:val="nil"/>
        <w:left w:val="nil"/>
        <w:bottom w:val="nil"/>
        <w:right w:val="nil"/>
        <w:between w:val="nil"/>
      </w:pBdr>
      <w:tabs>
        <w:tab w:val="center" w:pos="4153"/>
        <w:tab w:val="right" w:pos="8306"/>
      </w:tabs>
      <w:rPr>
        <w:color w:val="000000"/>
      </w:rPr>
    </w:pPr>
    <w:r>
      <w:rPr>
        <w:color w:val="000000"/>
        <w:lang w:val="ru"/>
      </w:rPr>
      <w:t>страница </w:t>
    </w:r>
    <w:r>
      <w:rPr>
        <w:color w:val="000000"/>
        <w:lang w:val="ru"/>
      </w:rPr>
      <w:fldChar w:fldCharType="begin"/>
    </w:r>
    <w:r>
      <w:rPr>
        <w:color w:val="000000"/>
        <w:lang w:val="ru"/>
      </w:rPr>
      <w:instrText>PAGE</w:instrText>
    </w:r>
    <w:r>
      <w:rPr>
        <w:color w:val="000000"/>
        <w:lang w:val="ru"/>
      </w:rPr>
      <w:fldChar w:fldCharType="separate"/>
    </w:r>
    <w:r>
      <w:rPr>
        <w:noProof/>
        <w:color w:val="000000"/>
        <w:lang w:val="ru"/>
      </w:rPr>
      <w:t>2</w:t>
    </w:r>
    <w:r>
      <w:rPr>
        <w:color w:val="000000"/>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543" w14:textId="0A6B8465" w:rsidR="00E33134" w:rsidRPr="003E25FF" w:rsidRDefault="000F73A3" w:rsidP="00176CF5">
    <w:pPr>
      <w:pBdr>
        <w:top w:val="nil"/>
        <w:left w:val="nil"/>
        <w:bottom w:val="nil"/>
        <w:right w:val="nil"/>
        <w:between w:val="nil"/>
      </w:pBdr>
      <w:tabs>
        <w:tab w:val="center" w:pos="4153"/>
        <w:tab w:val="right" w:pos="8306"/>
      </w:tabs>
      <w:ind w:left="7655"/>
      <w:rPr>
        <w:color w:val="000000"/>
      </w:rPr>
    </w:pPr>
    <w:r>
      <w:rPr>
        <w:color w:val="000000"/>
        <w:sz w:val="20"/>
        <w:szCs w:val="20"/>
        <w:lang w:val="ru"/>
      </w:rPr>
      <w:t>IOC/A-33/5.3.Doc(1)</w:t>
    </w:r>
  </w:p>
  <w:p w14:paraId="787EE969" w14:textId="171B99E4" w:rsidR="00E33134" w:rsidRPr="003E25FF" w:rsidRDefault="000F73A3" w:rsidP="00176CF5">
    <w:pPr>
      <w:pBdr>
        <w:top w:val="nil"/>
        <w:left w:val="nil"/>
        <w:bottom w:val="nil"/>
        <w:right w:val="nil"/>
        <w:between w:val="nil"/>
      </w:pBdr>
      <w:tabs>
        <w:tab w:val="center" w:pos="4153"/>
        <w:tab w:val="right" w:pos="8306"/>
      </w:tabs>
      <w:ind w:left="7655"/>
      <w:rPr>
        <w:color w:val="000000"/>
      </w:rPr>
    </w:pPr>
    <w:r>
      <w:rPr>
        <w:color w:val="000000"/>
        <w:lang w:val="ru"/>
      </w:rPr>
      <w:t>страница </w:t>
    </w:r>
    <w:r>
      <w:rPr>
        <w:color w:val="000000"/>
        <w:lang w:val="ru"/>
      </w:rPr>
      <w:fldChar w:fldCharType="begin"/>
    </w:r>
    <w:r>
      <w:rPr>
        <w:color w:val="000000"/>
        <w:lang w:val="ru"/>
      </w:rPr>
      <w:instrText>PAGE</w:instrText>
    </w:r>
    <w:r>
      <w:rPr>
        <w:color w:val="000000"/>
        <w:lang w:val="ru"/>
      </w:rPr>
      <w:fldChar w:fldCharType="separate"/>
    </w:r>
    <w:r>
      <w:rPr>
        <w:noProof/>
        <w:color w:val="000000"/>
        <w:lang w:val="ru"/>
      </w:rPr>
      <w:t>3</w:t>
    </w:r>
    <w:r>
      <w:rPr>
        <w:color w:val="000000"/>
        <w:lang w:val="ru"/>
      </w:rPr>
      <w:fldChar w:fldCharType="end"/>
    </w:r>
  </w:p>
  <w:p w14:paraId="37CD6BB0" w14:textId="77777777" w:rsidR="00E33134" w:rsidRPr="003E25FF" w:rsidRDefault="00E33134" w:rsidP="00176CF5">
    <w:pPr>
      <w:pBdr>
        <w:top w:val="nil"/>
        <w:left w:val="nil"/>
        <w:bottom w:val="nil"/>
        <w:right w:val="nil"/>
        <w:between w:val="nil"/>
      </w:pBdr>
      <w:tabs>
        <w:tab w:val="center" w:pos="4153"/>
        <w:tab w:val="right" w:pos="8306"/>
      </w:tabs>
      <w:ind w:left="7655"/>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1EEB" w14:textId="6FFE5F12" w:rsidR="00125497" w:rsidRDefault="00125497" w:rsidP="00125497">
    <w:pPr>
      <w:pBdr>
        <w:top w:val="nil"/>
        <w:left w:val="nil"/>
        <w:bottom w:val="nil"/>
        <w:right w:val="nil"/>
        <w:between w:val="nil"/>
      </w:pBdr>
      <w:tabs>
        <w:tab w:val="left" w:pos="5954"/>
        <w:tab w:val="left" w:pos="7560"/>
      </w:tabs>
      <w:jc w:val="both"/>
      <w:rPr>
        <w:b/>
        <w:color w:val="000000"/>
      </w:rPr>
    </w:pPr>
    <w:r>
      <w:rPr>
        <w:color w:val="000000"/>
        <w:lang w:val="ru"/>
      </w:rPr>
      <w:t>Рассылается по списку</w:t>
    </w:r>
    <w:r>
      <w:rPr>
        <w:color w:val="000000"/>
        <w:lang w:val="ru"/>
      </w:rPr>
      <w:tab/>
    </w:r>
    <w:r>
      <w:rPr>
        <w:b/>
        <w:bCs/>
        <w:color w:val="000000"/>
        <w:sz w:val="36"/>
        <w:szCs w:val="36"/>
        <w:lang w:val="ru"/>
      </w:rPr>
      <w:t xml:space="preserve">IOC/A-33/5.3.Doc(1) </w:t>
    </w:r>
  </w:p>
  <w:p w14:paraId="5486D5A4" w14:textId="65B74EE0" w:rsidR="00125497" w:rsidRDefault="00125497" w:rsidP="00125497">
    <w:pPr>
      <w:tabs>
        <w:tab w:val="left" w:pos="5954"/>
        <w:tab w:val="left" w:pos="7560"/>
      </w:tabs>
      <w:jc w:val="both"/>
    </w:pPr>
    <w:r>
      <w:rPr>
        <w:noProof/>
        <w:lang w:val="ru"/>
      </w:rPr>
      <w:drawing>
        <wp:anchor distT="0" distB="0" distL="114300" distR="114300" simplePos="0" relativeHeight="251659264" behindDoc="0" locked="0" layoutInCell="1" hidden="0" allowOverlap="1" wp14:anchorId="43A086A1" wp14:editId="0059A722">
          <wp:simplePos x="0" y="0"/>
          <wp:positionH relativeFrom="column">
            <wp:posOffset>-121408</wp:posOffset>
          </wp:positionH>
          <wp:positionV relativeFrom="paragraph">
            <wp:posOffset>101600</wp:posOffset>
          </wp:positionV>
          <wp:extent cx="1578610" cy="1047115"/>
          <wp:effectExtent l="0" t="0" r="0" b="0"/>
          <wp:wrapSquare wrapText="bothSides" distT="0" distB="0" distL="114300" distR="11430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lang w:val="ru"/>
      </w:rPr>
      <w:tab/>
      <w:t>Париж, 11 июня 2025 года</w:t>
    </w:r>
  </w:p>
  <w:p w14:paraId="53BEDE3A" w14:textId="77777777" w:rsidR="00125497" w:rsidRDefault="00125497" w:rsidP="00125497">
    <w:pPr>
      <w:tabs>
        <w:tab w:val="left" w:pos="5954"/>
        <w:tab w:val="left" w:pos="7560"/>
      </w:tabs>
      <w:jc w:val="both"/>
    </w:pPr>
    <w:r>
      <w:rPr>
        <w:lang w:val="ru"/>
      </w:rPr>
      <w:tab/>
      <w:t>Язык оригинала: английский</w:t>
    </w:r>
  </w:p>
  <w:p w14:paraId="5C603541"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71E7E4D0"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6841F67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59963FC"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289DA732"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323EB2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5401F82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b/>
      </w:rPr>
    </w:pPr>
    <w:r>
      <w:rPr>
        <w:b/>
        <w:bCs/>
        <w:lang w:val="ru"/>
      </w:rPr>
      <w:t>МЕЖПРАВИТЕЛЬСТВЕННАЯ ОКЕАНОГРАФИЧЕСКАЯ КОМИССИЯ</w:t>
    </w:r>
  </w:p>
  <w:p w14:paraId="6A9A1C6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pPr>
    <w:r>
      <w:rPr>
        <w:lang w:val="ru"/>
      </w:rPr>
      <w:t>(ЮНЕСКО)</w:t>
    </w:r>
  </w:p>
  <w:p w14:paraId="35417224"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2AC4A22D"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bCs/>
        <w:lang w:val="ru"/>
      </w:rPr>
      <w:t>Тридцать третья сессия Ассамблеи</w:t>
    </w:r>
  </w:p>
  <w:p w14:paraId="548E5CAE"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rPr>
        <w:lang w:val="ru"/>
      </w:rPr>
      <w:t>ЮНЕСКО, 25 июня – 3 июля 2025 г.</w:t>
    </w:r>
  </w:p>
  <w:p w14:paraId="74867239" w14:textId="77777777" w:rsidR="00125497" w:rsidRDefault="00125497" w:rsidP="00125497">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64D8EDF0" w14:textId="77777777" w:rsidR="00125497" w:rsidRDefault="00125497" w:rsidP="00125497">
    <w:pPr>
      <w:jc w:val="center"/>
    </w:pPr>
  </w:p>
  <w:p w14:paraId="712D0C7E" w14:textId="77777777" w:rsidR="00125497" w:rsidRDefault="00125497" w:rsidP="00125497">
    <w:pPr>
      <w:jc w:val="center"/>
    </w:pPr>
  </w:p>
  <w:p w14:paraId="684524B9" w14:textId="77777777" w:rsidR="00125497" w:rsidRDefault="00125497" w:rsidP="00125497">
    <w:pPr>
      <w:jc w:val="center"/>
    </w:pPr>
  </w:p>
  <w:p w14:paraId="3F9EBD3A" w14:textId="77777777" w:rsidR="00125497" w:rsidRDefault="00125497" w:rsidP="00125497">
    <w:pPr>
      <w:jc w:val="center"/>
    </w:pPr>
  </w:p>
  <w:p w14:paraId="47CE22C0" w14:textId="77777777" w:rsidR="00125497" w:rsidRDefault="00125497" w:rsidP="00125497">
    <w:pPr>
      <w:jc w:val="center"/>
    </w:pPr>
  </w:p>
  <w:p w14:paraId="4A1800EF" w14:textId="06EF439F" w:rsidR="00125497" w:rsidRPr="006D6337" w:rsidRDefault="00125497" w:rsidP="00125497">
    <w:pPr>
      <w:keepNext/>
      <w:pBdr>
        <w:top w:val="nil"/>
        <w:left w:val="nil"/>
        <w:bottom w:val="nil"/>
        <w:right w:val="nil"/>
        <w:between w:val="nil"/>
      </w:pBdr>
      <w:tabs>
        <w:tab w:val="right" w:pos="9540"/>
      </w:tabs>
      <w:rPr>
        <w:bCs/>
        <w:color w:val="000000"/>
        <w:u w:val="single"/>
      </w:rPr>
    </w:pPr>
    <w:r>
      <w:rPr>
        <w:color w:val="000000"/>
        <w:sz w:val="24"/>
        <w:szCs w:val="24"/>
        <w:u w:val="single"/>
        <w:lang w:val="ru"/>
      </w:rPr>
      <w:t xml:space="preserve">Пункт </w:t>
    </w:r>
    <w:r>
      <w:rPr>
        <w:b/>
        <w:bCs/>
        <w:color w:val="000000"/>
        <w:sz w:val="24"/>
        <w:szCs w:val="24"/>
        <w:u w:val="single"/>
        <w:lang w:val="ru"/>
      </w:rPr>
      <w:t>5.3</w:t>
    </w:r>
    <w:r>
      <w:rPr>
        <w:color w:val="000000"/>
        <w:sz w:val="24"/>
        <w:szCs w:val="24"/>
        <w:u w:val="single"/>
        <w:lang w:val="ru"/>
      </w:rPr>
      <w:t xml:space="preserve"> предварительной повестки дня</w:t>
    </w:r>
  </w:p>
  <w:p w14:paraId="15E89ADB" w14:textId="77777777" w:rsidR="00125497" w:rsidRDefault="00125497" w:rsidP="00125497"/>
  <w:p w14:paraId="178988B8" w14:textId="77777777" w:rsidR="00125497" w:rsidRDefault="00125497" w:rsidP="00125497"/>
  <w:p w14:paraId="7144BD90" w14:textId="0522874A" w:rsidR="00176CF5" w:rsidRDefault="00B84BC3" w:rsidP="00125497">
    <w:pPr>
      <w:pBdr>
        <w:top w:val="nil"/>
        <w:left w:val="nil"/>
        <w:bottom w:val="nil"/>
        <w:right w:val="nil"/>
        <w:between w:val="nil"/>
      </w:pBdr>
      <w:tabs>
        <w:tab w:val="center" w:pos="4153"/>
        <w:tab w:val="right" w:pos="8306"/>
      </w:tabs>
      <w:spacing w:after="480"/>
      <w:jc w:val="center"/>
      <w:rPr>
        <w:b/>
        <w:smallCaps/>
        <w:color w:val="000000"/>
        <w:sz w:val="24"/>
        <w:szCs w:val="24"/>
      </w:rPr>
    </w:pPr>
    <w:r>
      <w:rPr>
        <w:b/>
        <w:bCs/>
        <w:smallCaps/>
        <w:color w:val="000000"/>
        <w:sz w:val="24"/>
        <w:szCs w:val="24"/>
        <w:lang w:val="ru"/>
      </w:rPr>
      <w:t xml:space="preserve">МОК И БУДУЩЕЕ ОКЕАНА. ПРОЦЕСС КОНСУЛЬТАЦИЙ: </w:t>
    </w:r>
    <w:r>
      <w:rPr>
        <w:smallCaps/>
        <w:color w:val="000000"/>
        <w:sz w:val="24"/>
        <w:szCs w:val="24"/>
        <w:lang w:val="ru"/>
      </w:rPr>
      <w:br/>
    </w:r>
    <w:r>
      <w:rPr>
        <w:b/>
        <w:bCs/>
        <w:smallCaps/>
        <w:color w:val="000000"/>
        <w:sz w:val="24"/>
        <w:szCs w:val="24"/>
        <w:lang w:val="ru"/>
      </w:rPr>
      <w:t>РЕЗЮМЕ ЭТАПА 1</w:t>
    </w:r>
  </w:p>
  <w:p w14:paraId="1753A58A" w14:textId="30496518" w:rsidR="00E33134" w:rsidRPr="00125497" w:rsidRDefault="00E33134" w:rsidP="00125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516"/>
    <w:multiLevelType w:val="hybridMultilevel"/>
    <w:tmpl w:val="6AE41692"/>
    <w:lvl w:ilvl="0" w:tplc="2E46970C">
      <w:start w:val="29"/>
      <w:numFmt w:val="lowerLetter"/>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B755B3"/>
    <w:multiLevelType w:val="hybridMultilevel"/>
    <w:tmpl w:val="9B824E52"/>
    <w:lvl w:ilvl="0" w:tplc="40BE36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5E52D74"/>
    <w:multiLevelType w:val="hybridMultilevel"/>
    <w:tmpl w:val="00E47264"/>
    <w:lvl w:ilvl="0" w:tplc="BBE01D4A">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FAC4E7A"/>
    <w:multiLevelType w:val="multilevel"/>
    <w:tmpl w:val="DA46525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0606380">
    <w:abstractNumId w:val="3"/>
  </w:num>
  <w:num w:numId="2" w16cid:durableId="905140358">
    <w:abstractNumId w:val="0"/>
  </w:num>
  <w:num w:numId="3" w16cid:durableId="716396934">
    <w:abstractNumId w:val="1"/>
  </w:num>
  <w:num w:numId="4" w16cid:durableId="175772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34"/>
    <w:rsid w:val="000F73A3"/>
    <w:rsid w:val="00125497"/>
    <w:rsid w:val="00176CF5"/>
    <w:rsid w:val="002703FF"/>
    <w:rsid w:val="002A41A7"/>
    <w:rsid w:val="00336E32"/>
    <w:rsid w:val="003C4B14"/>
    <w:rsid w:val="003E25FF"/>
    <w:rsid w:val="00545B24"/>
    <w:rsid w:val="006D6337"/>
    <w:rsid w:val="007A7F71"/>
    <w:rsid w:val="007D71D1"/>
    <w:rsid w:val="00A612C5"/>
    <w:rsid w:val="00B84BC3"/>
    <w:rsid w:val="00D36026"/>
    <w:rsid w:val="00E33134"/>
    <w:rsid w:val="00E552A3"/>
    <w:rsid w:val="00E7249D"/>
    <w:rsid w:val="00FF67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0542D3"/>
  <w15:docId w15:val="{F6C66586-F249-4B60-BBA5-8A6556BE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D6337"/>
    <w:pPr>
      <w:ind w:left="720"/>
      <w:contextualSpacing/>
    </w:pPr>
  </w:style>
  <w:style w:type="paragraph" w:styleId="Footer">
    <w:name w:val="footer"/>
    <w:basedOn w:val="Normal"/>
    <w:link w:val="FooterChar"/>
    <w:uiPriority w:val="99"/>
    <w:unhideWhenUsed/>
    <w:rsid w:val="006D6337"/>
    <w:pPr>
      <w:tabs>
        <w:tab w:val="clear" w:pos="567"/>
        <w:tab w:val="center" w:pos="4536"/>
        <w:tab w:val="right" w:pos="9072"/>
      </w:tabs>
    </w:pPr>
  </w:style>
  <w:style w:type="character" w:customStyle="1" w:styleId="FooterChar">
    <w:name w:val="Footer Char"/>
    <w:basedOn w:val="DefaultParagraphFont"/>
    <w:link w:val="Footer"/>
    <w:uiPriority w:val="99"/>
    <w:rsid w:val="006D6337"/>
  </w:style>
  <w:style w:type="character" w:styleId="Hyperlink">
    <w:name w:val="Hyperlink"/>
    <w:basedOn w:val="DefaultParagraphFont"/>
    <w:uiPriority w:val="99"/>
    <w:unhideWhenUsed/>
    <w:rsid w:val="00125497"/>
    <w:rPr>
      <w:color w:val="0000FF" w:themeColor="hyperlink"/>
      <w:u w:val="single"/>
    </w:rPr>
  </w:style>
  <w:style w:type="character" w:styleId="UnresolvedMention">
    <w:name w:val="Unresolved Mention"/>
    <w:basedOn w:val="DefaultParagraphFont"/>
    <w:uiPriority w:val="99"/>
    <w:semiHidden/>
    <w:unhideWhenUsed/>
    <w:rsid w:val="00125497"/>
    <w:rPr>
      <w:color w:val="605E5C"/>
      <w:shd w:val="clear" w:color="auto" w:fill="E1DFDD"/>
    </w:rPr>
  </w:style>
  <w:style w:type="character" w:styleId="FollowedHyperlink">
    <w:name w:val="FollowedHyperlink"/>
    <w:basedOn w:val="DefaultParagraphFont"/>
    <w:uiPriority w:val="99"/>
    <w:semiHidden/>
    <w:unhideWhenUsed/>
    <w:rsid w:val="00125497"/>
    <w:rPr>
      <w:color w:val="800080" w:themeColor="followedHyperlink"/>
      <w:u w:val="single"/>
    </w:rPr>
  </w:style>
  <w:style w:type="paragraph" w:styleId="Header">
    <w:name w:val="header"/>
    <w:basedOn w:val="Normal"/>
    <w:link w:val="HeaderChar"/>
    <w:uiPriority w:val="99"/>
    <w:semiHidden/>
    <w:unhideWhenUsed/>
    <w:rsid w:val="00125497"/>
    <w:pPr>
      <w:tabs>
        <w:tab w:val="clear" w:pos="567"/>
        <w:tab w:val="center" w:pos="4536"/>
        <w:tab w:val="right" w:pos="9072"/>
      </w:tabs>
    </w:pPr>
  </w:style>
  <w:style w:type="character" w:customStyle="1" w:styleId="HeaderChar">
    <w:name w:val="Header Char"/>
    <w:basedOn w:val="DefaultParagraphFont"/>
    <w:link w:val="Header"/>
    <w:uiPriority w:val="99"/>
    <w:semiHidden/>
    <w:rsid w:val="0012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eanexpert.org/document/3627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esdoc.unesco.org/ark:/48223/pf0000390822.locale=en" TargetMode="External"/><Relationship Id="rId12" Type="http://schemas.openxmlformats.org/officeDocument/2006/relationships/hyperlink" Target="https://unesdoc.unesco.org/ark:/48223/pf0000390822.locale=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35893"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unesdoc.unesco.org/ark:/48223/pf0000390822.locale=en" TargetMode="External"/><Relationship Id="rId4" Type="http://schemas.openxmlformats.org/officeDocument/2006/relationships/webSettings" Target="webSettings.xml"/><Relationship Id="rId9" Type="http://schemas.openxmlformats.org/officeDocument/2006/relationships/hyperlink" Target="https://www.oceanexpert.org/document/35988"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5121</Words>
  <Characters>28170</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2</cp:revision>
  <dcterms:created xsi:type="dcterms:W3CDTF">2025-06-16T18:22:00Z</dcterms:created>
  <dcterms:modified xsi:type="dcterms:W3CDTF">2025-06-16T18:22:00Z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