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94D8"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2"/>
      </w:tblGrid>
      <w:tr w:rsidR="00B83068" w:rsidRPr="000645E4" w14:paraId="6E70F37C" w14:textId="77777777" w:rsidTr="00AA2CD5">
        <w:trPr>
          <w:jc w:val="center"/>
        </w:trPr>
        <w:tc>
          <w:tcPr>
            <w:tcW w:w="7792" w:type="dxa"/>
            <w:tcMar>
              <w:top w:w="170" w:type="dxa"/>
              <w:left w:w="170" w:type="dxa"/>
              <w:bottom w:w="170" w:type="dxa"/>
              <w:right w:w="170" w:type="dxa"/>
            </w:tcMar>
          </w:tcPr>
          <w:p w14:paraId="73D9152E" w14:textId="77777777" w:rsidR="00467E3F" w:rsidRPr="000645E4" w:rsidRDefault="00B83068" w:rsidP="00853565">
            <w:pPr>
              <w:pStyle w:val="Marge"/>
              <w:jc w:val="center"/>
              <w:rPr>
                <w:rFonts w:cs="Arial"/>
                <w:szCs w:val="22"/>
                <w:lang w:val="fr-FR"/>
              </w:rPr>
            </w:pPr>
            <w:r>
              <w:rPr>
                <w:rFonts w:cs="Arial"/>
                <w:szCs w:val="22"/>
                <w:u w:val="single"/>
                <w:lang w:val="es"/>
              </w:rPr>
              <w:t>Resumen</w:t>
            </w:r>
          </w:p>
          <w:p w14:paraId="7F57F480" w14:textId="0302336C" w:rsidR="00AC32C8" w:rsidRPr="000645E4" w:rsidRDefault="00AC32C8" w:rsidP="00602A67">
            <w:pPr>
              <w:pStyle w:val="Marge"/>
              <w:spacing w:after="200"/>
              <w:rPr>
                <w:rFonts w:cs="Arial"/>
                <w:lang w:val="fr-FR"/>
              </w:rPr>
            </w:pPr>
            <w:r>
              <w:rPr>
                <w:rFonts w:cs="Arial"/>
                <w:lang w:val="es"/>
              </w:rPr>
              <w:t>Mediante la Decisión A-31/3.5.4 (2021) se creó un Grupo de Expertos de la COI sobre Alfabetización Oceánica por un periodo de cuatro años. Este debía informar a los Estados Miembros de la COI sobre sus actividades en la 33ª reunión de la Asamblea. También hizo suyo el Plan de Acción de la COI sobre Alfabetización Oceánica 2018-2021 (</w:t>
            </w:r>
            <w:hyperlink r:id="rId8" w:history="1">
              <w:r>
                <w:rPr>
                  <w:rStyle w:val="Hyperlink"/>
                  <w:rFonts w:cs="Arial"/>
                  <w:lang w:val="es"/>
                </w:rPr>
                <w:t>IOC/A-31/3.5.4.Doc</w:t>
              </w:r>
            </w:hyperlink>
            <w:r>
              <w:rPr>
                <w:rFonts w:cs="Arial"/>
                <w:lang w:val="es"/>
              </w:rPr>
              <w:t>) como documento de orientación para la labor del Grupo de Expertos durante el cuatrienio. Un anexo a este documento con la explicación detallada de las prioridades para la Alfabetización Oceánica complementa este documento (solo en inglés).</w:t>
            </w:r>
          </w:p>
          <w:p w14:paraId="5B3F6C6A" w14:textId="33ACD2ED" w:rsidR="00515584" w:rsidRPr="000645E4" w:rsidRDefault="00AC32C8" w:rsidP="00602A67">
            <w:pPr>
              <w:pStyle w:val="Marge"/>
              <w:spacing w:after="200"/>
              <w:rPr>
                <w:rFonts w:cs="Arial"/>
                <w:szCs w:val="22"/>
                <w:lang w:val="fr-FR"/>
              </w:rPr>
            </w:pPr>
            <w:r>
              <w:rPr>
                <w:rFonts w:cs="Arial"/>
                <w:lang w:val="es"/>
              </w:rPr>
              <w:t xml:space="preserve">El presente documento, preparado por el Grupo de Expertos, contiene un proyecto de Plan de Acción actualizado de la COI sobre Alfabetización Oceánica para 2026-2030, que se somete a la consideración de la Asamblea con miras a su aprobación definitiva por el Consejo Ejecutivo de la COI en 2026. </w:t>
            </w:r>
          </w:p>
          <w:p w14:paraId="1082367C" w14:textId="164080C5" w:rsidR="00515584" w:rsidRPr="000645E4" w:rsidRDefault="00515584" w:rsidP="00C008B0">
            <w:pPr>
              <w:pStyle w:val="Marge"/>
              <w:rPr>
                <w:rFonts w:cs="Arial"/>
                <w:szCs w:val="22"/>
                <w:lang w:val="fr-FR"/>
              </w:rPr>
            </w:pPr>
            <w:r>
              <w:rPr>
                <w:rFonts w:cs="Arial"/>
                <w:u w:val="single"/>
                <w:lang w:val="es"/>
              </w:rPr>
              <w:t>La(s) decisión(es) propuesta(s)</w:t>
            </w:r>
            <w:r>
              <w:rPr>
                <w:rFonts w:cs="Arial"/>
                <w:lang w:val="es"/>
              </w:rPr>
              <w:t xml:space="preserve"> figura(n) con la referencia </w:t>
            </w:r>
            <w:r>
              <w:rPr>
                <w:rFonts w:cs="Arial"/>
                <w:color w:val="000000"/>
                <w:lang w:val="es"/>
              </w:rPr>
              <w:t>A-33/Dec.4.4</w:t>
            </w:r>
            <w:r>
              <w:rPr>
                <w:rFonts w:cs="Arial"/>
                <w:b/>
                <w:bCs/>
                <w:color w:val="000000"/>
                <w:lang w:val="es"/>
              </w:rPr>
              <w:t xml:space="preserve"> </w:t>
            </w:r>
            <w:r>
              <w:rPr>
                <w:rFonts w:cs="Arial"/>
                <w:lang w:val="es"/>
              </w:rPr>
              <w:t>en el Documento de Decisión Provisional (</w:t>
            </w:r>
            <w:hyperlink r:id="rId9" w:history="1">
              <w:r>
                <w:rPr>
                  <w:rStyle w:val="Hyperlink"/>
                  <w:rFonts w:cs="Arial"/>
                  <w:lang w:val="es"/>
                </w:rPr>
                <w:t>COI/A-33/AP</w:t>
              </w:r>
            </w:hyperlink>
            <w:r>
              <w:rPr>
                <w:rFonts w:cs="Arial"/>
                <w:lang w:val="es"/>
              </w:rPr>
              <w:t>) de la</w:t>
            </w:r>
            <w:r>
              <w:rPr>
                <w:rFonts w:cs="Arial"/>
                <w:szCs w:val="22"/>
                <w:lang w:val="es"/>
              </w:rPr>
              <w:t xml:space="preserve"> 33</w:t>
            </w:r>
            <w:r>
              <w:rPr>
                <w:rFonts w:cs="Arial"/>
                <w:szCs w:val="22"/>
                <w:vertAlign w:val="superscript"/>
                <w:lang w:val="es"/>
              </w:rPr>
              <w:t>ª</w:t>
            </w:r>
            <w:r>
              <w:rPr>
                <w:rFonts w:cs="Arial"/>
                <w:szCs w:val="22"/>
                <w:lang w:val="es"/>
              </w:rPr>
              <w:t xml:space="preserve"> reunión</w:t>
            </w:r>
            <w:r>
              <w:rPr>
                <w:rFonts w:cs="Arial"/>
                <w:lang w:val="es"/>
              </w:rPr>
              <w:t xml:space="preserve"> de la Asamblea de la COI.</w:t>
            </w:r>
          </w:p>
        </w:tc>
      </w:tr>
    </w:tbl>
    <w:p w14:paraId="7E39BDFA" w14:textId="2724C787" w:rsidR="00746B89" w:rsidRPr="000645E4" w:rsidRDefault="00746B89" w:rsidP="005C7A36">
      <w:pPr>
        <w:pStyle w:val="Heading3"/>
        <w:rPr>
          <w:lang w:val="fr-FR"/>
        </w:rPr>
        <w:sectPr w:rsidR="00746B89" w:rsidRPr="000645E4"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5EFCB24C" w14:textId="6158721D" w:rsidR="000B7E2A" w:rsidRPr="000645E4" w:rsidRDefault="009E48BD" w:rsidP="000B7E2A">
      <w:pPr>
        <w:keepNext/>
        <w:keepLines/>
        <w:widowControl w:val="0"/>
        <w:adjustRightInd w:val="0"/>
        <w:spacing w:after="240"/>
        <w:ind w:left="567" w:hanging="567"/>
        <w:jc w:val="both"/>
        <w:textAlignment w:val="baseline"/>
        <w:outlineLvl w:val="1"/>
        <w:rPr>
          <w:rFonts w:cs="Arial"/>
          <w:b/>
          <w:bCs/>
          <w:caps/>
          <w:color w:val="000000" w:themeColor="text1"/>
          <w:szCs w:val="22"/>
          <w:lang w:val="fr-FR"/>
        </w:rPr>
      </w:pPr>
      <w:r>
        <w:rPr>
          <w:rFonts w:cs="Arial"/>
          <w:b/>
          <w:bCs/>
          <w:color w:val="000000" w:themeColor="text1"/>
          <w:szCs w:val="22"/>
          <w:lang w:val="es"/>
        </w:rPr>
        <w:lastRenderedPageBreak/>
        <w:t>Introducción</w:t>
      </w:r>
    </w:p>
    <w:p w14:paraId="2FA8BA16" w14:textId="77777777" w:rsidR="009E48BD" w:rsidRPr="000645E4" w:rsidRDefault="009E48BD" w:rsidP="00BC7416">
      <w:pPr>
        <w:pBdr>
          <w:top w:val="nil"/>
          <w:left w:val="nil"/>
          <w:bottom w:val="nil"/>
          <w:right w:val="nil"/>
          <w:between w:val="nil"/>
        </w:pBdr>
        <w:tabs>
          <w:tab w:val="left" w:pos="709"/>
        </w:tabs>
        <w:spacing w:after="120"/>
        <w:jc w:val="center"/>
        <w:rPr>
          <w:color w:val="000000"/>
          <w:lang w:val="fr-FR"/>
        </w:rPr>
      </w:pPr>
      <w:r>
        <w:rPr>
          <w:i/>
          <w:iCs/>
          <w:lang w:val="es"/>
        </w:rPr>
        <w:t>"La alfabetización oceánica es la brújula que nos guía hacia un futuro sostenible. Nos capacita para comprender lo que está en juego, conectar los puntos y tomar medidas significativas"</w:t>
      </w:r>
    </w:p>
    <w:p w14:paraId="76F7A3AC" w14:textId="77777777" w:rsidR="009E48BD" w:rsidRDefault="009E48BD" w:rsidP="009E48BD">
      <w:pPr>
        <w:spacing w:after="240" w:line="276" w:lineRule="auto"/>
        <w:jc w:val="both"/>
      </w:pPr>
      <w:r>
        <w:rPr>
          <w:lang w:val="es"/>
        </w:rPr>
        <w:t>-Peter Thomson, Enviado Especial del Secretario General de la ONU para los Océanos</w:t>
      </w:r>
    </w:p>
    <w:p w14:paraId="0D699EB6" w14:textId="50961A35" w:rsidR="009E48BD"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El océano es fundamental para la vida en la Tierra, la estabilidad del clima, la biodiversidad y la prosperidad económica. Sin embargo, nuestro océano se enfrenta actualmente a múltiples amenazas, como el cambio climático, la pérdida de biodiversidad, la contaminación y la explotación insostenible de los recursos. Para hacer frente a estos retos se requiere una sólida comprensión científica, herramientas, productos y acciones de base científica para la toma de decisiones, junto con una amplia concienciación pública, el desarrollo de políticas informadas y un cambio de comportamiento integral. La alfabetización oceánica, cuando se aplica eficazmente, tiende un puente entre la ciencia de los océanos, la toma de decisiones y la comprensión social, permitiendo acciones basadas en el conocimiento para la sostenibilidad y la conservación de los océanos.</w:t>
      </w:r>
    </w:p>
    <w:p w14:paraId="27FA582D" w14:textId="486EBB2C" w:rsidR="009E48BD"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 xml:space="preserve">Desde la aprobación del </w:t>
      </w:r>
      <w:hyperlink r:id="rId13" w:history="1">
        <w:r>
          <w:rPr>
            <w:rStyle w:val="Hyperlink"/>
            <w:rFonts w:ascii="Arial" w:hAnsi="Arial" w:cs="Arial"/>
            <w:i/>
            <w:iCs/>
            <w:sz w:val="22"/>
            <w:szCs w:val="22"/>
            <w:lang w:val="es"/>
          </w:rPr>
          <w:t>Plan de Acción de la COI sobre Alfabetización Oceánica (2018-2021)</w:t>
        </w:r>
      </w:hyperlink>
      <w:r>
        <w:rPr>
          <w:rFonts w:ascii="Arial" w:hAnsi="Arial" w:cs="Arial"/>
          <w:sz w:val="22"/>
          <w:szCs w:val="22"/>
          <w:lang w:val="es"/>
        </w:rPr>
        <w:t xml:space="preserve"> los esfuerzos centrados en la Alfabetización oceánica se han expandido y evolucionado significativamente más allá de los contextos educativos formales para abarcar diversas perspectivas, progresando en una restauración más amplia de la relación de la sociedad con el océano. Esta evolución refleja un reconocimiento más profundo del papel fundamental del océano en todas las dimensiones sociales, culturales y económicas, lo que subraya la necesidad de estrategias y marcos renovados. También se refleja en el libro blanco Visión 2030 del Decenio de las Naciones Unidas de las Ciencias Oceánicas para el Desarrollo Sostenible sobre el reto 10: </w:t>
      </w:r>
      <w:hyperlink r:id="rId14" w:history="1">
        <w:r>
          <w:rPr>
            <w:rStyle w:val="Hyperlink"/>
            <w:rFonts w:ascii="Arial" w:hAnsi="Arial" w:cs="Arial"/>
            <w:i/>
            <w:iCs/>
            <w:sz w:val="22"/>
            <w:szCs w:val="22"/>
            <w:lang w:val="es"/>
          </w:rPr>
          <w:t>Restablecer la relación de la sociedad con el océano</w:t>
        </w:r>
      </w:hyperlink>
      <w:r>
        <w:rPr>
          <w:rFonts w:ascii="Arial" w:hAnsi="Arial" w:cs="Arial"/>
          <w:sz w:val="22"/>
          <w:szCs w:val="22"/>
          <w:lang w:val="es"/>
        </w:rPr>
        <w:t>.</w:t>
      </w:r>
    </w:p>
    <w:p w14:paraId="4A1588B2" w14:textId="5E713F31" w:rsidR="009E48BD"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 xml:space="preserve">La UNESCO-COI creó el Grupo de Expertos en Alfabetización Oceánica mediante la Decisión A-31/3.5.4 de la Asamblea de la COI en 2021. Este órgano multidisciplinario y </w:t>
      </w:r>
      <w:proofErr w:type="spellStart"/>
      <w:r>
        <w:rPr>
          <w:rFonts w:ascii="Arial" w:hAnsi="Arial" w:cs="Arial"/>
          <w:sz w:val="22"/>
          <w:szCs w:val="22"/>
          <w:lang w:val="es"/>
        </w:rPr>
        <w:t>multipartito</w:t>
      </w:r>
      <w:proofErr w:type="spellEnd"/>
      <w:r>
        <w:rPr>
          <w:rFonts w:ascii="Arial" w:hAnsi="Arial" w:cs="Arial"/>
          <w:sz w:val="22"/>
          <w:szCs w:val="22"/>
          <w:lang w:val="es"/>
        </w:rPr>
        <w:t xml:space="preserve"> ha desempeñado un papel decisivo a la hora de orientar la ejecución, coordinación y evolución de las iniciativas de alfabetización oceánica a escala mundial y regional, tanto en el marco de la COI como en un sentido más amplio. Sus conocimientos y experiencia han aportado ideas vitales sobre prácticas eficaces, participación de los interesados y enfoques innovadores para hacer que la ciencia oceánica sea accesible y práctica. En este contexto, el Grupo ha prestado apoyo técnico en la redacción del "Plan de Acción de la COI sobre Alfabetización Oceánica 2026-2030", que se basa tanto en la evaluación de los progresos realizados en relación con las prioridades del Plan de Acción de la COI sobre Alfabetización Oceánica 2018-2021 como en las actividades desarrolladas en el marco del Decenio de las Naciones Unidas de las Ciencias Oceánicas para el Desarrollo Sostenible. </w:t>
      </w:r>
    </w:p>
    <w:p w14:paraId="3729E00B" w14:textId="22A39965" w:rsidR="009E48BD"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 xml:space="preserve">En particular, se han logrado avances significativos en el desarrollo de capacidades de profesores y educadores y otros grupos profesionales como los sectores público y privado, los periodistas y profesionales de la comunicación y los arquitectos y urbanistas. Estos cursos de formación se han desarrollado y puesto a disposición del público en colaboración con la Ocean </w:t>
      </w:r>
      <w:proofErr w:type="spellStart"/>
      <w:r>
        <w:rPr>
          <w:rFonts w:ascii="Arial" w:hAnsi="Arial" w:cs="Arial"/>
          <w:sz w:val="22"/>
          <w:szCs w:val="22"/>
          <w:lang w:val="es"/>
        </w:rPr>
        <w:t>Teacher</w:t>
      </w:r>
      <w:proofErr w:type="spellEnd"/>
      <w:r>
        <w:rPr>
          <w:rFonts w:ascii="Arial" w:hAnsi="Arial" w:cs="Arial"/>
          <w:sz w:val="22"/>
          <w:szCs w:val="22"/>
          <w:lang w:val="es"/>
        </w:rPr>
        <w:t xml:space="preserve"> Global </w:t>
      </w:r>
      <w:proofErr w:type="spellStart"/>
      <w:r>
        <w:rPr>
          <w:rFonts w:ascii="Arial" w:hAnsi="Arial" w:cs="Arial"/>
          <w:sz w:val="22"/>
          <w:szCs w:val="22"/>
          <w:lang w:val="es"/>
        </w:rPr>
        <w:t>Academy</w:t>
      </w:r>
      <w:proofErr w:type="spellEnd"/>
      <w:r>
        <w:rPr>
          <w:rFonts w:ascii="Arial" w:hAnsi="Arial" w:cs="Arial"/>
          <w:sz w:val="22"/>
          <w:szCs w:val="22"/>
          <w:lang w:val="es"/>
        </w:rPr>
        <w:t xml:space="preserve"> (OTGA). Además, se han establecido asociaciones de múltiples partes interesadas, en particular con el sector privado y los medios de comunicación y las organizaciones de información, para aumentar la difusión y la visibilidad de la Alfabetización Oceánica en diferentes contextos y a diferentes niveles. Esto se ha logrado mediante la organización de actos paralelos de Alfabetización Oceánica en el marco de grandes acontecimientos relacionados con el océano, como las Jornadas Marítimas Europeas, la Cumbre Mundial sobre los Océanos, la segunda Conferencia de las Naciones Unidas sobre los Océanos y la Conferencia de las Naciones Unidas sobre el Agua. Además, se ha creado una base de datos mundial de recursos de alfabetización oceánica en diferentes idiomas, que está disponible a través del Portal de Alfabetización Oceánica. La colaboración con los grupos y redes nacionales de expertos en alfabetización oceánica se ha intensificado también en el contexto del programa del Decenio del Océano "Alfabetización oceánica para todos" (OLWA). Se ha promovido la colaboración con los Sectores de Educación y Ciencias de la UNESCO a través del Programa Intersectorial IP2 sobre Educación Ambiental, cuyo objetivo es promover actividades de aprendizaje y enseñanza sobre el cambio climático y el medio ambiente </w:t>
      </w:r>
      <w:r>
        <w:rPr>
          <w:rFonts w:ascii="Arial" w:hAnsi="Arial" w:cs="Arial"/>
          <w:sz w:val="22"/>
          <w:szCs w:val="22"/>
          <w:lang w:val="es"/>
        </w:rPr>
        <w:lastRenderedPageBreak/>
        <w:t>en sitios designados por la UNESCO, comprometer a escuelas y profesores con las comunidades locales, y recopilar y compartir pruebas y esfuerzos políticos sobre la educación relativa al cambio climático. Por último, se ha reforzado la movilización de recursos mediante el establecimiento de asociaciones con distintos tipos de donantes.</w:t>
      </w:r>
    </w:p>
    <w:p w14:paraId="5C84D57E" w14:textId="422C18F2" w:rsidR="009E48BD"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 xml:space="preserve">En consonancia con la </w:t>
      </w:r>
      <w:hyperlink r:id="rId15" w:history="1">
        <w:r>
          <w:rPr>
            <w:rStyle w:val="Hyperlink"/>
            <w:rFonts w:ascii="Arial" w:hAnsi="Arial" w:cs="Arial"/>
            <w:i/>
            <w:iCs/>
            <w:sz w:val="22"/>
            <w:szCs w:val="22"/>
            <w:lang w:val="es"/>
          </w:rPr>
          <w:t>Estrategia a Plazo Medio de la COI (2022-2029)</w:t>
        </w:r>
      </w:hyperlink>
      <w:r>
        <w:rPr>
          <w:rFonts w:ascii="Arial" w:hAnsi="Arial" w:cs="Arial"/>
          <w:sz w:val="22"/>
          <w:szCs w:val="22"/>
          <w:lang w:val="es"/>
        </w:rPr>
        <w:t xml:space="preserve"> el proyecto de Plan de Acción de Alfabetización Oceánica para 2026-2030 permite a los Estados Miembros alcanzar todos los Objetivos de Alto Nivel contenidos en la estrategia, aumentando la comprensión del papel del océano y los servicios y proporcionando una mejor conexión entre la política científica y la sociedad. El objetivo general de este Plan de Acción es garantizar la traducción de los conocimientos científicos sobre los océanos en aplicaciones prácticas que faciliten el apoyo de la sociedad a un futuro sostenible de los océanos.</w:t>
      </w:r>
    </w:p>
    <w:p w14:paraId="6EFF3842" w14:textId="0C81E18A" w:rsidR="009E48BD"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El Plan de Acción para 2026-2030 hace hincapié en las actividades llevadas a cabo dentro de las estructuras formales, informales y de aprendizaje permanente, centrándose en la educación, la experiencia y la sensibilización, con el fin de reforzar la comprensión y la gestión globales de los ecosistemas oceánicos. Mediante la colaboración con otras secciones, programas e iniciativas de la COI, como el Sistema Mundial de Observación de los Océanos (GOOS), el Intercambio Internacional de Datos e Información Oceanográficos (IODE), la Academia Mundial de Profesores de Ciencias Oceánicas y las subcomisiones regionales de la COI, y recurriendo a la Oficina de Coordinación del Decenio de las Naciones Unidas de la Educación para el Desarrollo Sostenible, este Plan de Acción tiene por objeto fomentar un enfoque coherente que potencie la repercusión colectiva de los productos y servicios científicos de la COI. Esto significa reconocer la diversidad de perspectivas culturales y conocimientos ecológicos tradicionales, y reconocer estos sistemas de conocimiento como parte integrante de los programas y marcos de alfabetización oceánica. Este enfoque integrador garantiza el respeto y el apoyo a las comunidades indígenas y locales, y reconoce su papel en la mejora de la eficacia de la gestión y la conservación de los océanos.</w:t>
      </w:r>
    </w:p>
    <w:p w14:paraId="501E34FC" w14:textId="23ED2E64" w:rsidR="009E48BD"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Esta actualización del Plan de Acción de la COI reconoce la necesidad de una participación sostenida de las partes interesadas, la elaboración de recursos educativos accesibles e integradores basados en las ciencias del comportamiento, estrategias de comunicación y evaluaciones del impacto de los programas y actividades de alfabetización oceánica. Los instrumentos, productos y resultados de estos esfuerzos combinados dotarán a los Estados Miembros de las herramientas y capacidades necesarias para lograr una gestión del océano sostenible y científicamente fundamentada y, en última instancia, contribuirán a la visión de la actual Estrategia a Plazo Medio de la COI (2022-2029): reunir a los gobiernos y a la comunidad científica para lograr el "Océano que necesitamos para el futuro que queremos"</w:t>
      </w:r>
    </w:p>
    <w:p w14:paraId="57C26628" w14:textId="2A78D7BA" w:rsidR="000B7E2A" w:rsidRPr="000645E4" w:rsidRDefault="009E48BD" w:rsidP="009E48BD">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Guiado por esta declaración de visión, el Plan de Acción subraya la necesidad de la colaboración internacional, el intercambio de mejores prácticas y la promoción de asociaciones sólidas, en particular para garantizar que el conocimiento de los océanos se aproveche plenamente para avanzar y, en última instancia, lograr la sostenibilidad duradera de los océanos.</w:t>
      </w:r>
    </w:p>
    <w:p w14:paraId="1E8E70D0" w14:textId="4C76A5A2" w:rsidR="00137BED" w:rsidRPr="000645E4" w:rsidRDefault="003B3CAC" w:rsidP="00AA2CD5">
      <w:pPr>
        <w:spacing w:after="240"/>
        <w:jc w:val="both"/>
        <w:rPr>
          <w:b/>
          <w:lang w:val="fr-FR"/>
        </w:rPr>
      </w:pPr>
      <w:r>
        <w:rPr>
          <w:b/>
          <w:bCs/>
          <w:lang w:val="es"/>
        </w:rPr>
        <w:t>Declaración de la visión</w:t>
      </w:r>
    </w:p>
    <w:p w14:paraId="27C89890" w14:textId="77777777" w:rsidR="003B3CAC" w:rsidRPr="000645E4" w:rsidRDefault="003B3CAC" w:rsidP="003B3CAC">
      <w:pPr>
        <w:spacing w:before="240" w:after="240" w:line="276" w:lineRule="auto"/>
        <w:rPr>
          <w:i/>
          <w:lang w:val="fr-FR"/>
        </w:rPr>
      </w:pPr>
      <w:r>
        <w:rPr>
          <w:i/>
          <w:iCs/>
          <w:lang w:val="es"/>
        </w:rPr>
        <w:t>"A través de la colaboración internacional, el intercambio de mejores prácticas y el fortalecimiento de las asociaciones, la UNESCO-COI capacita a los Estados Miembros para mejorar la alfabetización oceánica, traduciendo la ciencia oceánica en conocimientos accesibles que impulsen la acción sostenible y la gobernanza para el océano que necesitamos."</w:t>
      </w:r>
    </w:p>
    <w:p w14:paraId="24C14907" w14:textId="520A8ABB" w:rsidR="003B3CAC" w:rsidRPr="000645E4" w:rsidRDefault="00C55528" w:rsidP="00C55528">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 xml:space="preserve">El siguiente cuadro presenta la lista mejorada de prioridades, ámbitos de actuación y actividades. Se garantizará la adecuación con la </w:t>
      </w:r>
      <w:hyperlink r:id="rId16" w:history="1">
        <w:r>
          <w:rPr>
            <w:rStyle w:val="Hyperlink"/>
            <w:rFonts w:ascii="Arial" w:hAnsi="Arial" w:cs="Arial"/>
            <w:i/>
            <w:iCs/>
            <w:sz w:val="22"/>
            <w:szCs w:val="22"/>
            <w:lang w:val="es"/>
          </w:rPr>
          <w:t>Estrategia de Desarrollo de Capacidades de la COI, 2023-2030</w:t>
        </w:r>
      </w:hyperlink>
      <w:r>
        <w:rPr>
          <w:rFonts w:ascii="Arial" w:hAnsi="Arial" w:cs="Arial"/>
          <w:sz w:val="22"/>
          <w:szCs w:val="22"/>
          <w:lang w:val="es"/>
        </w:rPr>
        <w:t xml:space="preserve"> así como con la </w:t>
      </w:r>
      <w:hyperlink r:id="rId17" w:history="1">
        <w:r>
          <w:rPr>
            <w:rStyle w:val="Hyperlink"/>
            <w:rFonts w:ascii="Arial" w:hAnsi="Arial" w:cs="Arial"/>
            <w:i/>
            <w:iCs/>
            <w:sz w:val="22"/>
            <w:szCs w:val="22"/>
            <w:lang w:val="es"/>
          </w:rPr>
          <w:t>Estrategia de comunicación y divulgación de la COI para la gestión de datos e información</w:t>
        </w:r>
      </w:hyperlink>
      <w:r>
        <w:rPr>
          <w:rFonts w:ascii="Arial" w:hAnsi="Arial" w:cs="Arial"/>
          <w:sz w:val="22"/>
          <w:szCs w:val="22"/>
          <w:lang w:val="es"/>
        </w:rPr>
        <w:t>.</w:t>
      </w:r>
    </w:p>
    <w:p w14:paraId="3FC07FF9" w14:textId="77777777" w:rsidR="00086969" w:rsidRDefault="00086969" w:rsidP="00086969">
      <w:pPr>
        <w:pStyle w:val="Heading3"/>
      </w:pPr>
      <w:r>
        <w:rPr>
          <w:lang w:val="es"/>
        </w:rPr>
        <w:lastRenderedPageBreak/>
        <w:t>Implicaciones financieras y administrativas</w:t>
      </w:r>
    </w:p>
    <w:p w14:paraId="56FA4919" w14:textId="77777777" w:rsidR="00086969" w:rsidRPr="000645E4" w:rsidRDefault="00086969" w:rsidP="00086969">
      <w:pPr>
        <w:pStyle w:val="ListParagraph"/>
        <w:numPr>
          <w:ilvl w:val="0"/>
          <w:numId w:val="42"/>
        </w:numPr>
        <w:snapToGrid w:val="0"/>
        <w:spacing w:before="240" w:after="240"/>
        <w:ind w:left="0" w:firstLine="0"/>
        <w:contextualSpacing w:val="0"/>
        <w:rPr>
          <w:rFonts w:ascii="Arial" w:hAnsi="Arial" w:cs="Arial"/>
          <w:sz w:val="22"/>
          <w:szCs w:val="22"/>
          <w:lang w:val="fr-FR"/>
        </w:rPr>
      </w:pPr>
      <w:r>
        <w:rPr>
          <w:rFonts w:ascii="Arial" w:hAnsi="Arial" w:cs="Arial"/>
          <w:sz w:val="22"/>
          <w:szCs w:val="22"/>
          <w:lang w:val="es"/>
        </w:rPr>
        <w:t>Las actividades de alfabetización oceánica se financian principalmente con contribuciones voluntarias, aunque está previsto encontrar financiación con cargo al presupuesto ordinario en el marco de la contribución de la COI al Programa Intersectorial 2 (IP2) sobre Educación Ambiental.</w:t>
      </w:r>
    </w:p>
    <w:p w14:paraId="075E8B01" w14:textId="7F119C34" w:rsidR="00C55528" w:rsidRPr="000645E4" w:rsidRDefault="00C55528">
      <w:pPr>
        <w:rPr>
          <w:lang w:val="fr-FR"/>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70"/>
        <w:gridCol w:w="3075"/>
        <w:gridCol w:w="3284"/>
      </w:tblGrid>
      <w:tr w:rsidR="00C55528" w:rsidRPr="00C55528" w14:paraId="5BB9453E" w14:textId="77777777" w:rsidTr="000645E4">
        <w:trPr>
          <w:tblHeader/>
        </w:trPr>
        <w:tc>
          <w:tcPr>
            <w:tcW w:w="3270" w:type="dxa"/>
            <w:shd w:val="clear" w:color="auto" w:fill="F2F2F2" w:themeFill="background1" w:themeFillShade="F2"/>
            <w:tcMar>
              <w:top w:w="100" w:type="dxa"/>
              <w:left w:w="100" w:type="dxa"/>
              <w:bottom w:w="100" w:type="dxa"/>
              <w:right w:w="100" w:type="dxa"/>
            </w:tcMar>
          </w:tcPr>
          <w:p w14:paraId="1BF0C81E" w14:textId="6556FF14" w:rsidR="00C55528" w:rsidRPr="00C55528" w:rsidRDefault="00C55528" w:rsidP="00980720">
            <w:pPr>
              <w:widowControl w:val="0"/>
              <w:spacing w:after="120"/>
              <w:jc w:val="center"/>
              <w:rPr>
                <w:rFonts w:cs="Arial"/>
                <w:b/>
                <w:szCs w:val="22"/>
              </w:rPr>
            </w:pPr>
            <w:r>
              <w:rPr>
                <w:rFonts w:cs="Arial"/>
                <w:b/>
                <w:bCs/>
                <w:szCs w:val="22"/>
                <w:lang w:val="es"/>
              </w:rPr>
              <w:t xml:space="preserve">Prioridad reforzada </w:t>
            </w:r>
            <w:r>
              <w:rPr>
                <w:rFonts w:cs="Arial"/>
                <w:szCs w:val="22"/>
                <w:lang w:val="es"/>
              </w:rPr>
              <w:br/>
            </w:r>
            <w:r>
              <w:rPr>
                <w:rFonts w:cs="Arial"/>
                <w:b/>
                <w:bCs/>
                <w:szCs w:val="22"/>
                <w:lang w:val="es"/>
              </w:rPr>
              <w:t>para la alfabetización oceánica</w:t>
            </w:r>
          </w:p>
        </w:tc>
        <w:tc>
          <w:tcPr>
            <w:tcW w:w="3075" w:type="dxa"/>
            <w:shd w:val="clear" w:color="auto" w:fill="F2F2F2" w:themeFill="background1" w:themeFillShade="F2"/>
            <w:tcMar>
              <w:top w:w="100" w:type="dxa"/>
              <w:left w:w="100" w:type="dxa"/>
              <w:bottom w:w="100" w:type="dxa"/>
              <w:right w:w="100" w:type="dxa"/>
            </w:tcMar>
          </w:tcPr>
          <w:p w14:paraId="7F39D700" w14:textId="77777777" w:rsidR="00C55528" w:rsidRPr="00C55528" w:rsidRDefault="00C55528" w:rsidP="00C55528">
            <w:pPr>
              <w:widowControl w:val="0"/>
              <w:spacing w:after="120"/>
              <w:jc w:val="center"/>
              <w:rPr>
                <w:rFonts w:cs="Arial"/>
                <w:b/>
                <w:szCs w:val="22"/>
              </w:rPr>
            </w:pPr>
            <w:r>
              <w:rPr>
                <w:rFonts w:cs="Arial"/>
                <w:b/>
                <w:bCs/>
                <w:szCs w:val="22"/>
                <w:lang w:val="es"/>
              </w:rPr>
              <w:t>Ámbito de actuación</w:t>
            </w:r>
          </w:p>
        </w:tc>
        <w:tc>
          <w:tcPr>
            <w:tcW w:w="3284" w:type="dxa"/>
            <w:shd w:val="clear" w:color="auto" w:fill="F2F2F2" w:themeFill="background1" w:themeFillShade="F2"/>
            <w:tcMar>
              <w:top w:w="100" w:type="dxa"/>
              <w:left w:w="100" w:type="dxa"/>
              <w:bottom w:w="100" w:type="dxa"/>
              <w:right w:w="100" w:type="dxa"/>
            </w:tcMar>
          </w:tcPr>
          <w:p w14:paraId="68FA0C5D" w14:textId="77777777" w:rsidR="00C55528" w:rsidRPr="00C55528" w:rsidRDefault="00C55528" w:rsidP="00C55528">
            <w:pPr>
              <w:widowControl w:val="0"/>
              <w:spacing w:after="120"/>
              <w:jc w:val="center"/>
              <w:rPr>
                <w:rFonts w:cs="Arial"/>
                <w:b/>
                <w:szCs w:val="22"/>
              </w:rPr>
            </w:pPr>
            <w:r>
              <w:rPr>
                <w:rFonts w:cs="Arial"/>
                <w:b/>
                <w:bCs/>
                <w:szCs w:val="22"/>
                <w:lang w:val="es"/>
              </w:rPr>
              <w:t>Actividad</w:t>
            </w:r>
          </w:p>
        </w:tc>
      </w:tr>
      <w:tr w:rsidR="004D4543" w:rsidRPr="000645E4" w14:paraId="65124EA4" w14:textId="77777777" w:rsidTr="000645E4">
        <w:trPr>
          <w:trHeight w:val="4976"/>
        </w:trPr>
        <w:tc>
          <w:tcPr>
            <w:tcW w:w="3270" w:type="dxa"/>
            <w:vMerge w:val="restart"/>
            <w:shd w:val="clear" w:color="auto" w:fill="auto"/>
            <w:tcMar>
              <w:top w:w="100" w:type="dxa"/>
              <w:left w:w="100" w:type="dxa"/>
              <w:bottom w:w="100" w:type="dxa"/>
              <w:right w:w="100" w:type="dxa"/>
            </w:tcMar>
          </w:tcPr>
          <w:p w14:paraId="6DA24638" w14:textId="77777777" w:rsidR="004D4543" w:rsidRPr="000645E4" w:rsidRDefault="004D4543" w:rsidP="00C55528">
            <w:pPr>
              <w:widowControl w:val="0"/>
              <w:spacing w:after="120"/>
              <w:rPr>
                <w:rFonts w:cs="Arial"/>
                <w:szCs w:val="22"/>
                <w:lang w:val="fr-FR"/>
              </w:rPr>
            </w:pPr>
            <w:r>
              <w:rPr>
                <w:rFonts w:cs="Arial"/>
                <w:b/>
                <w:bCs/>
                <w:szCs w:val="22"/>
                <w:highlight w:val="white"/>
                <w:lang w:val="es"/>
              </w:rPr>
              <w:t xml:space="preserve">1. </w:t>
            </w:r>
            <w:r>
              <w:rPr>
                <w:rFonts w:cs="Arial"/>
                <w:b/>
                <w:bCs/>
                <w:szCs w:val="22"/>
                <w:lang w:val="es"/>
              </w:rPr>
              <w:t>Integración de los conceptos de las ciencias oceánicas en los planes de estudio de los sistemas educativos para mejorar la alfabetización oceánica global</w:t>
            </w:r>
          </w:p>
        </w:tc>
        <w:tc>
          <w:tcPr>
            <w:tcW w:w="3075" w:type="dxa"/>
            <w:shd w:val="clear" w:color="auto" w:fill="auto"/>
            <w:tcMar>
              <w:top w:w="100" w:type="dxa"/>
              <w:left w:w="100" w:type="dxa"/>
              <w:bottom w:w="100" w:type="dxa"/>
              <w:right w:w="100" w:type="dxa"/>
            </w:tcMar>
          </w:tcPr>
          <w:p w14:paraId="71C54BE8" w14:textId="6067193D" w:rsidR="004D4543" w:rsidRPr="000645E4" w:rsidRDefault="004D4543" w:rsidP="00C55528">
            <w:pPr>
              <w:widowControl w:val="0"/>
              <w:rPr>
                <w:rFonts w:cs="Arial"/>
                <w:szCs w:val="22"/>
                <w:highlight w:val="white"/>
                <w:lang w:val="fr-FR"/>
              </w:rPr>
            </w:pPr>
            <w:r>
              <w:rPr>
                <w:rFonts w:cs="Arial"/>
                <w:szCs w:val="22"/>
                <w:highlight w:val="white"/>
                <w:lang w:val="es"/>
              </w:rPr>
              <w:t>1.1 Planes de estudios de aprendizaje formal, informal, no formal y permanente en todos los niveles educativos</w:t>
            </w:r>
          </w:p>
        </w:tc>
        <w:tc>
          <w:tcPr>
            <w:tcW w:w="3284" w:type="dxa"/>
            <w:shd w:val="clear" w:color="auto" w:fill="auto"/>
            <w:tcMar>
              <w:top w:w="100" w:type="dxa"/>
              <w:left w:w="100" w:type="dxa"/>
              <w:bottom w:w="100" w:type="dxa"/>
              <w:right w:w="100" w:type="dxa"/>
            </w:tcMar>
          </w:tcPr>
          <w:p w14:paraId="38FDFE8A" w14:textId="77777777" w:rsidR="004D4543" w:rsidRPr="000645E4" w:rsidRDefault="004D4543" w:rsidP="00C55528">
            <w:pPr>
              <w:widowControl w:val="0"/>
              <w:spacing w:after="120"/>
              <w:rPr>
                <w:rFonts w:cs="Arial"/>
                <w:szCs w:val="22"/>
                <w:lang w:val="fr-FR"/>
              </w:rPr>
            </w:pPr>
            <w:r>
              <w:rPr>
                <w:rFonts w:cs="Arial"/>
                <w:szCs w:val="22"/>
                <w:highlight w:val="white"/>
                <w:lang w:val="es"/>
              </w:rPr>
              <w:t xml:space="preserve">1.1.1 </w:t>
            </w:r>
            <w:r>
              <w:rPr>
                <w:rFonts w:cs="Arial"/>
                <w:szCs w:val="22"/>
                <w:lang w:val="es"/>
              </w:rPr>
              <w:t xml:space="preserve">Promover la adhesión de las escuelas de los Estados Miembros a la red de Escuelas Azules para facilitar el intercambio de buenas prácticas entre países y la aplicación de planes de estudios basados en los océanos que se ajusten a las estrategias nacionales. </w:t>
            </w:r>
          </w:p>
          <w:p w14:paraId="031AC655" w14:textId="77777777" w:rsidR="004D4543" w:rsidRPr="000645E4" w:rsidRDefault="004D4543" w:rsidP="00C55528">
            <w:pPr>
              <w:widowControl w:val="0"/>
              <w:spacing w:after="120"/>
              <w:rPr>
                <w:rFonts w:cs="Arial"/>
                <w:szCs w:val="22"/>
                <w:highlight w:val="white"/>
                <w:lang w:val="fr-FR"/>
              </w:rPr>
            </w:pPr>
            <w:r>
              <w:rPr>
                <w:rFonts w:cs="Arial"/>
                <w:szCs w:val="22"/>
                <w:highlight w:val="white"/>
                <w:lang w:val="es"/>
              </w:rPr>
              <w:t xml:space="preserve">1.1.2 </w:t>
            </w:r>
            <w:r>
              <w:rPr>
                <w:rFonts w:cs="Arial"/>
                <w:szCs w:val="22"/>
                <w:lang w:val="es"/>
              </w:rPr>
              <w:t>Promover el desarrollo de materiales educativos específicos para cada región que reflejen los sistemas marinos locales, los retos y las conexiones culturales con el océano</w:t>
            </w:r>
          </w:p>
          <w:p w14:paraId="7670EBC8" w14:textId="6207E7E8" w:rsidR="004D4543" w:rsidRPr="000645E4" w:rsidRDefault="004D4543" w:rsidP="00086969">
            <w:pPr>
              <w:widowControl w:val="0"/>
              <w:rPr>
                <w:rFonts w:cs="Arial"/>
                <w:szCs w:val="22"/>
                <w:highlight w:val="yellow"/>
                <w:lang w:val="fr-FR"/>
              </w:rPr>
            </w:pPr>
            <w:r>
              <w:rPr>
                <w:rFonts w:cs="Arial"/>
                <w:szCs w:val="22"/>
                <w:highlight w:val="white"/>
                <w:lang w:val="es"/>
              </w:rPr>
              <w:t>1.1.3 Potenciar el desarrollo de capacidades entre profesores y educadores.</w:t>
            </w:r>
          </w:p>
        </w:tc>
      </w:tr>
      <w:tr w:rsidR="004D4543" w:rsidRPr="000645E4" w14:paraId="6212EC5A" w14:textId="77777777" w:rsidTr="000645E4">
        <w:trPr>
          <w:trHeight w:val="2540"/>
        </w:trPr>
        <w:tc>
          <w:tcPr>
            <w:tcW w:w="3270" w:type="dxa"/>
            <w:vMerge/>
            <w:shd w:val="clear" w:color="auto" w:fill="auto"/>
            <w:tcMar>
              <w:top w:w="100" w:type="dxa"/>
              <w:left w:w="100" w:type="dxa"/>
              <w:bottom w:w="100" w:type="dxa"/>
              <w:right w:w="100" w:type="dxa"/>
            </w:tcMar>
          </w:tcPr>
          <w:p w14:paraId="101E2268"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6F1AAC65" w14:textId="77777777" w:rsidR="004D4543" w:rsidRPr="00C55528" w:rsidRDefault="004D4543" w:rsidP="004D4543">
            <w:pPr>
              <w:widowControl w:val="0"/>
              <w:rPr>
                <w:rFonts w:cs="Arial"/>
                <w:szCs w:val="22"/>
                <w:highlight w:val="white"/>
              </w:rPr>
            </w:pPr>
            <w:r>
              <w:rPr>
                <w:rFonts w:cs="Arial"/>
                <w:szCs w:val="22"/>
                <w:highlight w:val="white"/>
                <w:lang w:val="es"/>
              </w:rPr>
              <w:t>1.2 Colaboración interdisciplinar y transdisciplinar</w:t>
            </w:r>
          </w:p>
        </w:tc>
        <w:tc>
          <w:tcPr>
            <w:tcW w:w="3284" w:type="dxa"/>
            <w:shd w:val="clear" w:color="auto" w:fill="auto"/>
            <w:tcMar>
              <w:top w:w="100" w:type="dxa"/>
              <w:left w:w="100" w:type="dxa"/>
              <w:bottom w:w="100" w:type="dxa"/>
              <w:right w:w="100" w:type="dxa"/>
            </w:tcMar>
          </w:tcPr>
          <w:p w14:paraId="1FC4F56C"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1.2.1 Reforzar las asociaciones y colaboraciones con otros sectores de la UNESCO que trabajan en distintas disciplinas</w:t>
            </w:r>
          </w:p>
          <w:p w14:paraId="6D549CDE"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1.2.2 Promover el valor de disciplinas múltiples como las artes y las ciencias sociales en la enseñanza de las ciencias oceánicas</w:t>
            </w:r>
          </w:p>
        </w:tc>
      </w:tr>
      <w:tr w:rsidR="00C55528" w:rsidRPr="000645E4" w14:paraId="59169C9F" w14:textId="77777777" w:rsidTr="000645E4">
        <w:tc>
          <w:tcPr>
            <w:tcW w:w="3270" w:type="dxa"/>
            <w:shd w:val="clear" w:color="auto" w:fill="auto"/>
            <w:tcMar>
              <w:top w:w="100" w:type="dxa"/>
              <w:left w:w="100" w:type="dxa"/>
              <w:bottom w:w="100" w:type="dxa"/>
              <w:right w:w="100" w:type="dxa"/>
            </w:tcMar>
          </w:tcPr>
          <w:p w14:paraId="0A5FD481" w14:textId="77777777" w:rsidR="00C55528" w:rsidRPr="000645E4" w:rsidRDefault="00C55528" w:rsidP="00C55528">
            <w:pPr>
              <w:widowControl w:val="0"/>
              <w:spacing w:after="120"/>
              <w:rPr>
                <w:rFonts w:cs="Arial"/>
                <w:b/>
                <w:szCs w:val="22"/>
                <w:highlight w:val="white"/>
                <w:lang w:val="fr-FR"/>
              </w:rPr>
            </w:pPr>
            <w:r>
              <w:rPr>
                <w:rFonts w:cs="Arial"/>
                <w:b/>
                <w:bCs/>
                <w:szCs w:val="22"/>
                <w:highlight w:val="white"/>
                <w:lang w:val="es"/>
              </w:rPr>
              <w:t xml:space="preserve">2. </w:t>
            </w:r>
            <w:r>
              <w:rPr>
                <w:rFonts w:cs="Arial"/>
                <w:b/>
                <w:bCs/>
                <w:szCs w:val="22"/>
                <w:lang w:val="es"/>
              </w:rPr>
              <w:t xml:space="preserve">Mejora del diálogo y aumento de la colaboración mediante la inclusión de diversas partes interesadas en los debates sobre la alfabetización oceánica </w:t>
            </w:r>
          </w:p>
          <w:p w14:paraId="1968140F" w14:textId="77777777" w:rsidR="00C55528" w:rsidRPr="000645E4" w:rsidRDefault="00C55528" w:rsidP="00C55528">
            <w:pPr>
              <w:widowControl w:val="0"/>
              <w:spacing w:after="120"/>
              <w:rPr>
                <w:rFonts w:cs="Arial"/>
                <w:szCs w:val="22"/>
                <w:lang w:val="fr-FR"/>
              </w:rPr>
            </w:pPr>
          </w:p>
        </w:tc>
        <w:tc>
          <w:tcPr>
            <w:tcW w:w="3075" w:type="dxa"/>
            <w:shd w:val="clear" w:color="auto" w:fill="auto"/>
            <w:tcMar>
              <w:top w:w="100" w:type="dxa"/>
              <w:left w:w="100" w:type="dxa"/>
              <w:bottom w:w="100" w:type="dxa"/>
              <w:right w:w="100" w:type="dxa"/>
            </w:tcMar>
          </w:tcPr>
          <w:p w14:paraId="48D649F5" w14:textId="77777777" w:rsidR="00C55528" w:rsidRPr="000645E4" w:rsidRDefault="00C55528" w:rsidP="00C55528">
            <w:pPr>
              <w:widowControl w:val="0"/>
              <w:spacing w:after="120"/>
              <w:rPr>
                <w:rFonts w:cs="Arial"/>
                <w:szCs w:val="22"/>
                <w:highlight w:val="white"/>
                <w:lang w:val="fr-FR"/>
              </w:rPr>
            </w:pPr>
            <w:r>
              <w:rPr>
                <w:rFonts w:cs="Arial"/>
                <w:szCs w:val="22"/>
                <w:highlight w:val="white"/>
                <w:lang w:val="es"/>
              </w:rPr>
              <w:t>2.1 Participación inclusiva y multidisciplinar de las partes interesadas</w:t>
            </w:r>
          </w:p>
        </w:tc>
        <w:tc>
          <w:tcPr>
            <w:tcW w:w="3284" w:type="dxa"/>
            <w:shd w:val="clear" w:color="auto" w:fill="auto"/>
            <w:tcMar>
              <w:top w:w="100" w:type="dxa"/>
              <w:left w:w="100" w:type="dxa"/>
              <w:bottom w:w="100" w:type="dxa"/>
              <w:right w:w="100" w:type="dxa"/>
            </w:tcMar>
          </w:tcPr>
          <w:p w14:paraId="5FE012EB" w14:textId="77777777" w:rsidR="00C55528" w:rsidRPr="000645E4" w:rsidRDefault="00C55528" w:rsidP="00C55528">
            <w:pPr>
              <w:widowControl w:val="0"/>
              <w:spacing w:after="120"/>
              <w:rPr>
                <w:rFonts w:cs="Arial"/>
                <w:szCs w:val="22"/>
                <w:highlight w:val="white"/>
                <w:lang w:val="fr-FR"/>
              </w:rPr>
            </w:pPr>
            <w:r>
              <w:rPr>
                <w:rFonts w:cs="Arial"/>
                <w:szCs w:val="22"/>
                <w:highlight w:val="white"/>
                <w:lang w:val="es"/>
              </w:rPr>
              <w:t>2.1.1 Establecimiento de plataformas y redes regionales y mundiales para el intercambio intersectorial y el desarrollo conjunto de iniciativas de alfabetización oceánica</w:t>
            </w:r>
          </w:p>
          <w:p w14:paraId="3242B62F" w14:textId="77777777" w:rsidR="00C55528" w:rsidRPr="000645E4" w:rsidRDefault="00C55528" w:rsidP="00C55528">
            <w:pPr>
              <w:widowControl w:val="0"/>
              <w:spacing w:after="120"/>
              <w:rPr>
                <w:rFonts w:cs="Arial"/>
                <w:szCs w:val="22"/>
                <w:highlight w:val="white"/>
                <w:lang w:val="fr-FR"/>
              </w:rPr>
            </w:pPr>
            <w:r>
              <w:rPr>
                <w:rFonts w:cs="Arial"/>
                <w:szCs w:val="22"/>
                <w:highlight w:val="white"/>
                <w:lang w:val="es"/>
              </w:rPr>
              <w:t xml:space="preserve">2.1.2 </w:t>
            </w:r>
            <w:r>
              <w:rPr>
                <w:rFonts w:cs="Arial"/>
                <w:szCs w:val="22"/>
                <w:lang w:val="es"/>
              </w:rPr>
              <w:t xml:space="preserve">Aumentar la colaboración con las Subcomisiones Regionales de la COI para apoyar la coordinación regional </w:t>
            </w:r>
            <w:r>
              <w:rPr>
                <w:rFonts w:cs="Arial"/>
                <w:szCs w:val="22"/>
                <w:lang w:val="es"/>
              </w:rPr>
              <w:lastRenderedPageBreak/>
              <w:t>de las actividades de alfabetización oceánica y el intercambio de conocimientos y recursos</w:t>
            </w:r>
          </w:p>
          <w:p w14:paraId="445409BB" w14:textId="59FC495D" w:rsidR="00C55528" w:rsidRPr="000645E4" w:rsidRDefault="00C55528" w:rsidP="00C55528">
            <w:pPr>
              <w:widowControl w:val="0"/>
              <w:spacing w:after="120"/>
              <w:rPr>
                <w:rFonts w:cs="Arial"/>
                <w:szCs w:val="22"/>
                <w:highlight w:val="white"/>
                <w:lang w:val="fr-FR"/>
              </w:rPr>
            </w:pPr>
            <w:r>
              <w:rPr>
                <w:rFonts w:cs="Arial"/>
                <w:szCs w:val="22"/>
                <w:highlight w:val="white"/>
                <w:lang w:val="es"/>
              </w:rPr>
              <w:t>2.1.3 Aprovechar los principales eventos en línea y fuera de línea relacionados con los océanos para ampliar el alcance de la Alfabetización Oceánica a nuevas partes interesadas potenciales</w:t>
            </w:r>
          </w:p>
          <w:p w14:paraId="670630E9" w14:textId="77777777" w:rsidR="00C55528" w:rsidRPr="000645E4" w:rsidRDefault="00C55528" w:rsidP="00C55528">
            <w:pPr>
              <w:widowControl w:val="0"/>
              <w:spacing w:after="120"/>
              <w:rPr>
                <w:rFonts w:cs="Arial"/>
                <w:szCs w:val="22"/>
                <w:highlight w:val="white"/>
                <w:lang w:val="fr-FR"/>
              </w:rPr>
            </w:pPr>
            <w:r>
              <w:rPr>
                <w:rFonts w:cs="Arial"/>
                <w:szCs w:val="22"/>
                <w:highlight w:val="white"/>
                <w:lang w:val="es"/>
              </w:rPr>
              <w:t xml:space="preserve">2.1.4 </w:t>
            </w:r>
            <w:proofErr w:type="spellStart"/>
            <w:r>
              <w:rPr>
                <w:rFonts w:cs="Arial"/>
                <w:szCs w:val="22"/>
                <w:lang w:val="es"/>
              </w:rPr>
              <w:t>Co-diseñar</w:t>
            </w:r>
            <w:proofErr w:type="spellEnd"/>
            <w:r>
              <w:rPr>
                <w:rFonts w:cs="Arial"/>
                <w:szCs w:val="22"/>
                <w:lang w:val="es"/>
              </w:rPr>
              <w:t xml:space="preserve"> y </w:t>
            </w:r>
            <w:proofErr w:type="spellStart"/>
            <w:r>
              <w:rPr>
                <w:rFonts w:cs="Arial"/>
                <w:szCs w:val="22"/>
                <w:lang w:val="es"/>
              </w:rPr>
              <w:t>co-distribuir</w:t>
            </w:r>
            <w:proofErr w:type="spellEnd"/>
            <w:r>
              <w:rPr>
                <w:rFonts w:cs="Arial"/>
                <w:szCs w:val="22"/>
                <w:lang w:val="es"/>
              </w:rPr>
              <w:t xml:space="preserve"> oportunidades de alfabetización oceánica con diversos actores y partes interesadas </w:t>
            </w:r>
          </w:p>
          <w:p w14:paraId="738F3CA6" w14:textId="77777777" w:rsidR="00C55528" w:rsidRPr="000645E4" w:rsidRDefault="00C55528" w:rsidP="00C55528">
            <w:pPr>
              <w:widowControl w:val="0"/>
              <w:spacing w:after="120"/>
              <w:rPr>
                <w:rFonts w:cs="Arial"/>
                <w:szCs w:val="22"/>
                <w:highlight w:val="white"/>
                <w:lang w:val="fr-FR"/>
              </w:rPr>
            </w:pPr>
            <w:r>
              <w:rPr>
                <w:rFonts w:cs="Arial"/>
                <w:szCs w:val="22"/>
                <w:highlight w:val="white"/>
                <w:lang w:val="es"/>
              </w:rPr>
              <w:t xml:space="preserve">2.1.5 Proporcionar un espacio digital para el diálogo continuo entre las partes interesadas </w:t>
            </w:r>
          </w:p>
        </w:tc>
      </w:tr>
      <w:tr w:rsidR="004D4543" w:rsidRPr="000645E4" w14:paraId="64CE77CF" w14:textId="77777777" w:rsidTr="000645E4">
        <w:trPr>
          <w:trHeight w:val="781"/>
        </w:trPr>
        <w:tc>
          <w:tcPr>
            <w:tcW w:w="3270" w:type="dxa"/>
            <w:vMerge w:val="restart"/>
            <w:shd w:val="clear" w:color="auto" w:fill="auto"/>
            <w:tcMar>
              <w:top w:w="100" w:type="dxa"/>
              <w:left w:w="100" w:type="dxa"/>
              <w:bottom w:w="100" w:type="dxa"/>
              <w:right w:w="100" w:type="dxa"/>
            </w:tcMar>
          </w:tcPr>
          <w:p w14:paraId="53836464" w14:textId="77777777" w:rsidR="004D4543" w:rsidRPr="000645E4" w:rsidRDefault="004D4543" w:rsidP="00C55528">
            <w:pPr>
              <w:widowControl w:val="0"/>
              <w:spacing w:after="120"/>
              <w:rPr>
                <w:rFonts w:cs="Arial"/>
                <w:b/>
                <w:szCs w:val="22"/>
                <w:highlight w:val="white"/>
                <w:lang w:val="fr-FR"/>
              </w:rPr>
            </w:pPr>
            <w:r>
              <w:rPr>
                <w:rFonts w:cs="Arial"/>
                <w:b/>
                <w:bCs/>
                <w:szCs w:val="22"/>
                <w:highlight w:val="white"/>
                <w:lang w:val="es"/>
              </w:rPr>
              <w:lastRenderedPageBreak/>
              <w:t>3. Recursos de alfabetización oceánica accesibles e inclusivos</w:t>
            </w:r>
          </w:p>
        </w:tc>
        <w:tc>
          <w:tcPr>
            <w:tcW w:w="3075" w:type="dxa"/>
            <w:shd w:val="clear" w:color="auto" w:fill="auto"/>
            <w:tcMar>
              <w:top w:w="100" w:type="dxa"/>
              <w:left w:w="100" w:type="dxa"/>
              <w:bottom w:w="100" w:type="dxa"/>
              <w:right w:w="100" w:type="dxa"/>
            </w:tcMar>
          </w:tcPr>
          <w:p w14:paraId="029968E3" w14:textId="34E00D11" w:rsidR="004D4543" w:rsidRPr="000645E4" w:rsidRDefault="004D4543" w:rsidP="00C55528">
            <w:pPr>
              <w:widowControl w:val="0"/>
              <w:spacing w:after="120"/>
              <w:rPr>
                <w:rFonts w:cs="Arial"/>
                <w:szCs w:val="22"/>
                <w:highlight w:val="white"/>
                <w:lang w:val="fr-FR"/>
              </w:rPr>
            </w:pPr>
            <w:r>
              <w:rPr>
                <w:rFonts w:cs="Arial"/>
                <w:szCs w:val="22"/>
                <w:highlight w:val="white"/>
                <w:lang w:val="es"/>
              </w:rPr>
              <w:t>3.1 Evaluación de los materiales de alfabetización oceánica existentes en el mundo</w:t>
            </w:r>
          </w:p>
        </w:tc>
        <w:tc>
          <w:tcPr>
            <w:tcW w:w="3284" w:type="dxa"/>
            <w:shd w:val="clear" w:color="auto" w:fill="auto"/>
            <w:tcMar>
              <w:top w:w="100" w:type="dxa"/>
              <w:left w:w="100" w:type="dxa"/>
              <w:bottom w:w="100" w:type="dxa"/>
              <w:right w:w="100" w:type="dxa"/>
            </w:tcMar>
          </w:tcPr>
          <w:p w14:paraId="4EE29081" w14:textId="66EE7C21" w:rsidR="004D4543" w:rsidRPr="000645E4" w:rsidRDefault="004D4543" w:rsidP="00086969">
            <w:pPr>
              <w:widowControl w:val="0"/>
              <w:rPr>
                <w:rFonts w:cs="Arial"/>
                <w:szCs w:val="22"/>
                <w:highlight w:val="white"/>
                <w:lang w:val="fr-FR"/>
              </w:rPr>
            </w:pPr>
            <w:r>
              <w:rPr>
                <w:rFonts w:cs="Arial"/>
                <w:szCs w:val="22"/>
                <w:highlight w:val="white"/>
                <w:lang w:val="es"/>
              </w:rPr>
              <w:t xml:space="preserve">3.1.1 </w:t>
            </w:r>
            <w:r>
              <w:rPr>
                <w:rFonts w:cs="Arial"/>
                <w:szCs w:val="22"/>
                <w:lang w:val="es"/>
              </w:rPr>
              <w:t>Compilar y evaluar un compendio mundial de recursos de alfabetización oceánica</w:t>
            </w:r>
            <w:r>
              <w:rPr>
                <w:rFonts w:cs="Arial"/>
                <w:b/>
                <w:bCs/>
                <w:szCs w:val="22"/>
                <w:lang w:val="es"/>
              </w:rPr>
              <w:t xml:space="preserve"> </w:t>
            </w:r>
          </w:p>
        </w:tc>
      </w:tr>
      <w:tr w:rsidR="004D4543" w:rsidRPr="000645E4" w14:paraId="45BACE90" w14:textId="77777777" w:rsidTr="000645E4">
        <w:trPr>
          <w:trHeight w:val="1764"/>
        </w:trPr>
        <w:tc>
          <w:tcPr>
            <w:tcW w:w="3270" w:type="dxa"/>
            <w:vMerge/>
            <w:shd w:val="clear" w:color="auto" w:fill="auto"/>
            <w:tcMar>
              <w:top w:w="100" w:type="dxa"/>
              <w:left w:w="100" w:type="dxa"/>
              <w:bottom w:w="100" w:type="dxa"/>
              <w:right w:w="100" w:type="dxa"/>
            </w:tcMar>
          </w:tcPr>
          <w:p w14:paraId="3BF60F42"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69B42DAB" w14:textId="59BCAC6F" w:rsidR="004D4543" w:rsidRPr="000645E4" w:rsidRDefault="004D4543" w:rsidP="004D4543">
            <w:pPr>
              <w:widowControl w:val="0"/>
              <w:spacing w:after="120"/>
              <w:rPr>
                <w:rFonts w:cs="Arial"/>
                <w:szCs w:val="22"/>
                <w:lang w:val="fr-FR"/>
              </w:rPr>
            </w:pPr>
            <w:r>
              <w:rPr>
                <w:rFonts w:cs="Arial"/>
                <w:szCs w:val="22"/>
                <w:highlight w:val="white"/>
                <w:lang w:val="es"/>
              </w:rPr>
              <w:t xml:space="preserve">3.2 </w:t>
            </w:r>
            <w:r>
              <w:rPr>
                <w:rFonts w:cs="Arial"/>
                <w:szCs w:val="22"/>
                <w:lang w:val="es"/>
              </w:rPr>
              <w:t>Elaboración de recursos de alfabetización oceánica inclusivos y accesibles</w:t>
            </w:r>
          </w:p>
        </w:tc>
        <w:tc>
          <w:tcPr>
            <w:tcW w:w="3284" w:type="dxa"/>
            <w:shd w:val="clear" w:color="auto" w:fill="auto"/>
            <w:tcMar>
              <w:top w:w="100" w:type="dxa"/>
              <w:left w:w="100" w:type="dxa"/>
              <w:bottom w:w="100" w:type="dxa"/>
              <w:right w:w="100" w:type="dxa"/>
            </w:tcMar>
          </w:tcPr>
          <w:p w14:paraId="4048D908" w14:textId="33218D96" w:rsidR="004D4543" w:rsidRPr="000645E4" w:rsidRDefault="004D4543" w:rsidP="00086969">
            <w:pPr>
              <w:widowControl w:val="0"/>
              <w:rPr>
                <w:rFonts w:cs="Arial"/>
                <w:szCs w:val="22"/>
                <w:highlight w:val="white"/>
                <w:lang w:val="fr-FR"/>
              </w:rPr>
            </w:pPr>
            <w:r>
              <w:rPr>
                <w:rFonts w:cs="Arial"/>
                <w:szCs w:val="22"/>
                <w:highlight w:val="white"/>
                <w:lang w:val="es"/>
              </w:rPr>
              <w:t xml:space="preserve">3.2.1 </w:t>
            </w:r>
            <w:r>
              <w:rPr>
                <w:rFonts w:cs="Arial"/>
                <w:szCs w:val="22"/>
                <w:lang w:val="es"/>
              </w:rPr>
              <w:t xml:space="preserve">Producir recursos de alfabetización oceánica que tengan en cuenta los diferentes enfoques culturales y los diferentes grupos destinatarios, incluidos los grupos desfavorecidos o </w:t>
            </w:r>
            <w:proofErr w:type="spellStart"/>
            <w:r>
              <w:rPr>
                <w:rFonts w:cs="Arial"/>
                <w:szCs w:val="22"/>
                <w:lang w:val="es"/>
              </w:rPr>
              <w:t>subrrepresentados</w:t>
            </w:r>
            <w:proofErr w:type="spellEnd"/>
          </w:p>
        </w:tc>
      </w:tr>
      <w:tr w:rsidR="004D4543" w:rsidRPr="000645E4" w14:paraId="1A06BF05" w14:textId="77777777" w:rsidTr="000645E4">
        <w:trPr>
          <w:trHeight w:val="3550"/>
        </w:trPr>
        <w:tc>
          <w:tcPr>
            <w:tcW w:w="3270" w:type="dxa"/>
            <w:vMerge/>
            <w:shd w:val="clear" w:color="auto" w:fill="auto"/>
            <w:tcMar>
              <w:top w:w="100" w:type="dxa"/>
              <w:left w:w="100" w:type="dxa"/>
              <w:bottom w:w="100" w:type="dxa"/>
              <w:right w:w="100" w:type="dxa"/>
            </w:tcMar>
          </w:tcPr>
          <w:p w14:paraId="1BD2DBC3"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0345923F"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3.3 Distribución de los recursos nuevos y existentes</w:t>
            </w:r>
          </w:p>
        </w:tc>
        <w:tc>
          <w:tcPr>
            <w:tcW w:w="3284" w:type="dxa"/>
            <w:shd w:val="clear" w:color="auto" w:fill="auto"/>
            <w:tcMar>
              <w:top w:w="100" w:type="dxa"/>
              <w:left w:w="100" w:type="dxa"/>
              <w:bottom w:w="100" w:type="dxa"/>
              <w:right w:w="100" w:type="dxa"/>
            </w:tcMar>
          </w:tcPr>
          <w:p w14:paraId="6F091CB4"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3.3.1 Alojar todos los recursos pertinentes en un único punto de conexión en línea</w:t>
            </w:r>
          </w:p>
          <w:p w14:paraId="4B9F237F"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3.3.2 Apoyar el uso eficaz de estos recursos mediante la creación de proyectos piloto y pruebas</w:t>
            </w:r>
          </w:p>
          <w:p w14:paraId="1F083C87"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 xml:space="preserve">3.3.3 </w:t>
            </w:r>
            <w:r>
              <w:rPr>
                <w:rFonts w:cs="Arial"/>
                <w:szCs w:val="22"/>
                <w:lang w:val="es"/>
              </w:rPr>
              <w:t>Aprovechar las redes existentes de alfabetización oceánica para crear proyectos piloto y pruebas que maximicen la distribución de recursos</w:t>
            </w:r>
          </w:p>
        </w:tc>
      </w:tr>
      <w:tr w:rsidR="004D4543" w:rsidRPr="000645E4" w14:paraId="6E57062D" w14:textId="77777777" w:rsidTr="000645E4">
        <w:trPr>
          <w:trHeight w:val="1870"/>
        </w:trPr>
        <w:tc>
          <w:tcPr>
            <w:tcW w:w="3270" w:type="dxa"/>
            <w:vMerge w:val="restart"/>
            <w:shd w:val="clear" w:color="auto" w:fill="auto"/>
            <w:tcMar>
              <w:top w:w="100" w:type="dxa"/>
              <w:left w:w="100" w:type="dxa"/>
              <w:bottom w:w="100" w:type="dxa"/>
              <w:right w:w="100" w:type="dxa"/>
            </w:tcMar>
          </w:tcPr>
          <w:p w14:paraId="5FD71CF5" w14:textId="77777777" w:rsidR="004D4543" w:rsidRPr="000645E4" w:rsidRDefault="004D4543" w:rsidP="00C55528">
            <w:pPr>
              <w:widowControl w:val="0"/>
              <w:spacing w:after="120"/>
              <w:rPr>
                <w:rFonts w:cs="Arial"/>
                <w:szCs w:val="22"/>
                <w:lang w:val="fr-FR"/>
              </w:rPr>
            </w:pPr>
            <w:r>
              <w:rPr>
                <w:rFonts w:cs="Arial"/>
                <w:b/>
                <w:bCs/>
                <w:szCs w:val="22"/>
                <w:highlight w:val="white"/>
                <w:lang w:val="es"/>
              </w:rPr>
              <w:lastRenderedPageBreak/>
              <w:t>4. Desarrollo de capacidades para una gestión eficaz de los océanos</w:t>
            </w:r>
          </w:p>
        </w:tc>
        <w:tc>
          <w:tcPr>
            <w:tcW w:w="3075" w:type="dxa"/>
            <w:shd w:val="clear" w:color="auto" w:fill="auto"/>
            <w:tcMar>
              <w:top w:w="100" w:type="dxa"/>
              <w:left w:w="100" w:type="dxa"/>
              <w:bottom w:w="100" w:type="dxa"/>
              <w:right w:w="100" w:type="dxa"/>
            </w:tcMar>
          </w:tcPr>
          <w:p w14:paraId="3096C5B4" w14:textId="7B48C5B9" w:rsidR="004D4543" w:rsidRPr="000645E4" w:rsidRDefault="004D4543" w:rsidP="00C55528">
            <w:pPr>
              <w:widowControl w:val="0"/>
              <w:spacing w:after="120"/>
              <w:rPr>
                <w:rFonts w:cs="Arial"/>
                <w:szCs w:val="22"/>
                <w:highlight w:val="white"/>
                <w:lang w:val="fr-FR"/>
              </w:rPr>
            </w:pPr>
            <w:r>
              <w:rPr>
                <w:rFonts w:cs="Arial"/>
                <w:szCs w:val="22"/>
                <w:highlight w:val="white"/>
                <w:lang w:val="es"/>
              </w:rPr>
              <w:t>4.1 Evaluación de las capacidades actuales de gestión en todo el mundo</w:t>
            </w:r>
          </w:p>
        </w:tc>
        <w:tc>
          <w:tcPr>
            <w:tcW w:w="3284" w:type="dxa"/>
            <w:shd w:val="clear" w:color="auto" w:fill="auto"/>
            <w:tcMar>
              <w:top w:w="100" w:type="dxa"/>
              <w:left w:w="100" w:type="dxa"/>
              <w:bottom w:w="100" w:type="dxa"/>
              <w:right w:w="100" w:type="dxa"/>
            </w:tcMar>
          </w:tcPr>
          <w:p w14:paraId="232B6641" w14:textId="77777777" w:rsidR="004D4543" w:rsidRPr="000645E4" w:rsidRDefault="004D4543" w:rsidP="00C55528">
            <w:pPr>
              <w:widowControl w:val="0"/>
              <w:spacing w:after="120"/>
              <w:rPr>
                <w:rFonts w:cs="Arial"/>
                <w:szCs w:val="22"/>
                <w:highlight w:val="white"/>
                <w:lang w:val="fr-FR"/>
              </w:rPr>
            </w:pPr>
            <w:r>
              <w:rPr>
                <w:rFonts w:cs="Arial"/>
                <w:szCs w:val="22"/>
                <w:highlight w:val="white"/>
                <w:lang w:val="es"/>
              </w:rPr>
              <w:t>4.1.1 Realizar una evaluación de las necesidades de los distintos grupos de interesados</w:t>
            </w:r>
          </w:p>
          <w:p w14:paraId="0806221A" w14:textId="43609377" w:rsidR="004D4543" w:rsidRPr="000645E4" w:rsidRDefault="004D4543" w:rsidP="00086969">
            <w:pPr>
              <w:widowControl w:val="0"/>
              <w:rPr>
                <w:rFonts w:cs="Arial"/>
                <w:szCs w:val="22"/>
                <w:highlight w:val="white"/>
                <w:lang w:val="fr-FR"/>
              </w:rPr>
            </w:pPr>
            <w:r>
              <w:rPr>
                <w:rFonts w:cs="Arial"/>
                <w:szCs w:val="22"/>
                <w:highlight w:val="white"/>
                <w:lang w:val="es"/>
              </w:rPr>
              <w:t xml:space="preserve">4.1.2 Analizar los recursos y las oportunidades de formación existentes en materia de AO </w:t>
            </w:r>
          </w:p>
        </w:tc>
      </w:tr>
      <w:tr w:rsidR="004D4543" w:rsidRPr="000645E4" w14:paraId="5F97EE52" w14:textId="77777777" w:rsidTr="000645E4">
        <w:trPr>
          <w:trHeight w:val="2260"/>
        </w:trPr>
        <w:tc>
          <w:tcPr>
            <w:tcW w:w="3270" w:type="dxa"/>
            <w:vMerge/>
            <w:shd w:val="clear" w:color="auto" w:fill="auto"/>
            <w:tcMar>
              <w:top w:w="100" w:type="dxa"/>
              <w:left w:w="100" w:type="dxa"/>
              <w:bottom w:w="100" w:type="dxa"/>
              <w:right w:w="100" w:type="dxa"/>
            </w:tcMar>
          </w:tcPr>
          <w:p w14:paraId="01EE8280"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36111DED" w14:textId="126210A2" w:rsidR="004D4543" w:rsidRPr="000645E4" w:rsidRDefault="004D4543" w:rsidP="004D4543">
            <w:pPr>
              <w:widowControl w:val="0"/>
              <w:spacing w:after="120"/>
              <w:rPr>
                <w:rFonts w:cs="Arial"/>
                <w:szCs w:val="22"/>
                <w:highlight w:val="white"/>
                <w:lang w:val="fr-FR"/>
              </w:rPr>
            </w:pPr>
            <w:r>
              <w:rPr>
                <w:rFonts w:cs="Arial"/>
                <w:szCs w:val="22"/>
                <w:highlight w:val="white"/>
                <w:lang w:val="es"/>
              </w:rPr>
              <w:t>4.2 Desarrollo de programas para colmar las lagunas de capacidad entre las partes interesadas</w:t>
            </w:r>
          </w:p>
        </w:tc>
        <w:tc>
          <w:tcPr>
            <w:tcW w:w="3284" w:type="dxa"/>
            <w:shd w:val="clear" w:color="auto" w:fill="auto"/>
            <w:tcMar>
              <w:top w:w="100" w:type="dxa"/>
              <w:left w:w="100" w:type="dxa"/>
              <w:bottom w:w="100" w:type="dxa"/>
              <w:right w:w="100" w:type="dxa"/>
            </w:tcMar>
          </w:tcPr>
          <w:p w14:paraId="6301083F"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4.2.1 Diseñar una estrategia de desarrollo de capacidades basada en los resultados de la evaluación de necesidades</w:t>
            </w:r>
          </w:p>
          <w:p w14:paraId="49B5D422" w14:textId="7700286D" w:rsidR="004D4543" w:rsidRPr="000645E4" w:rsidRDefault="004D4543" w:rsidP="004D4543">
            <w:pPr>
              <w:widowControl w:val="0"/>
              <w:spacing w:after="120"/>
              <w:rPr>
                <w:rFonts w:cs="Arial"/>
                <w:szCs w:val="22"/>
                <w:highlight w:val="white"/>
                <w:lang w:val="fr-FR"/>
              </w:rPr>
            </w:pPr>
            <w:r>
              <w:rPr>
                <w:rFonts w:cs="Arial"/>
                <w:szCs w:val="22"/>
                <w:highlight w:val="white"/>
                <w:lang w:val="es"/>
              </w:rPr>
              <w:t xml:space="preserve">4.2.2 Ampliar el acceso de todas las partes interesadas a los recursos y oportunidades de formación </w:t>
            </w:r>
          </w:p>
        </w:tc>
      </w:tr>
      <w:tr w:rsidR="004D4543" w:rsidRPr="00C55528" w14:paraId="5CF75C54" w14:textId="77777777" w:rsidTr="000645E4">
        <w:trPr>
          <w:trHeight w:val="2515"/>
        </w:trPr>
        <w:tc>
          <w:tcPr>
            <w:tcW w:w="3270" w:type="dxa"/>
            <w:vMerge/>
            <w:shd w:val="clear" w:color="auto" w:fill="auto"/>
            <w:tcMar>
              <w:top w:w="100" w:type="dxa"/>
              <w:left w:w="100" w:type="dxa"/>
              <w:bottom w:w="100" w:type="dxa"/>
              <w:right w:w="100" w:type="dxa"/>
            </w:tcMar>
          </w:tcPr>
          <w:p w14:paraId="6DBE76B5"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3EDCF0B2"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4.3 Organización de oportunidades para desarrollar capacidades adaptadas a las necesidades de los distintos grupos de interesados</w:t>
            </w:r>
          </w:p>
        </w:tc>
        <w:tc>
          <w:tcPr>
            <w:tcW w:w="3284" w:type="dxa"/>
            <w:shd w:val="clear" w:color="auto" w:fill="auto"/>
            <w:tcMar>
              <w:top w:w="100" w:type="dxa"/>
              <w:left w:w="100" w:type="dxa"/>
              <w:bottom w:w="100" w:type="dxa"/>
              <w:right w:w="100" w:type="dxa"/>
            </w:tcMar>
          </w:tcPr>
          <w:p w14:paraId="78EB53F0" w14:textId="77777777" w:rsidR="004D4543" w:rsidRPr="000645E4" w:rsidRDefault="004D4543" w:rsidP="004D4543">
            <w:pPr>
              <w:widowControl w:val="0"/>
              <w:spacing w:after="120"/>
              <w:rPr>
                <w:rFonts w:cs="Arial"/>
                <w:szCs w:val="22"/>
                <w:lang w:val="fr-FR"/>
              </w:rPr>
            </w:pPr>
            <w:r>
              <w:rPr>
                <w:rFonts w:cs="Arial"/>
                <w:szCs w:val="22"/>
                <w:lang w:val="es"/>
              </w:rPr>
              <w:t>4.3.1 Aprovechar el éxito de las escuelas de verano AO y las iniciativas dirigidas por ECOP para ampliar su potencial de desarrollo de capacidades</w:t>
            </w:r>
          </w:p>
          <w:p w14:paraId="3D0AA8B7" w14:textId="77777777" w:rsidR="004D4543" w:rsidRPr="00C55528" w:rsidRDefault="004D4543" w:rsidP="00086969">
            <w:pPr>
              <w:widowControl w:val="0"/>
              <w:rPr>
                <w:rFonts w:cs="Arial"/>
                <w:szCs w:val="22"/>
                <w:highlight w:val="white"/>
              </w:rPr>
            </w:pPr>
            <w:r>
              <w:rPr>
                <w:rFonts w:cs="Arial"/>
                <w:szCs w:val="22"/>
                <w:highlight w:val="white"/>
                <w:lang w:val="es"/>
              </w:rPr>
              <w:t xml:space="preserve">4.3.2 Aprovechar la Ocean </w:t>
            </w:r>
            <w:proofErr w:type="spellStart"/>
            <w:r>
              <w:rPr>
                <w:rFonts w:cs="Arial"/>
                <w:szCs w:val="22"/>
                <w:highlight w:val="white"/>
                <w:lang w:val="es"/>
              </w:rPr>
              <w:t>Teacher</w:t>
            </w:r>
            <w:proofErr w:type="spellEnd"/>
            <w:r>
              <w:rPr>
                <w:rFonts w:cs="Arial"/>
                <w:szCs w:val="22"/>
                <w:highlight w:val="white"/>
                <w:lang w:val="es"/>
              </w:rPr>
              <w:t xml:space="preserve"> Global </w:t>
            </w:r>
            <w:proofErr w:type="spellStart"/>
            <w:r>
              <w:rPr>
                <w:rFonts w:cs="Arial"/>
                <w:szCs w:val="22"/>
                <w:highlight w:val="white"/>
                <w:lang w:val="es"/>
              </w:rPr>
              <w:t>Academy</w:t>
            </w:r>
            <w:proofErr w:type="spellEnd"/>
            <w:r>
              <w:rPr>
                <w:rFonts w:cs="Arial"/>
                <w:szCs w:val="22"/>
                <w:highlight w:val="white"/>
                <w:lang w:val="es"/>
              </w:rPr>
              <w:t xml:space="preserve"> para ofrecer recursos adaptados a los grupos destinatarios</w:t>
            </w:r>
          </w:p>
        </w:tc>
      </w:tr>
      <w:tr w:rsidR="004D4543" w:rsidRPr="000645E4" w14:paraId="73CD8EA2" w14:textId="77777777" w:rsidTr="000645E4">
        <w:trPr>
          <w:trHeight w:val="1500"/>
        </w:trPr>
        <w:tc>
          <w:tcPr>
            <w:tcW w:w="3270" w:type="dxa"/>
            <w:vMerge w:val="restart"/>
            <w:shd w:val="clear" w:color="auto" w:fill="auto"/>
            <w:tcMar>
              <w:top w:w="100" w:type="dxa"/>
              <w:left w:w="100" w:type="dxa"/>
              <w:bottom w:w="100" w:type="dxa"/>
              <w:right w:w="100" w:type="dxa"/>
            </w:tcMar>
          </w:tcPr>
          <w:p w14:paraId="1B94D82C" w14:textId="4D56FD33" w:rsidR="004D4543" w:rsidRPr="000645E4" w:rsidRDefault="004D4543" w:rsidP="00C55528">
            <w:pPr>
              <w:widowControl w:val="0"/>
              <w:spacing w:after="120"/>
              <w:rPr>
                <w:rFonts w:cs="Arial"/>
                <w:szCs w:val="22"/>
                <w:highlight w:val="white"/>
                <w:lang w:val="fr-FR"/>
              </w:rPr>
            </w:pPr>
            <w:r>
              <w:rPr>
                <w:rFonts w:cs="Arial"/>
                <w:b/>
                <w:bCs/>
                <w:szCs w:val="22"/>
                <w:highlight w:val="white"/>
                <w:lang w:val="es"/>
              </w:rPr>
              <w:t xml:space="preserve">5. </w:t>
            </w:r>
            <w:r>
              <w:rPr>
                <w:rFonts w:cs="Arial"/>
                <w:b/>
                <w:bCs/>
                <w:szCs w:val="22"/>
                <w:lang w:val="es"/>
              </w:rPr>
              <w:t>Seguir investigando sobre el cambio de comportamiento humano, la comunicación científica y las repercusiones de la alfabetización oceánica para mejorar su eficacia</w:t>
            </w:r>
          </w:p>
        </w:tc>
        <w:tc>
          <w:tcPr>
            <w:tcW w:w="3075" w:type="dxa"/>
            <w:shd w:val="clear" w:color="auto" w:fill="auto"/>
            <w:tcMar>
              <w:top w:w="100" w:type="dxa"/>
              <w:left w:w="100" w:type="dxa"/>
              <w:bottom w:w="100" w:type="dxa"/>
              <w:right w:w="100" w:type="dxa"/>
            </w:tcMar>
          </w:tcPr>
          <w:p w14:paraId="4A1A1447" w14:textId="604174FF" w:rsidR="004D4543" w:rsidRPr="000645E4" w:rsidRDefault="004D4543" w:rsidP="00980720">
            <w:pPr>
              <w:widowControl w:val="0"/>
              <w:spacing w:after="240"/>
              <w:rPr>
                <w:rFonts w:cs="Arial"/>
                <w:szCs w:val="22"/>
                <w:highlight w:val="white"/>
                <w:lang w:val="fr-FR"/>
              </w:rPr>
            </w:pPr>
            <w:r>
              <w:rPr>
                <w:rFonts w:cs="Arial"/>
                <w:szCs w:val="22"/>
                <w:highlight w:val="white"/>
                <w:lang w:val="es"/>
              </w:rPr>
              <w:t>5.1 Establecer redes de expertos en cambio de comportamiento, comunicación científica y evaluación de impacto</w:t>
            </w:r>
          </w:p>
        </w:tc>
        <w:tc>
          <w:tcPr>
            <w:tcW w:w="3284" w:type="dxa"/>
            <w:shd w:val="clear" w:color="auto" w:fill="auto"/>
            <w:tcMar>
              <w:top w:w="100" w:type="dxa"/>
              <w:left w:w="100" w:type="dxa"/>
              <w:bottom w:w="100" w:type="dxa"/>
              <w:right w:w="100" w:type="dxa"/>
            </w:tcMar>
          </w:tcPr>
          <w:p w14:paraId="2EF122B7" w14:textId="38F17002" w:rsidR="004D4543" w:rsidRPr="000645E4" w:rsidRDefault="004D4543" w:rsidP="004D4543">
            <w:pPr>
              <w:widowControl w:val="0"/>
              <w:shd w:val="clear" w:color="auto" w:fill="FFFFFF"/>
              <w:spacing w:after="240"/>
              <w:rPr>
                <w:rFonts w:cs="Arial"/>
                <w:szCs w:val="22"/>
                <w:highlight w:val="white"/>
                <w:lang w:val="fr-FR"/>
              </w:rPr>
            </w:pPr>
            <w:r>
              <w:rPr>
                <w:rFonts w:cs="Arial"/>
                <w:szCs w:val="22"/>
                <w:highlight w:val="white"/>
                <w:lang w:val="es"/>
              </w:rPr>
              <w:t>5.1.1 Identificar expertos en los ámbitos del cambio de comportamiento, la comunicación científica y la evaluación de impacto</w:t>
            </w:r>
          </w:p>
        </w:tc>
      </w:tr>
      <w:tr w:rsidR="004D4543" w:rsidRPr="000645E4" w14:paraId="124AF74E" w14:textId="77777777" w:rsidTr="000645E4">
        <w:trPr>
          <w:trHeight w:val="3450"/>
        </w:trPr>
        <w:tc>
          <w:tcPr>
            <w:tcW w:w="3270" w:type="dxa"/>
            <w:vMerge/>
            <w:shd w:val="clear" w:color="auto" w:fill="auto"/>
            <w:tcMar>
              <w:top w:w="100" w:type="dxa"/>
              <w:left w:w="100" w:type="dxa"/>
              <w:bottom w:w="100" w:type="dxa"/>
              <w:right w:w="100" w:type="dxa"/>
            </w:tcMar>
          </w:tcPr>
          <w:p w14:paraId="1A35B49F"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195EEEFD" w14:textId="79CCFCE3" w:rsidR="004D4543" w:rsidRPr="000645E4" w:rsidRDefault="004D4543" w:rsidP="004D4543">
            <w:pPr>
              <w:widowControl w:val="0"/>
              <w:spacing w:after="120"/>
              <w:rPr>
                <w:rFonts w:cs="Arial"/>
                <w:szCs w:val="22"/>
                <w:highlight w:val="white"/>
                <w:lang w:val="fr-FR"/>
              </w:rPr>
            </w:pPr>
            <w:r>
              <w:rPr>
                <w:rFonts w:cs="Arial"/>
                <w:szCs w:val="22"/>
                <w:highlight w:val="white"/>
                <w:lang w:val="es"/>
              </w:rPr>
              <w:t>5.2 Desarrollar herramientas para el cambio de comportamiento, la comunicación científica y la evaluación de impacto</w:t>
            </w:r>
          </w:p>
        </w:tc>
        <w:tc>
          <w:tcPr>
            <w:tcW w:w="3284" w:type="dxa"/>
            <w:shd w:val="clear" w:color="auto" w:fill="auto"/>
            <w:tcMar>
              <w:top w:w="100" w:type="dxa"/>
              <w:left w:w="100" w:type="dxa"/>
              <w:bottom w:w="100" w:type="dxa"/>
              <w:right w:w="100" w:type="dxa"/>
            </w:tcMar>
          </w:tcPr>
          <w:p w14:paraId="1120345D" w14:textId="77777777" w:rsidR="004D4543" w:rsidRPr="000645E4" w:rsidRDefault="004D4543" w:rsidP="004D4543">
            <w:pPr>
              <w:widowControl w:val="0"/>
              <w:shd w:val="clear" w:color="auto" w:fill="FFFFFF"/>
              <w:spacing w:after="120"/>
              <w:rPr>
                <w:rFonts w:cs="Arial"/>
                <w:szCs w:val="22"/>
                <w:highlight w:val="white"/>
                <w:lang w:val="fr-FR"/>
              </w:rPr>
            </w:pPr>
            <w:r>
              <w:rPr>
                <w:rFonts w:cs="Arial"/>
                <w:szCs w:val="22"/>
                <w:highlight w:val="white"/>
                <w:lang w:val="es"/>
              </w:rPr>
              <w:t>5.2.1 En colaboración con expertos, identificar oportunidades para desarrollar herramientas innovadoras para el cambio de comportamiento, la comunicación científica y la evaluación de impacto</w:t>
            </w:r>
          </w:p>
          <w:p w14:paraId="6A030E5D" w14:textId="480E91A4" w:rsidR="004D4543" w:rsidRPr="000645E4" w:rsidRDefault="004D4543" w:rsidP="004D4543">
            <w:pPr>
              <w:widowControl w:val="0"/>
              <w:shd w:val="clear" w:color="auto" w:fill="FFFFFF"/>
              <w:spacing w:after="120"/>
              <w:rPr>
                <w:rFonts w:cs="Arial"/>
                <w:szCs w:val="22"/>
                <w:highlight w:val="white"/>
                <w:lang w:val="fr-FR"/>
              </w:rPr>
            </w:pPr>
            <w:r>
              <w:rPr>
                <w:rFonts w:cs="Arial"/>
                <w:szCs w:val="22"/>
                <w:highlight w:val="white"/>
                <w:lang w:val="es"/>
              </w:rPr>
              <w:t>5.2.2 Diseñar y aplicar indicadores unificados para medir el cambio de comportamiento y evaluar el impacto a escala nacional, regional y mundial</w:t>
            </w:r>
          </w:p>
        </w:tc>
      </w:tr>
      <w:tr w:rsidR="004D4543" w:rsidRPr="000645E4" w14:paraId="01C47E6E" w14:textId="77777777" w:rsidTr="000645E4">
        <w:tc>
          <w:tcPr>
            <w:tcW w:w="3270" w:type="dxa"/>
            <w:vMerge/>
            <w:shd w:val="clear" w:color="auto" w:fill="auto"/>
            <w:tcMar>
              <w:top w:w="100" w:type="dxa"/>
              <w:left w:w="100" w:type="dxa"/>
              <w:bottom w:w="100" w:type="dxa"/>
              <w:right w:w="100" w:type="dxa"/>
            </w:tcMar>
          </w:tcPr>
          <w:p w14:paraId="2E1F31FB"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7DCD437F"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5.3 Promover proyectos de investigación sobre el cambio de comportamiento, la comunicación científica y el impacto de la alfabetización oceánica</w:t>
            </w:r>
          </w:p>
        </w:tc>
        <w:tc>
          <w:tcPr>
            <w:tcW w:w="3284" w:type="dxa"/>
            <w:shd w:val="clear" w:color="auto" w:fill="auto"/>
            <w:tcMar>
              <w:top w:w="100" w:type="dxa"/>
              <w:left w:w="100" w:type="dxa"/>
              <w:bottom w:w="100" w:type="dxa"/>
              <w:right w:w="100" w:type="dxa"/>
            </w:tcMar>
          </w:tcPr>
          <w:p w14:paraId="762E20C6" w14:textId="77777777" w:rsidR="004D4543" w:rsidRPr="000645E4" w:rsidRDefault="004D4543" w:rsidP="004D4543">
            <w:pPr>
              <w:widowControl w:val="0"/>
              <w:shd w:val="clear" w:color="auto" w:fill="FFFFFF"/>
              <w:spacing w:after="120"/>
              <w:rPr>
                <w:rFonts w:cs="Arial"/>
                <w:szCs w:val="22"/>
                <w:highlight w:val="white"/>
                <w:lang w:val="fr-FR"/>
              </w:rPr>
            </w:pPr>
            <w:r>
              <w:rPr>
                <w:rFonts w:cs="Arial"/>
                <w:szCs w:val="22"/>
                <w:highlight w:val="white"/>
                <w:lang w:val="es"/>
              </w:rPr>
              <w:t>5.3.1 Verificar la existencia de proyectos sobre el cambio de comportamiento, la comunicación científica y el impacto de la alfabetización oceánica</w:t>
            </w:r>
          </w:p>
          <w:p w14:paraId="62AC4204" w14:textId="77777777" w:rsidR="004D4543" w:rsidRPr="000645E4" w:rsidRDefault="004D4543" w:rsidP="004D4543">
            <w:pPr>
              <w:widowControl w:val="0"/>
              <w:shd w:val="clear" w:color="auto" w:fill="FFFFFF"/>
              <w:spacing w:after="120"/>
              <w:rPr>
                <w:rFonts w:cs="Arial"/>
                <w:szCs w:val="22"/>
                <w:highlight w:val="white"/>
                <w:lang w:val="fr-FR"/>
              </w:rPr>
            </w:pPr>
            <w:r>
              <w:rPr>
                <w:rFonts w:cs="Arial"/>
                <w:szCs w:val="22"/>
                <w:highlight w:val="white"/>
                <w:lang w:val="es"/>
              </w:rPr>
              <w:t>5.3.2 Poner en marcha programas de ciencia ciudadana y colaborar con ellos</w:t>
            </w:r>
          </w:p>
          <w:p w14:paraId="46A34CC2" w14:textId="77777777" w:rsidR="004D4543" w:rsidRPr="000645E4" w:rsidRDefault="004D4543" w:rsidP="004D4543">
            <w:pPr>
              <w:widowControl w:val="0"/>
              <w:shd w:val="clear" w:color="auto" w:fill="FFFFFF"/>
              <w:spacing w:after="120"/>
              <w:rPr>
                <w:rFonts w:cs="Arial"/>
                <w:szCs w:val="22"/>
                <w:highlight w:val="white"/>
                <w:lang w:val="fr-FR"/>
              </w:rPr>
            </w:pPr>
            <w:r>
              <w:rPr>
                <w:rFonts w:cs="Arial"/>
                <w:szCs w:val="22"/>
                <w:highlight w:val="white"/>
                <w:lang w:val="es"/>
              </w:rPr>
              <w:t>5.3.3 Definir las lagunas que deben colmarse en esos ámbitos de investigación</w:t>
            </w:r>
          </w:p>
        </w:tc>
      </w:tr>
      <w:tr w:rsidR="004D4543" w:rsidRPr="000645E4" w14:paraId="69D8365A" w14:textId="77777777" w:rsidTr="000645E4">
        <w:trPr>
          <w:trHeight w:val="921"/>
        </w:trPr>
        <w:tc>
          <w:tcPr>
            <w:tcW w:w="3270" w:type="dxa"/>
            <w:vMerge w:val="restart"/>
            <w:shd w:val="clear" w:color="auto" w:fill="auto"/>
            <w:tcMar>
              <w:top w:w="100" w:type="dxa"/>
              <w:left w:w="100" w:type="dxa"/>
              <w:bottom w:w="100" w:type="dxa"/>
              <w:right w:w="100" w:type="dxa"/>
            </w:tcMar>
          </w:tcPr>
          <w:p w14:paraId="2FE5D9FC" w14:textId="77777777" w:rsidR="004D4543" w:rsidRPr="00C55528" w:rsidRDefault="004D4543" w:rsidP="00C55528">
            <w:pPr>
              <w:widowControl w:val="0"/>
              <w:spacing w:after="120"/>
              <w:rPr>
                <w:rFonts w:cs="Arial"/>
                <w:szCs w:val="22"/>
              </w:rPr>
            </w:pPr>
            <w:r>
              <w:rPr>
                <w:rFonts w:cs="Arial"/>
                <w:b/>
                <w:bCs/>
                <w:szCs w:val="22"/>
                <w:highlight w:val="white"/>
                <w:lang w:val="es"/>
              </w:rPr>
              <w:t>6. Movilización constante de recursos</w:t>
            </w:r>
          </w:p>
        </w:tc>
        <w:tc>
          <w:tcPr>
            <w:tcW w:w="3075" w:type="dxa"/>
            <w:shd w:val="clear" w:color="auto" w:fill="auto"/>
            <w:tcMar>
              <w:top w:w="100" w:type="dxa"/>
              <w:left w:w="100" w:type="dxa"/>
              <w:bottom w:w="100" w:type="dxa"/>
              <w:right w:w="100" w:type="dxa"/>
            </w:tcMar>
          </w:tcPr>
          <w:p w14:paraId="45E4DA8A" w14:textId="60F489A9" w:rsidR="004D4543" w:rsidRPr="00980720" w:rsidRDefault="004D4543" w:rsidP="00086969">
            <w:pPr>
              <w:widowControl w:val="0"/>
              <w:shd w:val="clear" w:color="auto" w:fill="FFFFFF"/>
              <w:spacing w:after="120"/>
              <w:rPr>
                <w:rFonts w:cs="Arial"/>
                <w:szCs w:val="22"/>
                <w:highlight w:val="white"/>
              </w:rPr>
            </w:pPr>
            <w:r>
              <w:rPr>
                <w:rFonts w:cs="Arial"/>
                <w:szCs w:val="22"/>
                <w:highlight w:val="white"/>
                <w:lang w:val="es"/>
              </w:rPr>
              <w:t>6.1 Oportunidades en especie</w:t>
            </w:r>
          </w:p>
        </w:tc>
        <w:tc>
          <w:tcPr>
            <w:tcW w:w="3284" w:type="dxa"/>
            <w:shd w:val="clear" w:color="auto" w:fill="auto"/>
            <w:tcMar>
              <w:top w:w="100" w:type="dxa"/>
              <w:left w:w="100" w:type="dxa"/>
              <w:bottom w:w="100" w:type="dxa"/>
              <w:right w:w="100" w:type="dxa"/>
            </w:tcMar>
          </w:tcPr>
          <w:p w14:paraId="150B340B" w14:textId="41A625A3" w:rsidR="004D4543" w:rsidRPr="000645E4" w:rsidRDefault="004D4543" w:rsidP="00086969">
            <w:pPr>
              <w:widowControl w:val="0"/>
              <w:shd w:val="clear" w:color="auto" w:fill="FFFFFF"/>
              <w:rPr>
                <w:rFonts w:cs="Arial"/>
                <w:szCs w:val="22"/>
                <w:highlight w:val="white"/>
                <w:lang w:val="fr-FR"/>
              </w:rPr>
            </w:pPr>
            <w:r>
              <w:rPr>
                <w:rFonts w:cs="Arial"/>
                <w:szCs w:val="22"/>
                <w:highlight w:val="white"/>
                <w:lang w:val="es"/>
              </w:rPr>
              <w:t>6.1.1 Fomentar las colaboraciones para aumentar el apoyo en especie (por ejemplo, fomentando las comisiones de servicio, los préstamos...)</w:t>
            </w:r>
          </w:p>
        </w:tc>
      </w:tr>
      <w:tr w:rsidR="004D4543" w:rsidRPr="000645E4" w14:paraId="7C7C9ACE" w14:textId="77777777" w:rsidTr="000645E4">
        <w:trPr>
          <w:trHeight w:val="2480"/>
        </w:trPr>
        <w:tc>
          <w:tcPr>
            <w:tcW w:w="3270" w:type="dxa"/>
            <w:vMerge/>
            <w:shd w:val="clear" w:color="auto" w:fill="auto"/>
            <w:tcMar>
              <w:top w:w="100" w:type="dxa"/>
              <w:left w:w="100" w:type="dxa"/>
              <w:bottom w:w="100" w:type="dxa"/>
              <w:right w:w="100" w:type="dxa"/>
            </w:tcMar>
          </w:tcPr>
          <w:p w14:paraId="71BC04AC"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550C3EE2" w14:textId="03D36C75" w:rsidR="004D4543" w:rsidRPr="000645E4" w:rsidRDefault="00086969" w:rsidP="00980720">
            <w:pPr>
              <w:widowControl w:val="0"/>
              <w:shd w:val="clear" w:color="auto" w:fill="FFFFFF"/>
              <w:spacing w:before="120" w:after="120"/>
              <w:rPr>
                <w:rFonts w:cs="Arial"/>
                <w:szCs w:val="22"/>
                <w:highlight w:val="white"/>
                <w:lang w:val="fr-FR"/>
              </w:rPr>
            </w:pPr>
            <w:r>
              <w:rPr>
                <w:rFonts w:cs="Arial"/>
                <w:szCs w:val="22"/>
                <w:highlight w:val="white"/>
                <w:lang w:val="es"/>
              </w:rPr>
              <w:t xml:space="preserve">6.2 </w:t>
            </w:r>
            <w:r>
              <w:rPr>
                <w:rFonts w:cs="Arial"/>
                <w:szCs w:val="22"/>
                <w:lang w:val="es"/>
              </w:rPr>
              <w:t>Apoyo financiero de los Estados miembros, el sector privado y las organizaciones filantrópicas a las actividades de la COI</w:t>
            </w:r>
          </w:p>
        </w:tc>
        <w:tc>
          <w:tcPr>
            <w:tcW w:w="3284" w:type="dxa"/>
            <w:shd w:val="clear" w:color="auto" w:fill="auto"/>
            <w:tcMar>
              <w:top w:w="100" w:type="dxa"/>
              <w:left w:w="100" w:type="dxa"/>
              <w:bottom w:w="100" w:type="dxa"/>
              <w:right w:w="100" w:type="dxa"/>
            </w:tcMar>
          </w:tcPr>
          <w:p w14:paraId="200A2E7D" w14:textId="77777777" w:rsidR="004D4543" w:rsidRPr="000645E4" w:rsidRDefault="004D4543" w:rsidP="004D4543">
            <w:pPr>
              <w:widowControl w:val="0"/>
              <w:shd w:val="clear" w:color="auto" w:fill="FFFFFF"/>
              <w:spacing w:after="120"/>
              <w:rPr>
                <w:rFonts w:cs="Arial"/>
                <w:szCs w:val="22"/>
                <w:highlight w:val="white"/>
                <w:lang w:val="fr-FR"/>
              </w:rPr>
            </w:pPr>
            <w:r>
              <w:rPr>
                <w:rFonts w:cs="Arial"/>
                <w:szCs w:val="22"/>
                <w:highlight w:val="white"/>
                <w:lang w:val="es"/>
              </w:rPr>
              <w:t>6.2.1 Movilizar recursos de los Estados Miembros, los socios institucionales y el sector privado</w:t>
            </w:r>
          </w:p>
          <w:p w14:paraId="51D53C71" w14:textId="6AEA9B5A" w:rsidR="004D4543" w:rsidRPr="000645E4" w:rsidRDefault="004D4543" w:rsidP="004D4543">
            <w:pPr>
              <w:widowControl w:val="0"/>
              <w:spacing w:after="120"/>
              <w:rPr>
                <w:rFonts w:cs="Arial"/>
                <w:szCs w:val="22"/>
                <w:highlight w:val="white"/>
                <w:lang w:val="fr-FR"/>
              </w:rPr>
            </w:pPr>
            <w:r>
              <w:rPr>
                <w:rFonts w:cs="Arial"/>
                <w:szCs w:val="22"/>
                <w:highlight w:val="white"/>
                <w:lang w:val="es"/>
              </w:rPr>
              <w:t>6.2.2 Aumentar el impacto de los donantes públicos y privados canalizando sus contribuciones hacia objetivos comunes</w:t>
            </w:r>
          </w:p>
        </w:tc>
      </w:tr>
      <w:tr w:rsidR="004D4543" w:rsidRPr="000645E4" w14:paraId="4ADB967D" w14:textId="77777777" w:rsidTr="000645E4">
        <w:trPr>
          <w:trHeight w:val="2850"/>
        </w:trPr>
        <w:tc>
          <w:tcPr>
            <w:tcW w:w="3270" w:type="dxa"/>
            <w:vMerge w:val="restart"/>
            <w:shd w:val="clear" w:color="auto" w:fill="auto"/>
            <w:tcMar>
              <w:top w:w="100" w:type="dxa"/>
              <w:left w:w="100" w:type="dxa"/>
              <w:bottom w:w="100" w:type="dxa"/>
              <w:right w:w="100" w:type="dxa"/>
            </w:tcMar>
          </w:tcPr>
          <w:p w14:paraId="74D633B3" w14:textId="6E77AB5D" w:rsidR="004D4543" w:rsidRPr="000645E4" w:rsidRDefault="004D4543" w:rsidP="00086969">
            <w:pPr>
              <w:widowControl w:val="0"/>
              <w:spacing w:after="120"/>
              <w:rPr>
                <w:rFonts w:cs="Arial"/>
                <w:b/>
                <w:szCs w:val="22"/>
                <w:highlight w:val="white"/>
                <w:lang w:val="fr-FR"/>
              </w:rPr>
            </w:pPr>
            <w:r>
              <w:rPr>
                <w:rFonts w:cs="Arial"/>
                <w:b/>
                <w:bCs/>
                <w:szCs w:val="22"/>
                <w:highlight w:val="white"/>
                <w:lang w:val="es"/>
              </w:rPr>
              <w:t>7. Reconocimiento del patrimonio cultural y natural como pilares de la alfabetización oceánica</w:t>
            </w:r>
          </w:p>
        </w:tc>
        <w:tc>
          <w:tcPr>
            <w:tcW w:w="3075" w:type="dxa"/>
            <w:shd w:val="clear" w:color="auto" w:fill="auto"/>
            <w:tcMar>
              <w:top w:w="100" w:type="dxa"/>
              <w:left w:w="100" w:type="dxa"/>
              <w:bottom w:w="100" w:type="dxa"/>
              <w:right w:w="100" w:type="dxa"/>
            </w:tcMar>
          </w:tcPr>
          <w:p w14:paraId="630D0A63" w14:textId="4556CAB3" w:rsidR="004D4543" w:rsidRPr="000645E4" w:rsidRDefault="004D4543" w:rsidP="00C55528">
            <w:pPr>
              <w:widowControl w:val="0"/>
              <w:spacing w:after="120"/>
              <w:rPr>
                <w:rFonts w:cs="Arial"/>
                <w:szCs w:val="22"/>
                <w:highlight w:val="white"/>
                <w:lang w:val="fr-FR"/>
              </w:rPr>
            </w:pPr>
            <w:r>
              <w:rPr>
                <w:rFonts w:cs="Arial"/>
                <w:szCs w:val="22"/>
                <w:highlight w:val="white"/>
                <w:lang w:val="es"/>
              </w:rPr>
              <w:t>7.1 Integración del patrimonio cultural y natural en los contenidos de alfabetización oceánica</w:t>
            </w:r>
          </w:p>
        </w:tc>
        <w:tc>
          <w:tcPr>
            <w:tcW w:w="3284" w:type="dxa"/>
            <w:shd w:val="clear" w:color="auto" w:fill="auto"/>
            <w:tcMar>
              <w:top w:w="100" w:type="dxa"/>
              <w:left w:w="100" w:type="dxa"/>
              <w:bottom w:w="100" w:type="dxa"/>
              <w:right w:w="100" w:type="dxa"/>
            </w:tcMar>
          </w:tcPr>
          <w:p w14:paraId="065463A4" w14:textId="77777777" w:rsidR="004D4543" w:rsidRPr="000645E4" w:rsidRDefault="004D4543" w:rsidP="00C55528">
            <w:pPr>
              <w:widowControl w:val="0"/>
              <w:spacing w:after="120"/>
              <w:rPr>
                <w:rFonts w:cs="Arial"/>
                <w:szCs w:val="22"/>
                <w:highlight w:val="white"/>
                <w:lang w:val="fr-FR"/>
              </w:rPr>
            </w:pPr>
            <w:r>
              <w:rPr>
                <w:rFonts w:cs="Arial"/>
                <w:szCs w:val="22"/>
                <w:highlight w:val="white"/>
                <w:lang w:val="es"/>
              </w:rPr>
              <w:t>7.1.1 Desarrollar recursos educativos e iniciativas narrativas que pongan de relieve las tradiciones marítimas históricas, los conocimientos marineros y los vínculos culturales con el océano</w:t>
            </w:r>
          </w:p>
          <w:p w14:paraId="52601392" w14:textId="490449CD" w:rsidR="004D4543" w:rsidRPr="000645E4" w:rsidRDefault="004D4543" w:rsidP="00086969">
            <w:pPr>
              <w:widowControl w:val="0"/>
              <w:rPr>
                <w:rFonts w:cs="Arial"/>
                <w:szCs w:val="22"/>
                <w:highlight w:val="white"/>
                <w:lang w:val="fr-FR"/>
              </w:rPr>
            </w:pPr>
            <w:r>
              <w:rPr>
                <w:rFonts w:cs="Arial"/>
                <w:szCs w:val="22"/>
                <w:highlight w:val="white"/>
                <w:lang w:val="es"/>
              </w:rPr>
              <w:t xml:space="preserve">7.1.2 Colaborar con instituciones culturales (por ejemplo, museos, sitios patrimoniales, archivos) para crear conjuntamente exposiciones, planes de estudios y programas de divulgación que conecten el patrimonio con la alfabetización </w:t>
            </w:r>
            <w:r>
              <w:rPr>
                <w:rFonts w:cs="Arial"/>
                <w:szCs w:val="22"/>
                <w:highlight w:val="white"/>
                <w:lang w:val="es"/>
              </w:rPr>
              <w:lastRenderedPageBreak/>
              <w:t>oceánica.</w:t>
            </w:r>
          </w:p>
        </w:tc>
      </w:tr>
      <w:tr w:rsidR="004D4543" w:rsidRPr="000645E4" w14:paraId="2A337951" w14:textId="77777777" w:rsidTr="000645E4">
        <w:tc>
          <w:tcPr>
            <w:tcW w:w="3270" w:type="dxa"/>
            <w:vMerge/>
            <w:shd w:val="clear" w:color="auto" w:fill="auto"/>
            <w:tcMar>
              <w:top w:w="100" w:type="dxa"/>
              <w:left w:w="100" w:type="dxa"/>
              <w:bottom w:w="100" w:type="dxa"/>
              <w:right w:w="100" w:type="dxa"/>
            </w:tcMar>
          </w:tcPr>
          <w:p w14:paraId="308B6C39"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6FC393F5" w14:textId="44901224" w:rsidR="004D4543" w:rsidRPr="000645E4" w:rsidRDefault="004D4543" w:rsidP="004D4543">
            <w:pPr>
              <w:widowControl w:val="0"/>
              <w:spacing w:after="120"/>
              <w:rPr>
                <w:rFonts w:cs="Arial"/>
                <w:szCs w:val="22"/>
                <w:highlight w:val="white"/>
                <w:lang w:val="fr-FR"/>
              </w:rPr>
            </w:pPr>
            <w:r>
              <w:rPr>
                <w:rFonts w:cs="Arial"/>
                <w:szCs w:val="22"/>
                <w:highlight w:val="white"/>
                <w:lang w:val="es"/>
              </w:rPr>
              <w:t>7.2 Reconocimiento y protección del patrimonio cultural y natural marino</w:t>
            </w:r>
          </w:p>
        </w:tc>
        <w:tc>
          <w:tcPr>
            <w:tcW w:w="3284" w:type="dxa"/>
            <w:shd w:val="clear" w:color="auto" w:fill="auto"/>
            <w:tcMar>
              <w:top w:w="100" w:type="dxa"/>
              <w:left w:w="100" w:type="dxa"/>
              <w:bottom w:w="100" w:type="dxa"/>
              <w:right w:w="100" w:type="dxa"/>
            </w:tcMar>
          </w:tcPr>
          <w:p w14:paraId="1F33D1DE"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7.2.1 Sensibilizar sobre las zonas marinas de importancia cultural.</w:t>
            </w:r>
          </w:p>
          <w:p w14:paraId="3D100242" w14:textId="63389F64" w:rsidR="004D4543" w:rsidRPr="000645E4" w:rsidRDefault="004D4543" w:rsidP="00086969">
            <w:pPr>
              <w:widowControl w:val="0"/>
              <w:rPr>
                <w:rFonts w:cs="Arial"/>
                <w:szCs w:val="22"/>
                <w:highlight w:val="white"/>
                <w:lang w:val="fr-FR"/>
              </w:rPr>
            </w:pPr>
            <w:r>
              <w:rPr>
                <w:rFonts w:cs="Arial"/>
                <w:szCs w:val="22"/>
                <w:highlight w:val="white"/>
                <w:lang w:val="es"/>
              </w:rPr>
              <w:t>7.2.2 Promover diálogos políticos y acciones de conservación que integren la alfabetización oceánica con la salvaguardia del patrimonio cultural y natural marino.</w:t>
            </w:r>
          </w:p>
        </w:tc>
      </w:tr>
      <w:tr w:rsidR="004D4543" w:rsidRPr="000645E4" w14:paraId="43E43B42" w14:textId="77777777" w:rsidTr="000645E4">
        <w:tc>
          <w:tcPr>
            <w:tcW w:w="3270" w:type="dxa"/>
            <w:vMerge/>
            <w:shd w:val="clear" w:color="auto" w:fill="auto"/>
            <w:tcMar>
              <w:top w:w="100" w:type="dxa"/>
              <w:left w:w="100" w:type="dxa"/>
              <w:bottom w:w="100" w:type="dxa"/>
              <w:right w:w="100" w:type="dxa"/>
            </w:tcMar>
          </w:tcPr>
          <w:p w14:paraId="75E8A5D1"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792E3D48"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7.3 Reconocimiento de la importancia de los sistemas de conocimiento indígenas y locales</w:t>
            </w:r>
          </w:p>
        </w:tc>
        <w:tc>
          <w:tcPr>
            <w:tcW w:w="3284" w:type="dxa"/>
            <w:shd w:val="clear" w:color="auto" w:fill="auto"/>
            <w:tcMar>
              <w:top w:w="100" w:type="dxa"/>
              <w:left w:w="100" w:type="dxa"/>
              <w:bottom w:w="100" w:type="dxa"/>
              <w:right w:w="100" w:type="dxa"/>
            </w:tcMar>
          </w:tcPr>
          <w:p w14:paraId="7DF1E4D2"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7.3.1 Garantizar una representación respetuosa de los conocimientos indígenas y locales en los esfuerzos formales e informales de alfabetización oceánica.</w:t>
            </w:r>
          </w:p>
        </w:tc>
      </w:tr>
      <w:tr w:rsidR="004D4543" w:rsidRPr="000645E4" w14:paraId="55FC2FAE" w14:textId="77777777" w:rsidTr="000645E4">
        <w:trPr>
          <w:trHeight w:val="2012"/>
        </w:trPr>
        <w:tc>
          <w:tcPr>
            <w:tcW w:w="3270" w:type="dxa"/>
            <w:vMerge w:val="restart"/>
            <w:shd w:val="clear" w:color="auto" w:fill="auto"/>
            <w:tcMar>
              <w:top w:w="100" w:type="dxa"/>
              <w:left w:w="100" w:type="dxa"/>
              <w:bottom w:w="100" w:type="dxa"/>
              <w:right w:w="100" w:type="dxa"/>
            </w:tcMar>
          </w:tcPr>
          <w:p w14:paraId="65291A11" w14:textId="77777777" w:rsidR="004D4543" w:rsidRPr="000645E4" w:rsidRDefault="004D4543" w:rsidP="00C55528">
            <w:pPr>
              <w:widowControl w:val="0"/>
              <w:spacing w:after="120"/>
              <w:rPr>
                <w:rFonts w:cs="Arial"/>
                <w:b/>
                <w:szCs w:val="22"/>
                <w:highlight w:val="white"/>
                <w:lang w:val="fr-FR"/>
              </w:rPr>
            </w:pPr>
            <w:r>
              <w:rPr>
                <w:rFonts w:cs="Arial"/>
                <w:b/>
                <w:bCs/>
                <w:szCs w:val="22"/>
                <w:highlight w:val="white"/>
                <w:lang w:val="es"/>
              </w:rPr>
              <w:t>8. Alfabetización oceánica integrada en las políticas y la toma de decisiones</w:t>
            </w:r>
          </w:p>
        </w:tc>
        <w:tc>
          <w:tcPr>
            <w:tcW w:w="3075" w:type="dxa"/>
            <w:shd w:val="clear" w:color="auto" w:fill="auto"/>
            <w:tcMar>
              <w:top w:w="100" w:type="dxa"/>
              <w:left w:w="100" w:type="dxa"/>
              <w:bottom w:w="100" w:type="dxa"/>
              <w:right w:w="100" w:type="dxa"/>
            </w:tcMar>
          </w:tcPr>
          <w:p w14:paraId="66128E2C" w14:textId="6DCB1C8A" w:rsidR="004D4543" w:rsidRPr="000645E4" w:rsidRDefault="004D4543" w:rsidP="00086969">
            <w:pPr>
              <w:widowControl w:val="0"/>
              <w:spacing w:after="120"/>
              <w:ind w:left="8"/>
              <w:rPr>
                <w:rFonts w:cs="Arial"/>
                <w:szCs w:val="22"/>
                <w:highlight w:val="white"/>
                <w:lang w:val="fr-FR"/>
              </w:rPr>
            </w:pPr>
            <w:r>
              <w:rPr>
                <w:rFonts w:cs="Arial"/>
                <w:szCs w:val="22"/>
                <w:highlight w:val="white"/>
                <w:lang w:val="es"/>
              </w:rPr>
              <w:t>8.1 Sensibilización de los responsables políticos</w:t>
            </w:r>
          </w:p>
        </w:tc>
        <w:tc>
          <w:tcPr>
            <w:tcW w:w="3284" w:type="dxa"/>
            <w:shd w:val="clear" w:color="auto" w:fill="auto"/>
            <w:tcMar>
              <w:top w:w="100" w:type="dxa"/>
              <w:left w:w="100" w:type="dxa"/>
              <w:bottom w:w="100" w:type="dxa"/>
              <w:right w:w="100" w:type="dxa"/>
            </w:tcMar>
          </w:tcPr>
          <w:p w14:paraId="70E51E4D" w14:textId="77777777" w:rsidR="004D4543" w:rsidRPr="000645E4" w:rsidRDefault="004D4543" w:rsidP="00C55528">
            <w:pPr>
              <w:widowControl w:val="0"/>
              <w:spacing w:after="120"/>
              <w:rPr>
                <w:rFonts w:cs="Arial"/>
                <w:szCs w:val="22"/>
                <w:highlight w:val="white"/>
                <w:lang w:val="fr-FR"/>
              </w:rPr>
            </w:pPr>
            <w:r>
              <w:rPr>
                <w:rFonts w:cs="Arial"/>
                <w:szCs w:val="22"/>
                <w:highlight w:val="white"/>
                <w:lang w:val="es"/>
              </w:rPr>
              <w:t>8.1.1 Crear oportunidades de interacción con los responsables políticos a distintos niveles</w:t>
            </w:r>
          </w:p>
          <w:p w14:paraId="3E5ECD71" w14:textId="2412C55B" w:rsidR="004D4543" w:rsidRPr="000645E4" w:rsidRDefault="004D4543" w:rsidP="00086969">
            <w:pPr>
              <w:widowControl w:val="0"/>
              <w:rPr>
                <w:rFonts w:cs="Arial"/>
                <w:szCs w:val="22"/>
                <w:highlight w:val="white"/>
                <w:lang w:val="fr-FR"/>
              </w:rPr>
            </w:pPr>
            <w:r>
              <w:rPr>
                <w:rFonts w:cs="Arial"/>
                <w:szCs w:val="22"/>
                <w:highlight w:val="white"/>
                <w:lang w:val="es"/>
              </w:rPr>
              <w:t>8.1.2 Aumentar la concienciación mediante materiales ad hoc y oportunidades diseñadas para los responsables políticos</w:t>
            </w:r>
          </w:p>
        </w:tc>
      </w:tr>
      <w:tr w:rsidR="004D4543" w:rsidRPr="000645E4" w14:paraId="77C59665" w14:textId="77777777" w:rsidTr="000645E4">
        <w:trPr>
          <w:trHeight w:val="1510"/>
        </w:trPr>
        <w:tc>
          <w:tcPr>
            <w:tcW w:w="3270" w:type="dxa"/>
            <w:vMerge/>
            <w:shd w:val="clear" w:color="auto" w:fill="auto"/>
            <w:tcMar>
              <w:top w:w="100" w:type="dxa"/>
              <w:left w:w="100" w:type="dxa"/>
              <w:bottom w:w="100" w:type="dxa"/>
              <w:right w:w="100" w:type="dxa"/>
            </w:tcMar>
          </w:tcPr>
          <w:p w14:paraId="411A8C67" w14:textId="77777777" w:rsidR="004D4543" w:rsidRPr="000645E4" w:rsidRDefault="004D4543" w:rsidP="00C55528">
            <w:pPr>
              <w:widowControl w:val="0"/>
              <w:spacing w:after="120"/>
              <w:rPr>
                <w:rFonts w:cs="Arial"/>
                <w:b/>
                <w:szCs w:val="22"/>
                <w:highlight w:val="white"/>
                <w:lang w:val="fr-FR"/>
              </w:rPr>
            </w:pPr>
          </w:p>
        </w:tc>
        <w:tc>
          <w:tcPr>
            <w:tcW w:w="3075" w:type="dxa"/>
            <w:shd w:val="clear" w:color="auto" w:fill="auto"/>
            <w:tcMar>
              <w:top w:w="100" w:type="dxa"/>
              <w:left w:w="100" w:type="dxa"/>
              <w:bottom w:w="100" w:type="dxa"/>
              <w:right w:w="100" w:type="dxa"/>
            </w:tcMar>
          </w:tcPr>
          <w:p w14:paraId="32892DCD" w14:textId="77777777" w:rsidR="004D4543" w:rsidRPr="00C55528" w:rsidRDefault="004D4543" w:rsidP="004D4543">
            <w:pPr>
              <w:widowControl w:val="0"/>
              <w:spacing w:after="120"/>
              <w:rPr>
                <w:rFonts w:cs="Arial"/>
                <w:szCs w:val="22"/>
                <w:highlight w:val="white"/>
              </w:rPr>
            </w:pPr>
            <w:r>
              <w:rPr>
                <w:rFonts w:cs="Arial"/>
                <w:szCs w:val="22"/>
                <w:highlight w:val="white"/>
                <w:lang w:val="es"/>
              </w:rPr>
              <w:t>8.2 Gobernanza intersectorial</w:t>
            </w:r>
          </w:p>
        </w:tc>
        <w:tc>
          <w:tcPr>
            <w:tcW w:w="3284" w:type="dxa"/>
            <w:shd w:val="clear" w:color="auto" w:fill="auto"/>
            <w:tcMar>
              <w:top w:w="100" w:type="dxa"/>
              <w:left w:w="100" w:type="dxa"/>
              <w:bottom w:w="100" w:type="dxa"/>
              <w:right w:w="100" w:type="dxa"/>
            </w:tcMar>
          </w:tcPr>
          <w:p w14:paraId="5847A511"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8.2.1 Integrar los principios de alfabetización oceánica en las políticas marinas nacionales y regionales, las estrategias de economía azul y los marcos de adaptación al cambio climático</w:t>
            </w:r>
          </w:p>
          <w:p w14:paraId="4F9460D4" w14:textId="77777777" w:rsidR="004D4543" w:rsidRPr="000645E4" w:rsidRDefault="004D4543" w:rsidP="004D4543">
            <w:pPr>
              <w:widowControl w:val="0"/>
              <w:spacing w:after="120"/>
              <w:rPr>
                <w:rFonts w:cs="Arial"/>
                <w:szCs w:val="22"/>
                <w:highlight w:val="white"/>
                <w:lang w:val="fr-FR"/>
              </w:rPr>
            </w:pPr>
            <w:r>
              <w:rPr>
                <w:rFonts w:cs="Arial"/>
                <w:szCs w:val="22"/>
                <w:highlight w:val="white"/>
                <w:lang w:val="es"/>
              </w:rPr>
              <w:t xml:space="preserve">8.2.2 Fomentar enfoques intersectoriales de gobernanza que den prioridad a la alfabetización oceánica como </w:t>
            </w:r>
            <w:r>
              <w:rPr>
                <w:rFonts w:cs="Arial"/>
                <w:szCs w:val="22"/>
                <w:highlight w:val="white"/>
                <w:lang w:val="es"/>
              </w:rPr>
              <w:lastRenderedPageBreak/>
              <w:t>herramienta para la gestión sostenible de los océanos</w:t>
            </w:r>
          </w:p>
          <w:p w14:paraId="53AEE64A" w14:textId="77777777" w:rsidR="004D4543" w:rsidRPr="000645E4" w:rsidRDefault="004D4543" w:rsidP="00086969">
            <w:pPr>
              <w:widowControl w:val="0"/>
              <w:rPr>
                <w:rFonts w:cs="Arial"/>
                <w:szCs w:val="22"/>
                <w:highlight w:val="white"/>
                <w:lang w:val="fr-FR"/>
              </w:rPr>
            </w:pPr>
            <w:r>
              <w:rPr>
                <w:rFonts w:cs="Arial"/>
                <w:szCs w:val="22"/>
                <w:lang w:val="es"/>
              </w:rPr>
              <w:t>8.2.3 Aprovechar la perspectiva de los jóvenes en los procesos de toma de decisiones</w:t>
            </w:r>
          </w:p>
        </w:tc>
      </w:tr>
      <w:tr w:rsidR="00086969" w:rsidRPr="000645E4" w14:paraId="3D5E73F1" w14:textId="77777777" w:rsidTr="000645E4">
        <w:tc>
          <w:tcPr>
            <w:tcW w:w="3270" w:type="dxa"/>
            <w:vMerge w:val="restart"/>
            <w:shd w:val="clear" w:color="auto" w:fill="auto"/>
            <w:tcMar>
              <w:top w:w="100" w:type="dxa"/>
              <w:left w:w="100" w:type="dxa"/>
              <w:bottom w:w="100" w:type="dxa"/>
              <w:right w:w="100" w:type="dxa"/>
            </w:tcMar>
          </w:tcPr>
          <w:p w14:paraId="46BE18ED" w14:textId="77777777" w:rsidR="00086969" w:rsidRPr="00C55528" w:rsidRDefault="00086969" w:rsidP="00086969">
            <w:pPr>
              <w:widowControl w:val="0"/>
              <w:spacing w:after="120"/>
              <w:ind w:left="338" w:hanging="360"/>
              <w:rPr>
                <w:rFonts w:cs="Arial"/>
                <w:b/>
                <w:szCs w:val="22"/>
                <w:highlight w:val="white"/>
              </w:rPr>
            </w:pPr>
            <w:r>
              <w:rPr>
                <w:rFonts w:cs="Arial"/>
                <w:b/>
                <w:bCs/>
                <w:szCs w:val="22"/>
                <w:highlight w:val="white"/>
                <w:lang w:val="es"/>
              </w:rPr>
              <w:lastRenderedPageBreak/>
              <w:t>9. Mayor concienciación pública y compromiso digital</w:t>
            </w:r>
          </w:p>
        </w:tc>
        <w:tc>
          <w:tcPr>
            <w:tcW w:w="3075" w:type="dxa"/>
            <w:shd w:val="clear" w:color="auto" w:fill="auto"/>
            <w:tcMar>
              <w:top w:w="100" w:type="dxa"/>
              <w:left w:w="100" w:type="dxa"/>
              <w:bottom w:w="100" w:type="dxa"/>
              <w:right w:w="100" w:type="dxa"/>
            </w:tcMar>
          </w:tcPr>
          <w:p w14:paraId="751083C7" w14:textId="16451718" w:rsidR="00086969" w:rsidRPr="00C55528" w:rsidRDefault="00086969" w:rsidP="00086969">
            <w:pPr>
              <w:widowControl w:val="0"/>
              <w:spacing w:after="120"/>
              <w:ind w:left="386" w:hanging="360"/>
              <w:rPr>
                <w:rFonts w:cs="Arial"/>
                <w:szCs w:val="22"/>
                <w:highlight w:val="white"/>
              </w:rPr>
            </w:pPr>
            <w:r>
              <w:rPr>
                <w:rFonts w:cs="Arial"/>
                <w:szCs w:val="22"/>
                <w:highlight w:val="white"/>
                <w:lang w:val="es"/>
              </w:rPr>
              <w:t>9.1 Visibilidad de los medios</w:t>
            </w:r>
          </w:p>
        </w:tc>
        <w:tc>
          <w:tcPr>
            <w:tcW w:w="3284" w:type="dxa"/>
            <w:shd w:val="clear" w:color="auto" w:fill="auto"/>
            <w:tcMar>
              <w:top w:w="100" w:type="dxa"/>
              <w:left w:w="100" w:type="dxa"/>
              <w:bottom w:w="100" w:type="dxa"/>
              <w:right w:w="100" w:type="dxa"/>
            </w:tcMar>
          </w:tcPr>
          <w:p w14:paraId="159C672D" w14:textId="77777777" w:rsidR="00086969" w:rsidRPr="000645E4" w:rsidRDefault="00086969" w:rsidP="00C55528">
            <w:pPr>
              <w:widowControl w:val="0"/>
              <w:spacing w:after="120"/>
              <w:rPr>
                <w:rFonts w:cs="Arial"/>
                <w:szCs w:val="22"/>
                <w:highlight w:val="white"/>
                <w:lang w:val="fr-FR"/>
              </w:rPr>
            </w:pPr>
            <w:r>
              <w:rPr>
                <w:rFonts w:cs="Arial"/>
                <w:szCs w:val="22"/>
                <w:highlight w:val="white"/>
                <w:lang w:val="es"/>
              </w:rPr>
              <w:t>9.1.1 Reforzar la colaboración con los medios de comunicación tradicionales y los creadores de contenidos en línea para amplificar la AO, por ejemplo, a través de periódicos, revistas, redes sociales, podcasts y narraciones interactivas</w:t>
            </w:r>
          </w:p>
          <w:p w14:paraId="2C2EE2D2" w14:textId="77777777" w:rsidR="00086969" w:rsidRPr="000645E4" w:rsidRDefault="00086969" w:rsidP="00C55528">
            <w:pPr>
              <w:widowControl w:val="0"/>
              <w:spacing w:after="120"/>
              <w:rPr>
                <w:rFonts w:cs="Arial"/>
                <w:szCs w:val="22"/>
                <w:lang w:val="fr-FR"/>
              </w:rPr>
            </w:pPr>
            <w:r>
              <w:rPr>
                <w:rFonts w:cs="Arial"/>
                <w:szCs w:val="22"/>
                <w:lang w:val="es"/>
              </w:rPr>
              <w:t>9.1.2 Reforzar la colaboración con los jóvenes defensores de los océanos para convertirlos en amplificadores de la alfabetización oceánica</w:t>
            </w:r>
          </w:p>
          <w:p w14:paraId="7615CCCB" w14:textId="3302CE5C" w:rsidR="00086969" w:rsidRPr="000645E4" w:rsidRDefault="00086969" w:rsidP="00086969">
            <w:pPr>
              <w:widowControl w:val="0"/>
              <w:rPr>
                <w:rFonts w:cs="Arial"/>
                <w:szCs w:val="22"/>
                <w:highlight w:val="white"/>
                <w:lang w:val="fr-FR"/>
              </w:rPr>
            </w:pPr>
            <w:r>
              <w:rPr>
                <w:rFonts w:cs="Arial"/>
                <w:szCs w:val="22"/>
                <w:highlight w:val="white"/>
                <w:lang w:val="es"/>
              </w:rPr>
              <w:t>9.2.1 Llevar a cabo campañas y programas de divulgación pública diseñados para involucrar a públicos más amplios en la Alfabetización Oceánica</w:t>
            </w:r>
          </w:p>
        </w:tc>
      </w:tr>
      <w:tr w:rsidR="00086969" w:rsidRPr="000645E4" w14:paraId="3796113A" w14:textId="77777777" w:rsidTr="000645E4">
        <w:tc>
          <w:tcPr>
            <w:tcW w:w="3270" w:type="dxa"/>
            <w:vMerge/>
            <w:shd w:val="clear" w:color="auto" w:fill="auto"/>
            <w:tcMar>
              <w:top w:w="100" w:type="dxa"/>
              <w:left w:w="100" w:type="dxa"/>
              <w:bottom w:w="100" w:type="dxa"/>
              <w:right w:w="100" w:type="dxa"/>
            </w:tcMar>
          </w:tcPr>
          <w:p w14:paraId="5E49ADD2" w14:textId="77777777" w:rsidR="00086969" w:rsidRPr="000645E4" w:rsidRDefault="00086969" w:rsidP="00086969">
            <w:pPr>
              <w:widowControl w:val="0"/>
              <w:spacing w:after="120"/>
              <w:ind w:left="338" w:hanging="360"/>
              <w:rPr>
                <w:rFonts w:cs="Arial"/>
                <w:b/>
                <w:szCs w:val="22"/>
                <w:highlight w:val="white"/>
                <w:lang w:val="fr-FR"/>
              </w:rPr>
            </w:pPr>
          </w:p>
        </w:tc>
        <w:tc>
          <w:tcPr>
            <w:tcW w:w="3075" w:type="dxa"/>
            <w:shd w:val="clear" w:color="auto" w:fill="auto"/>
            <w:tcMar>
              <w:top w:w="100" w:type="dxa"/>
              <w:left w:w="100" w:type="dxa"/>
              <w:bottom w:w="100" w:type="dxa"/>
              <w:right w:w="100" w:type="dxa"/>
            </w:tcMar>
          </w:tcPr>
          <w:p w14:paraId="4B9E346B" w14:textId="3B600B1C" w:rsidR="00086969" w:rsidRPr="00C55528" w:rsidRDefault="00086969" w:rsidP="00086969">
            <w:pPr>
              <w:widowControl w:val="0"/>
              <w:spacing w:after="120"/>
              <w:ind w:left="386" w:hanging="360"/>
              <w:rPr>
                <w:rFonts w:cs="Arial"/>
                <w:szCs w:val="22"/>
                <w:highlight w:val="white"/>
              </w:rPr>
            </w:pPr>
            <w:r>
              <w:rPr>
                <w:rFonts w:cs="Arial"/>
                <w:szCs w:val="22"/>
                <w:highlight w:val="white"/>
                <w:lang w:val="es"/>
              </w:rPr>
              <w:t>9.2 Divulgación digital</w:t>
            </w:r>
          </w:p>
        </w:tc>
        <w:tc>
          <w:tcPr>
            <w:tcW w:w="3284" w:type="dxa"/>
            <w:shd w:val="clear" w:color="auto" w:fill="auto"/>
            <w:tcMar>
              <w:top w:w="100" w:type="dxa"/>
              <w:left w:w="100" w:type="dxa"/>
              <w:bottom w:w="100" w:type="dxa"/>
              <w:right w:w="100" w:type="dxa"/>
            </w:tcMar>
          </w:tcPr>
          <w:p w14:paraId="0F4DD2A1" w14:textId="610304F8" w:rsidR="00086969" w:rsidRPr="000645E4" w:rsidRDefault="00086969" w:rsidP="00086969">
            <w:pPr>
              <w:widowControl w:val="0"/>
              <w:rPr>
                <w:rFonts w:cs="Arial"/>
                <w:szCs w:val="22"/>
                <w:highlight w:val="white"/>
                <w:lang w:val="fr-FR"/>
              </w:rPr>
            </w:pPr>
            <w:r>
              <w:rPr>
                <w:rFonts w:cs="Arial"/>
                <w:szCs w:val="22"/>
                <w:highlight w:val="white"/>
                <w:lang w:val="es"/>
              </w:rPr>
              <w:t>9.2.2 Utilizar tecnologías emergentes como la RV y las herramientas de visualización de datos para crear una narración impactante y envolvente que haga más accesible y atractiva la ciencia oceánica.</w:t>
            </w:r>
          </w:p>
        </w:tc>
      </w:tr>
    </w:tbl>
    <w:p w14:paraId="47DE08CB" w14:textId="77777777" w:rsidR="00C55528" w:rsidRPr="000645E4" w:rsidRDefault="00C55528" w:rsidP="00086969">
      <w:pPr>
        <w:pStyle w:val="ListParagraph"/>
        <w:snapToGrid w:val="0"/>
        <w:spacing w:before="240" w:after="240"/>
        <w:ind w:left="0"/>
        <w:contextualSpacing w:val="0"/>
        <w:rPr>
          <w:rFonts w:ascii="Arial" w:hAnsi="Arial" w:cs="Arial"/>
          <w:sz w:val="22"/>
          <w:szCs w:val="22"/>
          <w:lang w:val="fr-FR"/>
        </w:rPr>
      </w:pPr>
    </w:p>
    <w:sectPr w:rsidR="00C55528" w:rsidRPr="000645E4" w:rsidSect="003F7186">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AF827" w14:textId="77777777" w:rsidR="003A1612" w:rsidRDefault="003A1612">
      <w:r>
        <w:separator/>
      </w:r>
    </w:p>
  </w:endnote>
  <w:endnote w:type="continuationSeparator" w:id="0">
    <w:p w14:paraId="6BEB3081" w14:textId="77777777" w:rsidR="003A1612" w:rsidRDefault="003A1612">
      <w:r>
        <w:continuationSeparator/>
      </w:r>
    </w:p>
  </w:endnote>
  <w:endnote w:type="continuationNotice" w:id="1">
    <w:p w14:paraId="703A3248" w14:textId="77777777" w:rsidR="003A1612" w:rsidRDefault="003A1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AFC1" w14:textId="77777777" w:rsidR="003A1612" w:rsidRDefault="003A1612">
      <w:r>
        <w:separator/>
      </w:r>
    </w:p>
  </w:footnote>
  <w:footnote w:type="continuationSeparator" w:id="0">
    <w:p w14:paraId="38316D0D" w14:textId="77777777" w:rsidR="003A1612" w:rsidRDefault="003A1612">
      <w:r>
        <w:continuationSeparator/>
      </w:r>
    </w:p>
  </w:footnote>
  <w:footnote w:type="continuationNotice" w:id="1">
    <w:p w14:paraId="0D913F56" w14:textId="77777777" w:rsidR="003A1612" w:rsidRDefault="003A1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19C4" w14:textId="77777777" w:rsidR="00441140" w:rsidRPr="00C962F0" w:rsidRDefault="00441140">
    <w:pPr>
      <w:pStyle w:val="Header"/>
      <w:rPr>
        <w:szCs w:val="22"/>
      </w:rPr>
    </w:pPr>
    <w:r>
      <w:rPr>
        <w:szCs w:val="22"/>
        <w:lang w:val="es"/>
      </w:rPr>
      <w:t>ICG/CARIBE-EWS II/WD </w:t>
    </w:r>
    <w:r>
      <w:rPr>
        <w:szCs w:val="22"/>
        <w:highlight w:val="cyan"/>
        <w:lang w:val="es"/>
      </w:rPr>
      <w:t>__</w:t>
    </w:r>
  </w:p>
  <w:p w14:paraId="6A24548F" w14:textId="77777777" w:rsidR="00441140" w:rsidRPr="00C962F0" w:rsidRDefault="00441140">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D62A" w14:textId="77777777" w:rsidR="00441140" w:rsidRPr="00746B89" w:rsidRDefault="00441140" w:rsidP="00DF2FB9">
    <w:pPr>
      <w:pStyle w:val="Header"/>
      <w:tabs>
        <w:tab w:val="clear" w:pos="8306"/>
      </w:tabs>
      <w:rPr>
        <w:szCs w:val="22"/>
      </w:rPr>
    </w:pPr>
    <w:r>
      <w:rPr>
        <w:szCs w:val="22"/>
        <w:lang w:val="es"/>
      </w:rPr>
      <w:t xml:space="preserve">IOC-XXIV/2 Anexo </w:t>
    </w:r>
    <w:r>
      <w:rPr>
        <w:szCs w:val="22"/>
        <w:highlight w:val="yellow"/>
        <w:lang w:val="es"/>
      </w:rPr>
      <w:t>__</w:t>
    </w:r>
  </w:p>
  <w:p w14:paraId="70AB0676" w14:textId="77777777" w:rsidR="00441140" w:rsidRPr="00746B89" w:rsidRDefault="00441140"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6C23CAB6"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D51F" w14:textId="677DC019" w:rsidR="00C12E5A" w:rsidRPr="0087165E" w:rsidRDefault="00C12E5A" w:rsidP="00AA2CD5">
    <w:pPr>
      <w:pStyle w:val="Marge"/>
      <w:tabs>
        <w:tab w:val="left" w:pos="6096"/>
        <w:tab w:val="left" w:pos="7560"/>
      </w:tabs>
      <w:spacing w:after="0"/>
      <w:rPr>
        <w:rFonts w:cs="Arial"/>
        <w:b/>
        <w:szCs w:val="22"/>
        <w:lang w:val="fr-FR"/>
      </w:rPr>
    </w:pPr>
    <w:r>
      <w:rPr>
        <w:rFonts w:cs="Arial"/>
        <w:szCs w:val="22"/>
        <w:lang w:val="es"/>
      </w:rPr>
      <w:t>Distribución restringida</w:t>
    </w:r>
    <w:r>
      <w:rPr>
        <w:rFonts w:cs="Arial"/>
        <w:szCs w:val="22"/>
        <w:lang w:val="es"/>
      </w:rPr>
      <w:tab/>
    </w:r>
    <w:r>
      <w:rPr>
        <w:rFonts w:cs="Arial"/>
        <w:b/>
        <w:bCs/>
        <w:sz w:val="36"/>
        <w:szCs w:val="36"/>
        <w:lang w:val="es"/>
      </w:rPr>
      <w:t>IOC/A-33/4.4.Doc(1)</w:t>
    </w:r>
  </w:p>
  <w:p w14:paraId="403ABF5B" w14:textId="44AF88F1" w:rsidR="00C12E5A" w:rsidRPr="0087165E" w:rsidRDefault="00C12E5A" w:rsidP="00AA2CD5">
    <w:pPr>
      <w:tabs>
        <w:tab w:val="left" w:pos="6096"/>
        <w:tab w:val="left" w:pos="7560"/>
      </w:tabs>
      <w:jc w:val="both"/>
      <w:rPr>
        <w:rFonts w:asciiTheme="minorBidi" w:hAnsiTheme="minorBidi"/>
        <w:lang w:val="fr-FR"/>
      </w:rPr>
    </w:pPr>
    <w:r>
      <w:rPr>
        <w:noProof/>
        <w:lang w:val="es"/>
      </w:rPr>
      <w:drawing>
        <wp:anchor distT="0" distB="0" distL="114300" distR="114300" simplePos="0" relativeHeight="251678720" behindDoc="0" locked="0" layoutInCell="1" allowOverlap="1" wp14:anchorId="68D4C686" wp14:editId="00519DD6">
          <wp:simplePos x="0" y="0"/>
          <wp:positionH relativeFrom="column">
            <wp:posOffset>-96875</wp:posOffset>
          </wp:positionH>
          <wp:positionV relativeFrom="paragraph">
            <wp:posOffset>101600</wp:posOffset>
          </wp:positionV>
          <wp:extent cx="1578610" cy="1047115"/>
          <wp:effectExtent l="0" t="0" r="2540" b="635"/>
          <wp:wrapSquare wrapText="bothSides"/>
          <wp:docPr id="4" name="Picture 4"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
      </w:rPr>
      <w:tab/>
    </w:r>
    <w:r>
      <w:rPr>
        <w:rFonts w:asciiTheme="minorBidi" w:hAnsiTheme="minorBidi"/>
        <w:lang w:val="es"/>
      </w:rPr>
      <w:t>París, 24 de abril de 2025</w:t>
    </w:r>
  </w:p>
  <w:p w14:paraId="28CBEFA2" w14:textId="77777777" w:rsidR="00C12E5A" w:rsidRPr="0087165E" w:rsidRDefault="00C12E5A" w:rsidP="00AA2CD5">
    <w:pPr>
      <w:tabs>
        <w:tab w:val="left" w:pos="6096"/>
        <w:tab w:val="left" w:pos="7560"/>
      </w:tabs>
      <w:jc w:val="both"/>
      <w:rPr>
        <w:rFonts w:asciiTheme="minorBidi" w:hAnsiTheme="minorBidi"/>
        <w:lang w:val="fr-FR"/>
      </w:rPr>
    </w:pPr>
    <w:r>
      <w:rPr>
        <w:rFonts w:asciiTheme="minorBidi" w:hAnsiTheme="minorBidi"/>
        <w:lang w:val="es"/>
      </w:rPr>
      <w:tab/>
      <w:t>Original: Inglés</w:t>
    </w:r>
  </w:p>
  <w:p w14:paraId="32B4F112" w14:textId="77777777" w:rsidR="00C12E5A" w:rsidRPr="0087165E" w:rsidRDefault="00C12E5A" w:rsidP="00AA2CD5">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6096"/>
        <w:tab w:val="left" w:pos="7020"/>
        <w:tab w:val="left" w:pos="7088"/>
      </w:tabs>
      <w:jc w:val="both"/>
      <w:rPr>
        <w:rFonts w:asciiTheme="minorBidi" w:hAnsiTheme="minorBidi"/>
        <w:b/>
        <w:lang w:val="fr-FR"/>
      </w:rPr>
    </w:pPr>
  </w:p>
  <w:p w14:paraId="6291037F"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704015AC"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32EBCD58"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4FB8D5E3"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40B06903"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658C4EF5"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lang w:val="fr-FR"/>
      </w:rPr>
    </w:pPr>
  </w:p>
  <w:p w14:paraId="52BE075C"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lang w:val="fr-FR"/>
      </w:rPr>
    </w:pPr>
    <w:r>
      <w:rPr>
        <w:rFonts w:asciiTheme="minorBidi" w:hAnsiTheme="minorBidi"/>
        <w:b/>
        <w:bCs/>
        <w:lang w:val="es"/>
      </w:rPr>
      <w:t>COMISIÓN OCEANOGRÁFICA INTERGUBERNAMENTAL</w:t>
    </w:r>
  </w:p>
  <w:p w14:paraId="5F2D4603" w14:textId="77777777" w:rsidR="00C12E5A" w:rsidRPr="0087165E" w:rsidRDefault="00C12E5A" w:rsidP="00C12E5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Cs/>
        <w:lang w:val="fr-FR"/>
      </w:rPr>
    </w:pPr>
    <w:r>
      <w:rPr>
        <w:rFonts w:asciiTheme="minorBidi" w:hAnsiTheme="minorBidi"/>
        <w:lang w:val="es"/>
      </w:rPr>
      <w:t>(de la UNESCO)</w:t>
    </w:r>
  </w:p>
  <w:p w14:paraId="66E3C903" w14:textId="77777777" w:rsidR="00C12E5A" w:rsidRPr="0087165E" w:rsidRDefault="00C12E5A" w:rsidP="00C12E5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lang w:val="fr-FR"/>
      </w:rPr>
    </w:pPr>
  </w:p>
  <w:p w14:paraId="4BA375D2" w14:textId="3BCA84F4" w:rsidR="00C12E5A" w:rsidRPr="0087165E"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lang w:val="fr-FR"/>
      </w:rPr>
    </w:pPr>
    <w:r>
      <w:rPr>
        <w:rFonts w:asciiTheme="minorBidi" w:hAnsiTheme="minorBidi"/>
        <w:b/>
        <w:bCs/>
        <w:lang w:val="es"/>
      </w:rPr>
      <w:t>33ª reunión de la Asamblea</w:t>
    </w:r>
  </w:p>
  <w:p w14:paraId="58EBCB2F" w14:textId="18A6D34D" w:rsidR="00C12E5A" w:rsidRPr="0087165E" w:rsidRDefault="00C12E5A" w:rsidP="00C12E5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lang w:val="fr-FR"/>
      </w:rPr>
    </w:pPr>
    <w:r>
      <w:rPr>
        <w:rFonts w:asciiTheme="minorBidi" w:hAnsiTheme="minorBidi"/>
        <w:lang w:val="es"/>
      </w:rPr>
      <w:t>UNESCO, 25 de junio - 3 de julio de 2025</w:t>
    </w:r>
  </w:p>
  <w:p w14:paraId="68DEB85E" w14:textId="77777777" w:rsidR="00C12E5A" w:rsidRPr="0087165E"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lang w:val="fr-FR"/>
      </w:rPr>
    </w:pPr>
  </w:p>
  <w:p w14:paraId="4B804AF5" w14:textId="77777777" w:rsidR="00C12E5A" w:rsidRPr="0087165E"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lang w:val="fr-FR"/>
      </w:rPr>
    </w:pPr>
  </w:p>
  <w:p w14:paraId="56DFEACC" w14:textId="77777777" w:rsidR="00C12E5A" w:rsidRPr="0087165E" w:rsidRDefault="00C12E5A" w:rsidP="00C12E5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bCs/>
        <w:lang w:val="fr-FR"/>
      </w:rPr>
    </w:pPr>
  </w:p>
  <w:p w14:paraId="4353D660" w14:textId="77777777" w:rsidR="00C12E5A" w:rsidRPr="0087165E" w:rsidRDefault="00C12E5A" w:rsidP="00C12E5A">
    <w:pPr>
      <w:jc w:val="center"/>
      <w:rPr>
        <w:rFonts w:asciiTheme="minorBidi" w:hAnsiTheme="minorBidi"/>
        <w:lang w:val="fr-FR"/>
      </w:rPr>
    </w:pPr>
  </w:p>
  <w:p w14:paraId="0253EDC1" w14:textId="77777777" w:rsidR="00C12E5A" w:rsidRPr="0087165E" w:rsidRDefault="00C12E5A" w:rsidP="00C12E5A">
    <w:pPr>
      <w:jc w:val="center"/>
      <w:rPr>
        <w:rFonts w:asciiTheme="minorBidi" w:hAnsiTheme="minorBidi"/>
        <w:lang w:val="fr-FR"/>
      </w:rPr>
    </w:pPr>
  </w:p>
  <w:p w14:paraId="53E488E5" w14:textId="77777777" w:rsidR="000156E0" w:rsidRPr="0087165E" w:rsidRDefault="000156E0" w:rsidP="000156E0">
    <w:pPr>
      <w:jc w:val="center"/>
      <w:rPr>
        <w:rFonts w:cs="Arial"/>
        <w:szCs w:val="22"/>
        <w:lang w:val="fr-FR"/>
      </w:rPr>
    </w:pPr>
  </w:p>
  <w:p w14:paraId="0164A3F9" w14:textId="724115FF" w:rsidR="000156E0" w:rsidRPr="00AA2CD5" w:rsidRDefault="000156E0" w:rsidP="00AD7234">
    <w:pPr>
      <w:pStyle w:val="Heading7"/>
      <w:tabs>
        <w:tab w:val="left" w:pos="5920"/>
      </w:tabs>
      <w:spacing w:line="240" w:lineRule="auto"/>
      <w:rPr>
        <w:rFonts w:cs="Arial"/>
        <w:sz w:val="24"/>
      </w:rPr>
    </w:pPr>
    <w:r>
      <w:rPr>
        <w:rFonts w:cs="Arial"/>
        <w:sz w:val="24"/>
        <w:lang w:val="es"/>
      </w:rPr>
      <w:t xml:space="preserve">Punto </w:t>
    </w:r>
    <w:r>
      <w:rPr>
        <w:rFonts w:cs="Arial"/>
        <w:b/>
        <w:bCs/>
        <w:sz w:val="24"/>
        <w:lang w:val="es"/>
      </w:rPr>
      <w:t>4.4</w:t>
    </w:r>
    <w:r>
      <w:rPr>
        <w:rFonts w:cs="Arial"/>
        <w:sz w:val="24"/>
        <w:lang w:val="es"/>
      </w:rPr>
      <w:t xml:space="preserve"> del orden del día provisional</w:t>
    </w:r>
  </w:p>
  <w:p w14:paraId="0CF3255B" w14:textId="77777777" w:rsidR="000156E0" w:rsidRPr="005E544C" w:rsidRDefault="000156E0" w:rsidP="000156E0">
    <w:pPr>
      <w:rPr>
        <w:rFonts w:cs="Arial"/>
        <w:szCs w:val="22"/>
      </w:rPr>
    </w:pPr>
  </w:p>
  <w:p w14:paraId="1E581F27" w14:textId="77777777" w:rsidR="00441140" w:rsidRPr="005E544C" w:rsidRDefault="00441140" w:rsidP="00DF2FB9">
    <w:pPr>
      <w:rPr>
        <w:rFonts w:cs="Arial"/>
        <w:szCs w:val="22"/>
      </w:rPr>
    </w:pPr>
  </w:p>
  <w:p w14:paraId="35AFDEFB" w14:textId="2BE5E9A9" w:rsidR="00441140" w:rsidRPr="0087165E" w:rsidRDefault="00AC32C8" w:rsidP="00515584">
    <w:pPr>
      <w:pStyle w:val="Docheading"/>
      <w:spacing w:after="0"/>
      <w:rPr>
        <w:color w:val="000000"/>
        <w:sz w:val="22"/>
        <w:szCs w:val="22"/>
        <w:lang w:val="fr-FR"/>
      </w:rPr>
    </w:pPr>
    <w:r>
      <w:rPr>
        <w:color w:val="000000"/>
        <w:sz w:val="22"/>
        <w:szCs w:val="22"/>
        <w:lang w:val="es"/>
      </w:rPr>
      <w:t>Proyecto de Plan de Acción de la COI sobre Alfabetización Oceánica para 2026-2030</w:t>
    </w:r>
  </w:p>
  <w:p w14:paraId="370A056C" w14:textId="77777777" w:rsidR="00441140" w:rsidRPr="0087165E" w:rsidRDefault="00441140" w:rsidP="00DF2FB9">
    <w:pPr>
      <w:pStyle w:val="Header"/>
      <w:rPr>
        <w:rFonts w:cs="Arial"/>
        <w:b/>
        <w:szCs w:val="22"/>
        <w:lang w:val="fr-FR"/>
      </w:rPr>
    </w:pPr>
  </w:p>
  <w:p w14:paraId="167EC998" w14:textId="77777777" w:rsidR="00441140" w:rsidRPr="0087165E" w:rsidRDefault="00441140">
    <w:pPr>
      <w:pStyle w:val="Header"/>
      <w:rPr>
        <w:rFonts w:cs="Arial"/>
        <w:szCs w:val="22"/>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95D" w14:textId="79604A59" w:rsidR="00441140" w:rsidRPr="006842FA" w:rsidRDefault="00242324" w:rsidP="00C12E5A">
    <w:pPr>
      <w:pStyle w:val="Header"/>
      <w:tabs>
        <w:tab w:val="clear" w:pos="8306"/>
      </w:tabs>
      <w:rPr>
        <w:rFonts w:cs="Arial"/>
        <w:sz w:val="20"/>
        <w:szCs w:val="20"/>
      </w:rPr>
    </w:pPr>
    <w:r>
      <w:rPr>
        <w:rFonts w:cs="Arial"/>
        <w:sz w:val="20"/>
        <w:szCs w:val="20"/>
        <w:lang w:val="es"/>
      </w:rPr>
      <w:t xml:space="preserve">IOC/A-33/4.4.Doc(1) - 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4</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F2C3" w14:textId="343C5C8B" w:rsidR="0037249C" w:rsidRPr="006842FA" w:rsidRDefault="00EA6689" w:rsidP="00AA2CD5">
    <w:pPr>
      <w:pStyle w:val="Header"/>
      <w:tabs>
        <w:tab w:val="clear" w:pos="8306"/>
      </w:tabs>
      <w:ind w:firstLine="6804"/>
      <w:rPr>
        <w:rFonts w:cs="Arial"/>
        <w:sz w:val="20"/>
        <w:szCs w:val="20"/>
      </w:rPr>
    </w:pPr>
    <w:r>
      <w:rPr>
        <w:rFonts w:cs="Arial"/>
        <w:sz w:val="20"/>
        <w:szCs w:val="20"/>
        <w:lang w:val="es"/>
      </w:rPr>
      <w:t xml:space="preserve">IOC/A-33/4.4.Doc(1) - 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3</w:t>
    </w:r>
    <w:r>
      <w:rPr>
        <w:rStyle w:val="PageNumber"/>
        <w:rFonts w:cs="Arial"/>
        <w:sz w:val="20"/>
        <w:szCs w:val="20"/>
        <w:lang w:val="es"/>
      </w:rPr>
      <w:fldChar w:fldCharType="end"/>
    </w:r>
  </w:p>
  <w:p w14:paraId="6AAB52E1" w14:textId="77777777" w:rsidR="00441140" w:rsidRPr="00424DE6" w:rsidRDefault="00441140" w:rsidP="00AA2CD5">
    <w:pPr>
      <w:pStyle w:val="Header"/>
      <w:ind w:left="8364" w:firstLine="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F427" w14:textId="2E26F68C" w:rsidR="00307660" w:rsidRPr="006842FA" w:rsidRDefault="00242324" w:rsidP="00AA2CD5">
    <w:pPr>
      <w:pStyle w:val="Header"/>
      <w:tabs>
        <w:tab w:val="clear" w:pos="8306"/>
      </w:tabs>
      <w:ind w:right="119"/>
      <w:jc w:val="right"/>
      <w:rPr>
        <w:rFonts w:cs="Arial"/>
        <w:sz w:val="20"/>
        <w:szCs w:val="20"/>
      </w:rPr>
    </w:pPr>
    <w:r>
      <w:rPr>
        <w:rFonts w:cs="Arial"/>
        <w:sz w:val="20"/>
        <w:szCs w:val="20"/>
        <w:lang w:val="es"/>
      </w:rPr>
      <w:t>IOC/A-33/4.4.Doc(1) - página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D9043B"/>
    <w:multiLevelType w:val="hybridMultilevel"/>
    <w:tmpl w:val="F4167F0A"/>
    <w:lvl w:ilvl="0" w:tplc="043E3BCA">
      <w:start w:val="1"/>
      <w:numFmt w:val="decimal"/>
      <w:pStyle w:val="EX4text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52973"/>
    <w:multiLevelType w:val="hybridMultilevel"/>
    <w:tmpl w:val="B5FC1906"/>
    <w:lvl w:ilvl="0" w:tplc="C362FA30">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08B5D50"/>
    <w:multiLevelType w:val="hybridMultilevel"/>
    <w:tmpl w:val="72964D36"/>
    <w:lvl w:ilvl="0" w:tplc="6B565D42">
      <w:start w:val="1"/>
      <w:numFmt w:val="decimal"/>
      <w:lvlText w:val="%1."/>
      <w:lvlJc w:val="left"/>
      <w:pPr>
        <w:ind w:left="720" w:hanging="360"/>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A54160"/>
    <w:multiLevelType w:val="hybridMultilevel"/>
    <w:tmpl w:val="1F568C2A"/>
    <w:lvl w:ilvl="0" w:tplc="D04692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B39E8"/>
    <w:multiLevelType w:val="hybridMultilevel"/>
    <w:tmpl w:val="62E8B2BC"/>
    <w:lvl w:ilvl="0" w:tplc="C0DC364A">
      <w:start w:val="1"/>
      <w:numFmt w:val="lowerRoman"/>
      <w:lvlText w:val="(%1)"/>
      <w:lvlJc w:val="left"/>
      <w:pPr>
        <w:ind w:left="1069" w:hanging="360"/>
      </w:pPr>
      <w:rPr>
        <w:rFonts w:hint="default"/>
        <w:sz w:val="22"/>
        <w:szCs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284513F4"/>
    <w:multiLevelType w:val="hybridMultilevel"/>
    <w:tmpl w:val="C7FA78FE"/>
    <w:lvl w:ilvl="0" w:tplc="280A53C2">
      <w:start w:val="1"/>
      <w:numFmt w:val="decimal"/>
      <w:lvlText w:val="%1."/>
      <w:lvlJc w:val="left"/>
      <w:pPr>
        <w:ind w:left="798" w:hanging="360"/>
      </w:pPr>
      <w:rPr>
        <w:rFonts w:hint="default"/>
      </w:rPr>
    </w:lvl>
    <w:lvl w:ilvl="1" w:tplc="040C0019" w:tentative="1">
      <w:start w:val="1"/>
      <w:numFmt w:val="lowerLetter"/>
      <w:lvlText w:val="%2."/>
      <w:lvlJc w:val="left"/>
      <w:pPr>
        <w:ind w:left="1518" w:hanging="360"/>
      </w:pPr>
    </w:lvl>
    <w:lvl w:ilvl="2" w:tplc="040C001B" w:tentative="1">
      <w:start w:val="1"/>
      <w:numFmt w:val="lowerRoman"/>
      <w:lvlText w:val="%3."/>
      <w:lvlJc w:val="right"/>
      <w:pPr>
        <w:ind w:left="2238" w:hanging="180"/>
      </w:pPr>
    </w:lvl>
    <w:lvl w:ilvl="3" w:tplc="040C000F" w:tentative="1">
      <w:start w:val="1"/>
      <w:numFmt w:val="decimal"/>
      <w:lvlText w:val="%4."/>
      <w:lvlJc w:val="left"/>
      <w:pPr>
        <w:ind w:left="2958" w:hanging="360"/>
      </w:pPr>
    </w:lvl>
    <w:lvl w:ilvl="4" w:tplc="040C0019" w:tentative="1">
      <w:start w:val="1"/>
      <w:numFmt w:val="lowerLetter"/>
      <w:lvlText w:val="%5."/>
      <w:lvlJc w:val="left"/>
      <w:pPr>
        <w:ind w:left="3678" w:hanging="360"/>
      </w:pPr>
    </w:lvl>
    <w:lvl w:ilvl="5" w:tplc="040C001B" w:tentative="1">
      <w:start w:val="1"/>
      <w:numFmt w:val="lowerRoman"/>
      <w:lvlText w:val="%6."/>
      <w:lvlJc w:val="right"/>
      <w:pPr>
        <w:ind w:left="4398" w:hanging="180"/>
      </w:pPr>
    </w:lvl>
    <w:lvl w:ilvl="6" w:tplc="040C000F" w:tentative="1">
      <w:start w:val="1"/>
      <w:numFmt w:val="decimal"/>
      <w:lvlText w:val="%7."/>
      <w:lvlJc w:val="left"/>
      <w:pPr>
        <w:ind w:left="5118" w:hanging="360"/>
      </w:pPr>
    </w:lvl>
    <w:lvl w:ilvl="7" w:tplc="040C0019" w:tentative="1">
      <w:start w:val="1"/>
      <w:numFmt w:val="lowerLetter"/>
      <w:lvlText w:val="%8."/>
      <w:lvlJc w:val="left"/>
      <w:pPr>
        <w:ind w:left="5838" w:hanging="360"/>
      </w:pPr>
    </w:lvl>
    <w:lvl w:ilvl="8" w:tplc="040C001B" w:tentative="1">
      <w:start w:val="1"/>
      <w:numFmt w:val="lowerRoman"/>
      <w:lvlText w:val="%9."/>
      <w:lvlJc w:val="right"/>
      <w:pPr>
        <w:ind w:left="6558" w:hanging="180"/>
      </w:pPr>
    </w:lvl>
  </w:abstractNum>
  <w:abstractNum w:abstractNumId="9"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1" w15:restartNumberingAfterBreak="0">
    <w:nsid w:val="33D06747"/>
    <w:multiLevelType w:val="hybridMultilevel"/>
    <w:tmpl w:val="C4847498"/>
    <w:lvl w:ilvl="0" w:tplc="35405A98">
      <w:start w:val="5"/>
      <w:numFmt w:val="bullet"/>
      <w:lvlText w:val="-"/>
      <w:lvlJc w:val="left"/>
      <w:pPr>
        <w:ind w:left="1086" w:hanging="360"/>
      </w:pPr>
      <w:rPr>
        <w:rFonts w:ascii="Arial" w:eastAsia="Arial Unicode MS" w:hAnsi="Arial" w:cs="Aria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2"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A16202C"/>
    <w:multiLevelType w:val="hybridMultilevel"/>
    <w:tmpl w:val="5C465BE8"/>
    <w:lvl w:ilvl="0" w:tplc="6B842CB8">
      <w:start w:val="1"/>
      <w:numFmt w:val="upperLetter"/>
      <w:lvlText w:val="%1."/>
      <w:lvlJc w:val="left"/>
      <w:pPr>
        <w:ind w:left="644" w:hanging="360"/>
      </w:pPr>
      <w:rPr>
        <w:rFonts w:ascii="Arial" w:eastAsia="Arial Unicode MS"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30DC1"/>
    <w:multiLevelType w:val="hybridMultilevel"/>
    <w:tmpl w:val="F508E1DE"/>
    <w:lvl w:ilvl="0" w:tplc="865E46E6">
      <w:start w:val="1"/>
      <w:numFmt w:val="decimal"/>
      <w:lvlText w:val="%1."/>
      <w:lvlJc w:val="left"/>
      <w:pPr>
        <w:ind w:left="720" w:hanging="360"/>
      </w:pPr>
      <w:rPr>
        <w:rFonts w:ascii="Arial" w:hAnsi="Arial" w:cs="Arial" w:hint="default"/>
        <w:b w:val="0"/>
        <w:bCs w:val="0"/>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204C64"/>
    <w:multiLevelType w:val="hybridMultilevel"/>
    <w:tmpl w:val="56C4212A"/>
    <w:lvl w:ilvl="0" w:tplc="AB30E35C">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C768C1"/>
    <w:multiLevelType w:val="hybridMultilevel"/>
    <w:tmpl w:val="D3E809BA"/>
    <w:lvl w:ilvl="0" w:tplc="82E6549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71307C"/>
    <w:multiLevelType w:val="hybridMultilevel"/>
    <w:tmpl w:val="800A9C98"/>
    <w:lvl w:ilvl="0" w:tplc="E538536C">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0" w15:restartNumberingAfterBreak="0">
    <w:nsid w:val="601432EB"/>
    <w:multiLevelType w:val="hybridMultilevel"/>
    <w:tmpl w:val="5F0E0364"/>
    <w:lvl w:ilvl="0" w:tplc="95743006">
      <w:start w:val="1"/>
      <w:numFmt w:val="decimal"/>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4B35C5"/>
    <w:multiLevelType w:val="hybridMultilevel"/>
    <w:tmpl w:val="256E4662"/>
    <w:lvl w:ilvl="0" w:tplc="1AA6A1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16cid:durableId="572937752">
    <w:abstractNumId w:val="10"/>
  </w:num>
  <w:num w:numId="2" w16cid:durableId="1678075405">
    <w:abstractNumId w:val="16"/>
  </w:num>
  <w:num w:numId="3" w16cid:durableId="2006280147">
    <w:abstractNumId w:val="0"/>
  </w:num>
  <w:num w:numId="4" w16cid:durableId="1321991">
    <w:abstractNumId w:val="2"/>
  </w:num>
  <w:num w:numId="5" w16cid:durableId="1734548371">
    <w:abstractNumId w:val="4"/>
  </w:num>
  <w:num w:numId="6" w16cid:durableId="946540261">
    <w:abstractNumId w:val="16"/>
  </w:num>
  <w:num w:numId="7" w16cid:durableId="761416369">
    <w:abstractNumId w:val="16"/>
  </w:num>
  <w:num w:numId="8" w16cid:durableId="587884316">
    <w:abstractNumId w:val="23"/>
  </w:num>
  <w:num w:numId="9" w16cid:durableId="1526602520">
    <w:abstractNumId w:val="12"/>
  </w:num>
  <w:num w:numId="10" w16cid:durableId="1237016383">
    <w:abstractNumId w:val="9"/>
  </w:num>
  <w:num w:numId="11" w16cid:durableId="1680545545">
    <w:abstractNumId w:val="20"/>
  </w:num>
  <w:num w:numId="12" w16cid:durableId="566458689">
    <w:abstractNumId w:val="21"/>
  </w:num>
  <w:num w:numId="13" w16cid:durableId="247929692">
    <w:abstractNumId w:val="18"/>
  </w:num>
  <w:num w:numId="14" w16cid:durableId="696547056">
    <w:abstractNumId w:val="14"/>
  </w:num>
  <w:num w:numId="15" w16cid:durableId="1131822702">
    <w:abstractNumId w:val="24"/>
  </w:num>
  <w:num w:numId="16" w16cid:durableId="693461447">
    <w:abstractNumId w:val="11"/>
  </w:num>
  <w:num w:numId="17" w16cid:durableId="1102726446">
    <w:abstractNumId w:val="7"/>
  </w:num>
  <w:num w:numId="18" w16cid:durableId="35786334">
    <w:abstractNumId w:val="17"/>
  </w:num>
  <w:num w:numId="19" w16cid:durableId="2078891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318763">
    <w:abstractNumId w:val="3"/>
  </w:num>
  <w:num w:numId="21" w16cid:durableId="1722483817">
    <w:abstractNumId w:val="16"/>
    <w:lvlOverride w:ilvl="0">
      <w:startOverride w:val="1"/>
    </w:lvlOverride>
  </w:num>
  <w:num w:numId="22" w16cid:durableId="1832406208">
    <w:abstractNumId w:val="16"/>
  </w:num>
  <w:num w:numId="23" w16cid:durableId="1749376128">
    <w:abstractNumId w:val="16"/>
  </w:num>
  <w:num w:numId="24" w16cid:durableId="1684891873">
    <w:abstractNumId w:val="8"/>
  </w:num>
  <w:num w:numId="25" w16cid:durableId="1624456666">
    <w:abstractNumId w:val="22"/>
  </w:num>
  <w:num w:numId="26" w16cid:durableId="669796030">
    <w:abstractNumId w:val="16"/>
  </w:num>
  <w:num w:numId="27" w16cid:durableId="1807312026">
    <w:abstractNumId w:val="5"/>
  </w:num>
  <w:num w:numId="28" w16cid:durableId="801994466">
    <w:abstractNumId w:val="6"/>
  </w:num>
  <w:num w:numId="29" w16cid:durableId="400448360">
    <w:abstractNumId w:val="1"/>
  </w:num>
  <w:num w:numId="30" w16cid:durableId="1931044810">
    <w:abstractNumId w:val="1"/>
  </w:num>
  <w:num w:numId="31" w16cid:durableId="359353575">
    <w:abstractNumId w:val="1"/>
  </w:num>
  <w:num w:numId="32" w16cid:durableId="189152868">
    <w:abstractNumId w:val="1"/>
  </w:num>
  <w:num w:numId="33" w16cid:durableId="1190411679">
    <w:abstractNumId w:val="1"/>
  </w:num>
  <w:num w:numId="34" w16cid:durableId="1090857255">
    <w:abstractNumId w:val="1"/>
  </w:num>
  <w:num w:numId="35" w16cid:durableId="128254715">
    <w:abstractNumId w:val="1"/>
  </w:num>
  <w:num w:numId="36" w16cid:durableId="1063483451">
    <w:abstractNumId w:val="1"/>
  </w:num>
  <w:num w:numId="37" w16cid:durableId="419177891">
    <w:abstractNumId w:val="1"/>
  </w:num>
  <w:num w:numId="38" w16cid:durableId="296492527">
    <w:abstractNumId w:val="1"/>
  </w:num>
  <w:num w:numId="39" w16cid:durableId="1734766860">
    <w:abstractNumId w:val="1"/>
  </w:num>
  <w:num w:numId="40" w16cid:durableId="567305042">
    <w:abstractNumId w:val="1"/>
  </w:num>
  <w:num w:numId="41" w16cid:durableId="1726948244">
    <w:abstractNumId w:val="19"/>
  </w:num>
  <w:num w:numId="42" w16cid:durableId="5571124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BBB"/>
    <w:rsid w:val="000156E0"/>
    <w:rsid w:val="00020AA1"/>
    <w:rsid w:val="000278A0"/>
    <w:rsid w:val="0003688F"/>
    <w:rsid w:val="00040227"/>
    <w:rsid w:val="000417CB"/>
    <w:rsid w:val="000560F7"/>
    <w:rsid w:val="00062051"/>
    <w:rsid w:val="000645E4"/>
    <w:rsid w:val="00076BD8"/>
    <w:rsid w:val="00084687"/>
    <w:rsid w:val="00085274"/>
    <w:rsid w:val="00085D6A"/>
    <w:rsid w:val="00085D85"/>
    <w:rsid w:val="00086969"/>
    <w:rsid w:val="00090A62"/>
    <w:rsid w:val="000B276A"/>
    <w:rsid w:val="000B693C"/>
    <w:rsid w:val="000B7E2A"/>
    <w:rsid w:val="000C2EE5"/>
    <w:rsid w:val="000C38C8"/>
    <w:rsid w:val="000C61A0"/>
    <w:rsid w:val="000C6E08"/>
    <w:rsid w:val="000D16AC"/>
    <w:rsid w:val="000D5B8F"/>
    <w:rsid w:val="000E0239"/>
    <w:rsid w:val="000E3E1A"/>
    <w:rsid w:val="000E6EE5"/>
    <w:rsid w:val="000E73F9"/>
    <w:rsid w:val="000F0254"/>
    <w:rsid w:val="0010242E"/>
    <w:rsid w:val="001156AE"/>
    <w:rsid w:val="00123719"/>
    <w:rsid w:val="001241D7"/>
    <w:rsid w:val="0012479D"/>
    <w:rsid w:val="001370E4"/>
    <w:rsid w:val="00137BED"/>
    <w:rsid w:val="00137E97"/>
    <w:rsid w:val="001448C4"/>
    <w:rsid w:val="00152A1B"/>
    <w:rsid w:val="00155BA3"/>
    <w:rsid w:val="00163192"/>
    <w:rsid w:val="00166397"/>
    <w:rsid w:val="00167158"/>
    <w:rsid w:val="00171EF4"/>
    <w:rsid w:val="001732BA"/>
    <w:rsid w:val="00184B8E"/>
    <w:rsid w:val="001877F5"/>
    <w:rsid w:val="00196052"/>
    <w:rsid w:val="00196F31"/>
    <w:rsid w:val="001A037F"/>
    <w:rsid w:val="001A58AE"/>
    <w:rsid w:val="001A63A0"/>
    <w:rsid w:val="001B3B24"/>
    <w:rsid w:val="001C21FC"/>
    <w:rsid w:val="001C2C69"/>
    <w:rsid w:val="001C6455"/>
    <w:rsid w:val="001C7875"/>
    <w:rsid w:val="001D27FC"/>
    <w:rsid w:val="001D75DB"/>
    <w:rsid w:val="001E0980"/>
    <w:rsid w:val="001E7083"/>
    <w:rsid w:val="001E7522"/>
    <w:rsid w:val="001F5E0D"/>
    <w:rsid w:val="00203217"/>
    <w:rsid w:val="00217DF6"/>
    <w:rsid w:val="00223053"/>
    <w:rsid w:val="00242324"/>
    <w:rsid w:val="002579C2"/>
    <w:rsid w:val="002652F9"/>
    <w:rsid w:val="00274BB0"/>
    <w:rsid w:val="0027622C"/>
    <w:rsid w:val="002810CD"/>
    <w:rsid w:val="00285CF5"/>
    <w:rsid w:val="002A0AE0"/>
    <w:rsid w:val="002A19EF"/>
    <w:rsid w:val="002B282C"/>
    <w:rsid w:val="002B7A48"/>
    <w:rsid w:val="002C7DE3"/>
    <w:rsid w:val="002D14C8"/>
    <w:rsid w:val="002D441C"/>
    <w:rsid w:val="002D52FA"/>
    <w:rsid w:val="002E0859"/>
    <w:rsid w:val="002E09D1"/>
    <w:rsid w:val="002E2C57"/>
    <w:rsid w:val="002E2D68"/>
    <w:rsid w:val="002E6768"/>
    <w:rsid w:val="002E6D7F"/>
    <w:rsid w:val="00305778"/>
    <w:rsid w:val="00307660"/>
    <w:rsid w:val="0031161D"/>
    <w:rsid w:val="003178E9"/>
    <w:rsid w:val="00317E5D"/>
    <w:rsid w:val="003404ED"/>
    <w:rsid w:val="00340A23"/>
    <w:rsid w:val="0034156B"/>
    <w:rsid w:val="00347E19"/>
    <w:rsid w:val="003623CC"/>
    <w:rsid w:val="003631A7"/>
    <w:rsid w:val="003640DC"/>
    <w:rsid w:val="00364C91"/>
    <w:rsid w:val="0037184C"/>
    <w:rsid w:val="0037249C"/>
    <w:rsid w:val="003756CF"/>
    <w:rsid w:val="0038059E"/>
    <w:rsid w:val="003805F5"/>
    <w:rsid w:val="00387AE8"/>
    <w:rsid w:val="00393543"/>
    <w:rsid w:val="003A0024"/>
    <w:rsid w:val="003A1612"/>
    <w:rsid w:val="003A561A"/>
    <w:rsid w:val="003A7860"/>
    <w:rsid w:val="003B3CAC"/>
    <w:rsid w:val="003B5530"/>
    <w:rsid w:val="003D3711"/>
    <w:rsid w:val="003E0E67"/>
    <w:rsid w:val="003F43F9"/>
    <w:rsid w:val="003F7186"/>
    <w:rsid w:val="004002D4"/>
    <w:rsid w:val="00413F17"/>
    <w:rsid w:val="004165C9"/>
    <w:rsid w:val="00424DE6"/>
    <w:rsid w:val="00434F47"/>
    <w:rsid w:val="0043609D"/>
    <w:rsid w:val="00441140"/>
    <w:rsid w:val="00451B96"/>
    <w:rsid w:val="004529B8"/>
    <w:rsid w:val="00454C74"/>
    <w:rsid w:val="00467E3F"/>
    <w:rsid w:val="004827E4"/>
    <w:rsid w:val="0048449B"/>
    <w:rsid w:val="00490261"/>
    <w:rsid w:val="0049221C"/>
    <w:rsid w:val="00497E20"/>
    <w:rsid w:val="004A135F"/>
    <w:rsid w:val="004A5784"/>
    <w:rsid w:val="004B4ECA"/>
    <w:rsid w:val="004B7BD6"/>
    <w:rsid w:val="004C1625"/>
    <w:rsid w:val="004D4543"/>
    <w:rsid w:val="004D6679"/>
    <w:rsid w:val="004E0B15"/>
    <w:rsid w:val="004F397F"/>
    <w:rsid w:val="004F7D6C"/>
    <w:rsid w:val="0050245B"/>
    <w:rsid w:val="00515584"/>
    <w:rsid w:val="00525395"/>
    <w:rsid w:val="00526572"/>
    <w:rsid w:val="0053255C"/>
    <w:rsid w:val="00536148"/>
    <w:rsid w:val="005407B6"/>
    <w:rsid w:val="00547068"/>
    <w:rsid w:val="0058198C"/>
    <w:rsid w:val="00587137"/>
    <w:rsid w:val="00590C03"/>
    <w:rsid w:val="005B2FDF"/>
    <w:rsid w:val="005B57CA"/>
    <w:rsid w:val="005B5B97"/>
    <w:rsid w:val="005C02B7"/>
    <w:rsid w:val="005C7A36"/>
    <w:rsid w:val="005C7D76"/>
    <w:rsid w:val="005D0ADD"/>
    <w:rsid w:val="005E1C99"/>
    <w:rsid w:val="005E544C"/>
    <w:rsid w:val="005E6889"/>
    <w:rsid w:val="005F4D23"/>
    <w:rsid w:val="005F6E3A"/>
    <w:rsid w:val="00602A67"/>
    <w:rsid w:val="006110DA"/>
    <w:rsid w:val="0062678D"/>
    <w:rsid w:val="006308BD"/>
    <w:rsid w:val="00633EA5"/>
    <w:rsid w:val="00637672"/>
    <w:rsid w:val="00676F33"/>
    <w:rsid w:val="0068128E"/>
    <w:rsid w:val="006842FA"/>
    <w:rsid w:val="0068682C"/>
    <w:rsid w:val="00687541"/>
    <w:rsid w:val="00690A0C"/>
    <w:rsid w:val="00690FD2"/>
    <w:rsid w:val="00693199"/>
    <w:rsid w:val="00694465"/>
    <w:rsid w:val="00696079"/>
    <w:rsid w:val="006A761F"/>
    <w:rsid w:val="006B2FDD"/>
    <w:rsid w:val="006B4B95"/>
    <w:rsid w:val="006B51BA"/>
    <w:rsid w:val="006B59E2"/>
    <w:rsid w:val="006B7489"/>
    <w:rsid w:val="006C18D9"/>
    <w:rsid w:val="006C1BDA"/>
    <w:rsid w:val="006C3A73"/>
    <w:rsid w:val="006C6449"/>
    <w:rsid w:val="006D1125"/>
    <w:rsid w:val="006D3998"/>
    <w:rsid w:val="006D5041"/>
    <w:rsid w:val="006E1454"/>
    <w:rsid w:val="006E3870"/>
    <w:rsid w:val="006E692F"/>
    <w:rsid w:val="006E7073"/>
    <w:rsid w:val="006F0C64"/>
    <w:rsid w:val="006F1F38"/>
    <w:rsid w:val="00703F52"/>
    <w:rsid w:val="00723A8F"/>
    <w:rsid w:val="00735830"/>
    <w:rsid w:val="007367B0"/>
    <w:rsid w:val="00737A18"/>
    <w:rsid w:val="00741CAA"/>
    <w:rsid w:val="007457B7"/>
    <w:rsid w:val="00746B89"/>
    <w:rsid w:val="007471D6"/>
    <w:rsid w:val="00762C36"/>
    <w:rsid w:val="00785386"/>
    <w:rsid w:val="007870B1"/>
    <w:rsid w:val="0079212B"/>
    <w:rsid w:val="007B1B9A"/>
    <w:rsid w:val="007C1458"/>
    <w:rsid w:val="007D3B71"/>
    <w:rsid w:val="007E4F92"/>
    <w:rsid w:val="007F78E8"/>
    <w:rsid w:val="00801754"/>
    <w:rsid w:val="008048D2"/>
    <w:rsid w:val="00806C60"/>
    <w:rsid w:val="00813CAF"/>
    <w:rsid w:val="008302D7"/>
    <w:rsid w:val="00831211"/>
    <w:rsid w:val="0084251A"/>
    <w:rsid w:val="00850CB1"/>
    <w:rsid w:val="00853565"/>
    <w:rsid w:val="00854DA0"/>
    <w:rsid w:val="00863113"/>
    <w:rsid w:val="00867FCD"/>
    <w:rsid w:val="00870C14"/>
    <w:rsid w:val="00870CE7"/>
    <w:rsid w:val="0087165E"/>
    <w:rsid w:val="008754BE"/>
    <w:rsid w:val="00875ECD"/>
    <w:rsid w:val="008823B5"/>
    <w:rsid w:val="008849F0"/>
    <w:rsid w:val="0089077E"/>
    <w:rsid w:val="00891331"/>
    <w:rsid w:val="00891D09"/>
    <w:rsid w:val="00893AD3"/>
    <w:rsid w:val="0089563B"/>
    <w:rsid w:val="008A4F60"/>
    <w:rsid w:val="008A6E5C"/>
    <w:rsid w:val="008B2DC6"/>
    <w:rsid w:val="008B384B"/>
    <w:rsid w:val="008B4705"/>
    <w:rsid w:val="008B4C73"/>
    <w:rsid w:val="008D1EEC"/>
    <w:rsid w:val="008D2398"/>
    <w:rsid w:val="008D548F"/>
    <w:rsid w:val="008E3DD1"/>
    <w:rsid w:val="008F0FBC"/>
    <w:rsid w:val="008F5B6C"/>
    <w:rsid w:val="008F6942"/>
    <w:rsid w:val="009026D3"/>
    <w:rsid w:val="00936C3F"/>
    <w:rsid w:val="00937EF7"/>
    <w:rsid w:val="0094763F"/>
    <w:rsid w:val="00950A83"/>
    <w:rsid w:val="00952863"/>
    <w:rsid w:val="00961211"/>
    <w:rsid w:val="0096159B"/>
    <w:rsid w:val="00966A0F"/>
    <w:rsid w:val="00980050"/>
    <w:rsid w:val="00980720"/>
    <w:rsid w:val="00980B08"/>
    <w:rsid w:val="00987BBD"/>
    <w:rsid w:val="00993CA4"/>
    <w:rsid w:val="009A62A9"/>
    <w:rsid w:val="009B2E7D"/>
    <w:rsid w:val="009B63AB"/>
    <w:rsid w:val="009C0A89"/>
    <w:rsid w:val="009C13EF"/>
    <w:rsid w:val="009C15B1"/>
    <w:rsid w:val="009D30AD"/>
    <w:rsid w:val="009E48BD"/>
    <w:rsid w:val="009E6A03"/>
    <w:rsid w:val="009E78BB"/>
    <w:rsid w:val="009F2FC0"/>
    <w:rsid w:val="009F7769"/>
    <w:rsid w:val="00A01A30"/>
    <w:rsid w:val="00A02F9F"/>
    <w:rsid w:val="00A11697"/>
    <w:rsid w:val="00A14093"/>
    <w:rsid w:val="00A203FC"/>
    <w:rsid w:val="00A23B4A"/>
    <w:rsid w:val="00A25BC8"/>
    <w:rsid w:val="00A43E9C"/>
    <w:rsid w:val="00A51715"/>
    <w:rsid w:val="00A66FC7"/>
    <w:rsid w:val="00A67718"/>
    <w:rsid w:val="00A759A6"/>
    <w:rsid w:val="00A92572"/>
    <w:rsid w:val="00A92893"/>
    <w:rsid w:val="00A931AA"/>
    <w:rsid w:val="00AA2B13"/>
    <w:rsid w:val="00AA2CD5"/>
    <w:rsid w:val="00AB50B8"/>
    <w:rsid w:val="00AC32C8"/>
    <w:rsid w:val="00AC6A22"/>
    <w:rsid w:val="00AC6BA4"/>
    <w:rsid w:val="00AC773C"/>
    <w:rsid w:val="00AD3D55"/>
    <w:rsid w:val="00AD494A"/>
    <w:rsid w:val="00AD7234"/>
    <w:rsid w:val="00AE329C"/>
    <w:rsid w:val="00B042BC"/>
    <w:rsid w:val="00B06427"/>
    <w:rsid w:val="00B13226"/>
    <w:rsid w:val="00B37EDA"/>
    <w:rsid w:val="00B55C66"/>
    <w:rsid w:val="00B64631"/>
    <w:rsid w:val="00B722DE"/>
    <w:rsid w:val="00B73F4F"/>
    <w:rsid w:val="00B818D2"/>
    <w:rsid w:val="00B83068"/>
    <w:rsid w:val="00B838FB"/>
    <w:rsid w:val="00B94164"/>
    <w:rsid w:val="00BA0B22"/>
    <w:rsid w:val="00BA76D9"/>
    <w:rsid w:val="00BB5D00"/>
    <w:rsid w:val="00BC2FD9"/>
    <w:rsid w:val="00BC7416"/>
    <w:rsid w:val="00BD6603"/>
    <w:rsid w:val="00BD6E89"/>
    <w:rsid w:val="00BE35BA"/>
    <w:rsid w:val="00BE4427"/>
    <w:rsid w:val="00BE68DC"/>
    <w:rsid w:val="00BF069C"/>
    <w:rsid w:val="00BF1838"/>
    <w:rsid w:val="00BF378D"/>
    <w:rsid w:val="00BF3835"/>
    <w:rsid w:val="00BF45BD"/>
    <w:rsid w:val="00BF6786"/>
    <w:rsid w:val="00BF67E7"/>
    <w:rsid w:val="00C008B0"/>
    <w:rsid w:val="00C05769"/>
    <w:rsid w:val="00C1002D"/>
    <w:rsid w:val="00C11C55"/>
    <w:rsid w:val="00C12E5A"/>
    <w:rsid w:val="00C14DD3"/>
    <w:rsid w:val="00C16294"/>
    <w:rsid w:val="00C253EF"/>
    <w:rsid w:val="00C2635E"/>
    <w:rsid w:val="00C31853"/>
    <w:rsid w:val="00C318D0"/>
    <w:rsid w:val="00C42FFB"/>
    <w:rsid w:val="00C55528"/>
    <w:rsid w:val="00C6486C"/>
    <w:rsid w:val="00C648D3"/>
    <w:rsid w:val="00C6660D"/>
    <w:rsid w:val="00C674AF"/>
    <w:rsid w:val="00C7393A"/>
    <w:rsid w:val="00C75B02"/>
    <w:rsid w:val="00C76160"/>
    <w:rsid w:val="00C77DDE"/>
    <w:rsid w:val="00C86109"/>
    <w:rsid w:val="00C87727"/>
    <w:rsid w:val="00C962F0"/>
    <w:rsid w:val="00CB2684"/>
    <w:rsid w:val="00CC419E"/>
    <w:rsid w:val="00CC7056"/>
    <w:rsid w:val="00CD4AED"/>
    <w:rsid w:val="00CD6EF7"/>
    <w:rsid w:val="00CE1B68"/>
    <w:rsid w:val="00CE799A"/>
    <w:rsid w:val="00CF0138"/>
    <w:rsid w:val="00D013ED"/>
    <w:rsid w:val="00D0416A"/>
    <w:rsid w:val="00D06F71"/>
    <w:rsid w:val="00D166EE"/>
    <w:rsid w:val="00D2392E"/>
    <w:rsid w:val="00D265AD"/>
    <w:rsid w:val="00D27F78"/>
    <w:rsid w:val="00D36BDC"/>
    <w:rsid w:val="00D379A6"/>
    <w:rsid w:val="00D43CC7"/>
    <w:rsid w:val="00D448A1"/>
    <w:rsid w:val="00D44B24"/>
    <w:rsid w:val="00D5049E"/>
    <w:rsid w:val="00D55FEC"/>
    <w:rsid w:val="00D71125"/>
    <w:rsid w:val="00D859D0"/>
    <w:rsid w:val="00D91C09"/>
    <w:rsid w:val="00D92DD1"/>
    <w:rsid w:val="00D95CAD"/>
    <w:rsid w:val="00D96F5C"/>
    <w:rsid w:val="00DB1DFA"/>
    <w:rsid w:val="00DD2477"/>
    <w:rsid w:val="00DE35FF"/>
    <w:rsid w:val="00DE4579"/>
    <w:rsid w:val="00DE6237"/>
    <w:rsid w:val="00DF1664"/>
    <w:rsid w:val="00DF2FB9"/>
    <w:rsid w:val="00DF3AD0"/>
    <w:rsid w:val="00DF41FC"/>
    <w:rsid w:val="00E27F5E"/>
    <w:rsid w:val="00E334EB"/>
    <w:rsid w:val="00E354C3"/>
    <w:rsid w:val="00E454CD"/>
    <w:rsid w:val="00E55234"/>
    <w:rsid w:val="00E608A6"/>
    <w:rsid w:val="00E60CBC"/>
    <w:rsid w:val="00E63DEF"/>
    <w:rsid w:val="00E64936"/>
    <w:rsid w:val="00E71BD3"/>
    <w:rsid w:val="00E75CF6"/>
    <w:rsid w:val="00E86189"/>
    <w:rsid w:val="00EA168C"/>
    <w:rsid w:val="00EA6689"/>
    <w:rsid w:val="00EA6DDF"/>
    <w:rsid w:val="00EB52DB"/>
    <w:rsid w:val="00EC53C8"/>
    <w:rsid w:val="00EC753F"/>
    <w:rsid w:val="00EE0542"/>
    <w:rsid w:val="00EE11A0"/>
    <w:rsid w:val="00EE237B"/>
    <w:rsid w:val="00EF3957"/>
    <w:rsid w:val="00F10024"/>
    <w:rsid w:val="00F10F21"/>
    <w:rsid w:val="00F13BAA"/>
    <w:rsid w:val="00F26226"/>
    <w:rsid w:val="00F269BB"/>
    <w:rsid w:val="00F271BF"/>
    <w:rsid w:val="00F431C9"/>
    <w:rsid w:val="00F463F2"/>
    <w:rsid w:val="00F474F9"/>
    <w:rsid w:val="00F47A40"/>
    <w:rsid w:val="00F50B8E"/>
    <w:rsid w:val="00F5447C"/>
    <w:rsid w:val="00F56CDF"/>
    <w:rsid w:val="00F60A12"/>
    <w:rsid w:val="00F66E0A"/>
    <w:rsid w:val="00F7009F"/>
    <w:rsid w:val="00F70FD9"/>
    <w:rsid w:val="00F74494"/>
    <w:rsid w:val="00F8068F"/>
    <w:rsid w:val="00F8186D"/>
    <w:rsid w:val="00F8204B"/>
    <w:rsid w:val="00F82282"/>
    <w:rsid w:val="00FB3901"/>
    <w:rsid w:val="00FB4B68"/>
    <w:rsid w:val="00FB6A51"/>
    <w:rsid w:val="00FC0813"/>
    <w:rsid w:val="00FC3532"/>
    <w:rsid w:val="00FC54E1"/>
    <w:rsid w:val="00FE2557"/>
    <w:rsid w:val="00FF50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04E3B1"/>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aliases w:val="ADB List Paragraph,Dot pt,List Paragraph Char Char Char,Indicator Text,List Paragraph1,Numbered Para 1,List Paragraph12,Bullet Points,MAIN CONTENT,Bullet 1,Colorful List - Accent 11,Light Grid - Accent 31,References,Indent Paragraph,stil3"/>
    <w:basedOn w:val="Normal"/>
    <w:link w:val="ListParagraphChar"/>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EX4subtitles">
    <w:name w:val="EX4 sub titles"/>
    <w:basedOn w:val="Normal"/>
    <w:link w:val="EX4subtitlesChar"/>
    <w:qFormat/>
    <w:rsid w:val="002E2D68"/>
    <w:pPr>
      <w:tabs>
        <w:tab w:val="clear" w:pos="567"/>
      </w:tabs>
      <w:autoSpaceDE w:val="0"/>
      <w:autoSpaceDN w:val="0"/>
      <w:adjustRightInd w:val="0"/>
      <w:snapToGrid/>
      <w:spacing w:before="240" w:after="160" w:line="276" w:lineRule="auto"/>
    </w:pPr>
    <w:rPr>
      <w:rFonts w:asciiTheme="minorBidi" w:eastAsiaTheme="minorEastAsia" w:hAnsiTheme="minorBidi" w:cstheme="minorBidi"/>
      <w:b/>
      <w:bCs/>
      <w:snapToGrid/>
      <w:color w:val="000000"/>
      <w:szCs w:val="22"/>
      <w:lang w:val="en-US" w:eastAsia="zh-CN"/>
    </w:rPr>
  </w:style>
  <w:style w:type="character" w:customStyle="1" w:styleId="EX4subtitlesChar">
    <w:name w:val="EX4 sub titles Char"/>
    <w:basedOn w:val="DefaultParagraphFont"/>
    <w:link w:val="EX4subtitles"/>
    <w:rsid w:val="002E2D68"/>
    <w:rPr>
      <w:rFonts w:asciiTheme="minorBidi" w:eastAsiaTheme="minorEastAsia" w:hAnsiTheme="minorBidi" w:cstheme="minorBidi"/>
      <w:b/>
      <w:bCs/>
      <w:color w:val="000000"/>
      <w:sz w:val="22"/>
      <w:szCs w:val="22"/>
      <w:lang w:val="en-US" w:eastAsia="zh-CN"/>
    </w:rPr>
  </w:style>
  <w:style w:type="paragraph" w:customStyle="1" w:styleId="EX4texte">
    <w:name w:val="EX4 texte"/>
    <w:basedOn w:val="Normal"/>
    <w:link w:val="EX4texteChar"/>
    <w:autoRedefine/>
    <w:qFormat/>
    <w:rsid w:val="00AA2CD5"/>
    <w:pPr>
      <w:numPr>
        <w:numId w:val="29"/>
      </w:numPr>
      <w:tabs>
        <w:tab w:val="clear" w:pos="567"/>
        <w:tab w:val="left" w:pos="854"/>
      </w:tabs>
      <w:spacing w:after="240"/>
      <w:ind w:left="0" w:firstLine="0"/>
      <w:jc w:val="both"/>
    </w:pPr>
    <w:rPr>
      <w:rFonts w:asciiTheme="minorBidi" w:eastAsia="SimSun" w:hAnsiTheme="minorBidi" w:cstheme="minorBidi"/>
      <w:shd w:val="clear" w:color="auto" w:fill="FFFFFF"/>
      <w:lang w:val="en-IN" w:eastAsia="zh-CN"/>
    </w:rPr>
  </w:style>
  <w:style w:type="character" w:customStyle="1" w:styleId="EX4texteChar">
    <w:name w:val="EX4 texte Char"/>
    <w:basedOn w:val="DefaultParagraphFont"/>
    <w:link w:val="EX4texte"/>
    <w:rsid w:val="00AA2CD5"/>
    <w:rPr>
      <w:rFonts w:asciiTheme="minorBidi" w:eastAsia="SimSun" w:hAnsiTheme="minorBidi" w:cstheme="minorBidi"/>
      <w:snapToGrid w:val="0"/>
      <w:sz w:val="22"/>
      <w:szCs w:val="24"/>
      <w:lang w:val="en-IN" w:eastAsia="zh-CN"/>
    </w:rPr>
  </w:style>
  <w:style w:type="character" w:customStyle="1" w:styleId="ListParagraphChar">
    <w:name w:val="List Paragraph Char"/>
    <w:aliases w:val="ADB List Paragraph Char,Dot pt Char,List Paragraph Char Char Char Char,Indicator Text Char,List Paragraph1 Char,Numbered Para 1 Char,List Paragraph12 Char,Bullet Points Char,MAIN CONTENT Char,Bullet 1 Char,Light Grid - Accent 31 Char"/>
    <w:basedOn w:val="DefaultParagraphFont"/>
    <w:link w:val="ListParagraph"/>
    <w:uiPriority w:val="34"/>
    <w:qFormat/>
    <w:locked/>
    <w:rsid w:val="00741CAA"/>
    <w:rPr>
      <w:sz w:val="24"/>
      <w:lang w:val="en-GB" w:eastAsia="en-US"/>
    </w:rPr>
  </w:style>
  <w:style w:type="character" w:styleId="UnresolvedMention">
    <w:name w:val="Unresolved Mention"/>
    <w:basedOn w:val="DefaultParagraphFont"/>
    <w:uiPriority w:val="99"/>
    <w:semiHidden/>
    <w:unhideWhenUsed/>
    <w:rsid w:val="00723A8F"/>
    <w:rPr>
      <w:color w:val="605E5C"/>
      <w:shd w:val="clear" w:color="auto" w:fill="E1DFDD"/>
    </w:rPr>
  </w:style>
  <w:style w:type="character" w:customStyle="1" w:styleId="apple-converted-space">
    <w:name w:val="apple-converted-space"/>
    <w:basedOn w:val="DefaultParagraphFont"/>
    <w:rsid w:val="003E0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71272">
      <w:bodyDiv w:val="1"/>
      <w:marLeft w:val="0"/>
      <w:marRight w:val="0"/>
      <w:marTop w:val="0"/>
      <w:marBottom w:val="0"/>
      <w:divBdr>
        <w:top w:val="none" w:sz="0" w:space="0" w:color="auto"/>
        <w:left w:val="none" w:sz="0" w:space="0" w:color="auto"/>
        <w:bottom w:val="none" w:sz="0" w:space="0" w:color="auto"/>
        <w:right w:val="none" w:sz="0" w:space="0" w:color="auto"/>
      </w:divBdr>
    </w:div>
    <w:div w:id="967511557">
      <w:bodyDiv w:val="1"/>
      <w:marLeft w:val="0"/>
      <w:marRight w:val="0"/>
      <w:marTop w:val="0"/>
      <w:marBottom w:val="0"/>
      <w:divBdr>
        <w:top w:val="none" w:sz="0" w:space="0" w:color="auto"/>
        <w:left w:val="none" w:sz="0" w:space="0" w:color="auto"/>
        <w:bottom w:val="none" w:sz="0" w:space="0" w:color="auto"/>
        <w:right w:val="none" w:sz="0" w:space="0" w:color="auto"/>
      </w:divBdr>
    </w:div>
    <w:div w:id="1039205159">
      <w:bodyDiv w:val="1"/>
      <w:marLeft w:val="0"/>
      <w:marRight w:val="0"/>
      <w:marTop w:val="0"/>
      <w:marBottom w:val="0"/>
      <w:divBdr>
        <w:top w:val="none" w:sz="0" w:space="0" w:color="auto"/>
        <w:left w:val="none" w:sz="0" w:space="0" w:color="auto"/>
        <w:bottom w:val="none" w:sz="0" w:space="0" w:color="auto"/>
        <w:right w:val="none" w:sz="0" w:space="0" w:color="auto"/>
      </w:divBdr>
    </w:div>
    <w:div w:id="1262372144">
      <w:bodyDiv w:val="1"/>
      <w:marLeft w:val="0"/>
      <w:marRight w:val="0"/>
      <w:marTop w:val="0"/>
      <w:marBottom w:val="0"/>
      <w:divBdr>
        <w:top w:val="none" w:sz="0" w:space="0" w:color="auto"/>
        <w:left w:val="none" w:sz="0" w:space="0" w:color="auto"/>
        <w:bottom w:val="none" w:sz="0" w:space="0" w:color="auto"/>
        <w:right w:val="none" w:sz="0" w:space="0" w:color="auto"/>
      </w:divBdr>
      <w:divsChild>
        <w:div w:id="1632514827">
          <w:marLeft w:val="0"/>
          <w:marRight w:val="0"/>
          <w:marTop w:val="0"/>
          <w:marBottom w:val="0"/>
          <w:divBdr>
            <w:top w:val="none" w:sz="0" w:space="0" w:color="auto"/>
            <w:left w:val="none" w:sz="0" w:space="0" w:color="auto"/>
            <w:bottom w:val="none" w:sz="0" w:space="0" w:color="auto"/>
            <w:right w:val="none" w:sz="0" w:space="0" w:color="auto"/>
          </w:divBdr>
          <w:divsChild>
            <w:div w:id="920143896">
              <w:marLeft w:val="0"/>
              <w:marRight w:val="0"/>
              <w:marTop w:val="0"/>
              <w:marBottom w:val="0"/>
              <w:divBdr>
                <w:top w:val="none" w:sz="0" w:space="0" w:color="auto"/>
                <w:left w:val="none" w:sz="0" w:space="0" w:color="auto"/>
                <w:bottom w:val="none" w:sz="0" w:space="0" w:color="auto"/>
                <w:right w:val="none" w:sz="0" w:space="0" w:color="auto"/>
              </w:divBdr>
              <w:divsChild>
                <w:div w:id="354431328">
                  <w:marLeft w:val="0"/>
                  <w:marRight w:val="0"/>
                  <w:marTop w:val="0"/>
                  <w:marBottom w:val="0"/>
                  <w:divBdr>
                    <w:top w:val="none" w:sz="0" w:space="0" w:color="auto"/>
                    <w:left w:val="none" w:sz="0" w:space="0" w:color="auto"/>
                    <w:bottom w:val="none" w:sz="0" w:space="0" w:color="auto"/>
                    <w:right w:val="none" w:sz="0" w:space="0" w:color="auto"/>
                  </w:divBdr>
                  <w:divsChild>
                    <w:div w:id="983463828">
                      <w:marLeft w:val="0"/>
                      <w:marRight w:val="0"/>
                      <w:marTop w:val="0"/>
                      <w:marBottom w:val="0"/>
                      <w:divBdr>
                        <w:top w:val="none" w:sz="0" w:space="0" w:color="auto"/>
                        <w:left w:val="none" w:sz="0" w:space="0" w:color="auto"/>
                        <w:bottom w:val="none" w:sz="0" w:space="0" w:color="auto"/>
                        <w:right w:val="none" w:sz="0" w:space="0" w:color="auto"/>
                      </w:divBdr>
                      <w:divsChild>
                        <w:div w:id="1411585410">
                          <w:marLeft w:val="0"/>
                          <w:marRight w:val="0"/>
                          <w:marTop w:val="0"/>
                          <w:marBottom w:val="0"/>
                          <w:divBdr>
                            <w:top w:val="none" w:sz="0" w:space="0" w:color="auto"/>
                            <w:left w:val="none" w:sz="0" w:space="0" w:color="auto"/>
                            <w:bottom w:val="none" w:sz="0" w:space="0" w:color="auto"/>
                            <w:right w:val="none" w:sz="0" w:space="0" w:color="auto"/>
                          </w:divBdr>
                          <w:divsChild>
                            <w:div w:id="414864722">
                              <w:marLeft w:val="0"/>
                              <w:marRight w:val="0"/>
                              <w:marTop w:val="0"/>
                              <w:marBottom w:val="0"/>
                              <w:divBdr>
                                <w:top w:val="none" w:sz="0" w:space="0" w:color="auto"/>
                                <w:left w:val="none" w:sz="0" w:space="0" w:color="auto"/>
                                <w:bottom w:val="none" w:sz="0" w:space="0" w:color="auto"/>
                                <w:right w:val="none" w:sz="0" w:space="0" w:color="auto"/>
                              </w:divBdr>
                              <w:divsChild>
                                <w:div w:id="1162548900">
                                  <w:marLeft w:val="0"/>
                                  <w:marRight w:val="0"/>
                                  <w:marTop w:val="0"/>
                                  <w:marBottom w:val="0"/>
                                  <w:divBdr>
                                    <w:top w:val="none" w:sz="0" w:space="0" w:color="auto"/>
                                    <w:left w:val="none" w:sz="0" w:space="0" w:color="auto"/>
                                    <w:bottom w:val="none" w:sz="0" w:space="0" w:color="auto"/>
                                    <w:right w:val="none" w:sz="0" w:space="0" w:color="auto"/>
                                  </w:divBdr>
                                  <w:divsChild>
                                    <w:div w:id="748691860">
                                      <w:marLeft w:val="0"/>
                                      <w:marRight w:val="0"/>
                                      <w:marTop w:val="0"/>
                                      <w:marBottom w:val="0"/>
                                      <w:divBdr>
                                        <w:top w:val="none" w:sz="0" w:space="0" w:color="auto"/>
                                        <w:left w:val="none" w:sz="0" w:space="0" w:color="auto"/>
                                        <w:bottom w:val="none" w:sz="0" w:space="0" w:color="auto"/>
                                        <w:right w:val="none" w:sz="0" w:space="0" w:color="auto"/>
                                      </w:divBdr>
                                      <w:divsChild>
                                        <w:div w:id="1711758340">
                                          <w:marLeft w:val="0"/>
                                          <w:marRight w:val="0"/>
                                          <w:marTop w:val="0"/>
                                          <w:marBottom w:val="0"/>
                                          <w:divBdr>
                                            <w:top w:val="none" w:sz="0" w:space="0" w:color="auto"/>
                                            <w:left w:val="none" w:sz="0" w:space="0" w:color="auto"/>
                                            <w:bottom w:val="none" w:sz="0" w:space="0" w:color="auto"/>
                                            <w:right w:val="none" w:sz="0" w:space="0" w:color="auto"/>
                                          </w:divBdr>
                                          <w:divsChild>
                                            <w:div w:id="1064837832">
                                              <w:marLeft w:val="0"/>
                                              <w:marRight w:val="0"/>
                                              <w:marTop w:val="0"/>
                                              <w:marBottom w:val="0"/>
                                              <w:divBdr>
                                                <w:top w:val="single" w:sz="6" w:space="4" w:color="B6B6B6"/>
                                                <w:left w:val="single" w:sz="6" w:space="4" w:color="B6B6B6"/>
                                                <w:bottom w:val="single" w:sz="6" w:space="4" w:color="B6B6B6"/>
                                                <w:right w:val="single" w:sz="6" w:space="4" w:color="B6B6B6"/>
                                              </w:divBdr>
                                            </w:div>
                                          </w:divsChild>
                                        </w:div>
                                      </w:divsChild>
                                    </w:div>
                                  </w:divsChild>
                                </w:div>
                              </w:divsChild>
                            </w:div>
                          </w:divsChild>
                        </w:div>
                      </w:divsChild>
                    </w:div>
                  </w:divsChild>
                </w:div>
              </w:divsChild>
            </w:div>
          </w:divsChild>
        </w:div>
      </w:divsChild>
    </w:div>
    <w:div w:id="1649632432">
      <w:bodyDiv w:val="1"/>
      <w:marLeft w:val="0"/>
      <w:marRight w:val="0"/>
      <w:marTop w:val="0"/>
      <w:marBottom w:val="0"/>
      <w:divBdr>
        <w:top w:val="none" w:sz="0" w:space="0" w:color="auto"/>
        <w:left w:val="none" w:sz="0" w:space="0" w:color="auto"/>
        <w:bottom w:val="none" w:sz="0" w:space="0" w:color="auto"/>
        <w:right w:val="none" w:sz="0" w:space="0" w:color="auto"/>
      </w:divBdr>
    </w:div>
    <w:div w:id="1724788306">
      <w:bodyDiv w:val="1"/>
      <w:marLeft w:val="0"/>
      <w:marRight w:val="0"/>
      <w:marTop w:val="0"/>
      <w:marBottom w:val="0"/>
      <w:divBdr>
        <w:top w:val="none" w:sz="0" w:space="0" w:color="auto"/>
        <w:left w:val="none" w:sz="0" w:space="0" w:color="auto"/>
        <w:bottom w:val="none" w:sz="0" w:space="0" w:color="auto"/>
        <w:right w:val="none" w:sz="0" w:space="0" w:color="auto"/>
      </w:divBdr>
    </w:div>
    <w:div w:id="182835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96" TargetMode="External"/><Relationship Id="rId13" Type="http://schemas.openxmlformats.org/officeDocument/2006/relationships/hyperlink" Target="https://unesdoc.unesco.org/ark:/48223/pf0000375265.locale=e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nesdoc.unesco.org/ark:/48223/pf0000124367.page=24" TargetMode="External"/><Relationship Id="rId2" Type="http://schemas.openxmlformats.org/officeDocument/2006/relationships/numbering" Target="numbering.xml"/><Relationship Id="rId16" Type="http://schemas.openxmlformats.org/officeDocument/2006/relationships/hyperlink" Target="https://unesdoc.unesco.org/ark:/48223/pf0000390082.locale=e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nesdoc.unesco.org/ark:/48223/pf0000381388.locale=en"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oceanexpert.org/document/36272" TargetMode="External"/><Relationship Id="rId14" Type="http://schemas.openxmlformats.org/officeDocument/2006/relationships/hyperlink" Target="https://unesdoc.unesco.org/ark:/48223/pf0000390126.locale=e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18B0-5666-440B-8D2F-95A639E105BA}">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Template WD-IOC27.dotx</Template>
  <TotalTime>1</TotalTime>
  <Pages>10</Pages>
  <Words>2789</Words>
  <Characters>16678</Characters>
  <Application>Microsoft Office Word</Application>
  <DocSecurity>0</DocSecurity>
  <Lines>138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3</cp:revision>
  <cp:lastPrinted>2025-04-16T20:08:00Z</cp:lastPrinted>
  <dcterms:created xsi:type="dcterms:W3CDTF">2025-05-23T15:51:00Z</dcterms:created>
  <dcterms:modified xsi:type="dcterms:W3CDTF">2025-05-23T15:51:00Z</dcterms:modified>
</cp:coreProperties>
</file>