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183CB" w14:textId="4B2A07F8" w:rsidR="00FA68D9" w:rsidRDefault="00FA68D9"/>
    <w:tbl>
      <w:tblPr>
        <w:tblStyle w:val="TableGrid"/>
        <w:tblW w:w="8005" w:type="dxa"/>
        <w:jc w:val="center"/>
        <w:tblLook w:val="04A0" w:firstRow="1" w:lastRow="0" w:firstColumn="1" w:lastColumn="0" w:noHBand="0" w:noVBand="1"/>
      </w:tblPr>
      <w:tblGrid>
        <w:gridCol w:w="8005"/>
      </w:tblGrid>
      <w:tr w:rsidR="00FA68D9" w:rsidRPr="006555ED" w14:paraId="1709CCC6" w14:textId="77777777" w:rsidTr="005B0804">
        <w:trPr>
          <w:trHeight w:val="4689"/>
          <w:jc w:val="center"/>
        </w:trPr>
        <w:tc>
          <w:tcPr>
            <w:tcW w:w="8005" w:type="dxa"/>
          </w:tcPr>
          <w:p w14:paraId="33D8523D" w14:textId="2EFF265F" w:rsidR="001B5075" w:rsidRPr="001B5075" w:rsidRDefault="001B5075" w:rsidP="005B0804">
            <w:pPr>
              <w:tabs>
                <w:tab w:val="clear" w:pos="567"/>
              </w:tabs>
              <w:snapToGrid/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val="ru"/>
              </w:rPr>
              <w:t>Резюме</w:t>
            </w:r>
          </w:p>
          <w:p w14:paraId="46FA4A19" w14:textId="77777777" w:rsidR="00FA68D9" w:rsidRDefault="00FA68D9">
            <w:pPr>
              <w:tabs>
                <w:tab w:val="clear" w:pos="567"/>
              </w:tabs>
              <w:snapToGrid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D79465E" w14:textId="30039E75" w:rsidR="00202C6D" w:rsidRPr="006555ED" w:rsidRDefault="002F2691" w:rsidP="00202C6D">
            <w:pPr>
              <w:widowControl w:val="0"/>
              <w:shd w:val="clear" w:color="auto" w:fill="FFFFFF"/>
              <w:adjustRightInd w:val="0"/>
              <w:spacing w:after="240"/>
              <w:ind w:right="284"/>
              <w:jc w:val="both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ru"/>
              </w:rPr>
            </w:pPr>
            <w:r>
              <w:rPr>
                <w:rFonts w:ascii="Arial" w:hAnsi="Arial" w:cs="Arial"/>
                <w:sz w:val="22"/>
                <w:szCs w:val="22"/>
                <w:lang w:val="ru"/>
              </w:rPr>
              <w:t>Настоящий документ содержит внешнюю оценку, проведенную компанией «Farman &amp; Partners» в ответ на просьбу государств-членов МОК «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ru"/>
              </w:rPr>
              <w:t>к Исполнительному секретарю МОК в консультации с должностными лицами Комиссии приступить к проведению внешней оценки процессов руководства и управления в МОК с целью упорядочения ее функционирования и оптимизации использования ресурсов, с тем чтобы они действительно соответствовали поставленным целям в условиях быстро изменяющейся программы работы в сфере океана и с учетом растущих требований государств-членов и расширения многосторонних процессов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ru"/>
              </w:rPr>
              <w:t>» (резолюция МОК EC-57/2).</w:t>
            </w:r>
          </w:p>
          <w:p w14:paraId="54BF8E92" w14:textId="46DCFC1E" w:rsidR="00C93A6F" w:rsidRPr="006555ED" w:rsidRDefault="00C93A6F" w:rsidP="00202C6D">
            <w:pPr>
              <w:widowControl w:val="0"/>
              <w:shd w:val="clear" w:color="auto" w:fill="FFFFFF"/>
              <w:adjustRightInd w:val="0"/>
              <w:spacing w:after="240"/>
              <w:ind w:right="284"/>
              <w:jc w:val="both"/>
              <w:textAlignment w:val="baseline"/>
              <w:rPr>
                <w:rFonts w:asciiTheme="minorBidi" w:eastAsia="Times New Roman" w:hAnsiTheme="minorBidi" w:cstheme="minorBidi"/>
                <w:sz w:val="22"/>
                <w:szCs w:val="22"/>
                <w:lang w:val="ru"/>
              </w:rPr>
            </w:pPr>
            <w:r>
              <w:rPr>
                <w:rFonts w:ascii="Arial" w:hAnsi="Arial"/>
                <w:sz w:val="22"/>
                <w:szCs w:val="22"/>
                <w:lang w:val="ru"/>
              </w:rPr>
              <w:t xml:space="preserve">Документ был впервые представлен Межсессионной финансовой консультативной группе (МФКГ) на ее третьем заседании в режиме онлайн. состоявшемся 16 апреля 2025 г., а затем обсужден на очном заседании 23 июня 2025 г. (см. IOC/A-33/5.1.Doc(2) – </w:t>
            </w:r>
            <w:r>
              <w:rPr>
                <w:rFonts w:asciiTheme="minorBidi" w:hAnsiTheme="minorBidi"/>
                <w:color w:val="000000"/>
                <w:sz w:val="22"/>
                <w:szCs w:val="22"/>
                <w:lang w:val="ru"/>
              </w:rPr>
              <w:t>Доклад председателя Межсессионной финансовой консультативной группы МОК (межсессионный период 2024-2025 гг.)</w:t>
            </w:r>
          </w:p>
          <w:p w14:paraId="6C050125" w14:textId="1B93CF0A" w:rsidR="00FA68D9" w:rsidRPr="006555ED" w:rsidRDefault="002F2691" w:rsidP="00202C6D">
            <w:pPr>
              <w:widowControl w:val="0"/>
              <w:shd w:val="clear" w:color="auto" w:fill="FFFFFF"/>
              <w:adjustRightInd w:val="0"/>
              <w:spacing w:after="240"/>
              <w:ind w:right="284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val="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u w:val="single"/>
                <w:lang w:val="ru"/>
              </w:rPr>
              <w:t>Предлагаемое решение</w:t>
            </w:r>
            <w:r>
              <w:rPr>
                <w:rFonts w:ascii="Arial" w:eastAsia="Times New Roman" w:hAnsi="Arial" w:cs="Arial"/>
                <w:sz w:val="22"/>
                <w:szCs w:val="22"/>
                <w:lang w:val="ru"/>
              </w:rPr>
              <w:t xml:space="preserve">: После краткого вступления и обсуждения на пленарном заседании по пункту 5.2 Ассамблее предлагается принять к сведению настоящий доклад и рассмотреть проект решения, представленный под номером </w:t>
            </w:r>
            <w:r>
              <w:rPr>
                <w:rFonts w:ascii="Arial" w:eastAsia="Times New Roman" w:hAnsi="Arial" w:cs="Arial"/>
                <w:sz w:val="22"/>
                <w:lang w:val="ru"/>
              </w:rPr>
              <w:t xml:space="preserve">Реш. IOC/A-33/5.2 </w:t>
            </w:r>
            <w:r>
              <w:rPr>
                <w:rFonts w:ascii="Arial" w:eastAsia="Times New Roman" w:hAnsi="Arial" w:cs="Arial"/>
                <w:sz w:val="22"/>
                <w:szCs w:val="22"/>
                <w:lang w:val="ru"/>
              </w:rPr>
              <w:t>в Предварительном документе о принятых и предлагаемых мерах (документ IOC/A-33/AP). Затем этот документ будет более глубоко рассмотрен, в числе прочего, в ходе работы сессионного Комитета по финансовым вопросам открытого состава, предусмотренного регламентирующими документами. В соответствии с пунктом 15 Пересмотренных руководящих принципов подготовки и рассмотрения проектов резолюций (</w:t>
            </w:r>
            <w:r>
              <w:fldChar w:fldCharType="begin"/>
            </w:r>
            <w:r>
              <w:instrText>HYPERLINK</w:instrText>
            </w:r>
            <w:r w:rsidRPr="006555ED">
              <w:rPr>
                <w:lang w:val="ru"/>
              </w:rPr>
              <w:instrText xml:space="preserve"> "</w:instrText>
            </w:r>
            <w:r>
              <w:instrText>http</w:instrText>
            </w:r>
            <w:r w:rsidRPr="006555ED">
              <w:rPr>
                <w:lang w:val="ru"/>
              </w:rPr>
              <w:instrText>://</w:instrText>
            </w:r>
            <w:r>
              <w:instrText>www</w:instrText>
            </w:r>
            <w:r w:rsidRPr="006555ED">
              <w:rPr>
                <w:lang w:val="ru"/>
              </w:rPr>
              <w:instrText>.</w:instrText>
            </w:r>
            <w:r>
              <w:instrText>ioc</w:instrText>
            </w:r>
            <w:r w:rsidRPr="006555ED">
              <w:rPr>
                <w:lang w:val="ru"/>
              </w:rPr>
              <w:instrText>-</w:instrText>
            </w:r>
            <w:r>
              <w:instrText>unesco</w:instrText>
            </w:r>
            <w:r w:rsidRPr="006555ED">
              <w:rPr>
                <w:lang w:val="ru"/>
              </w:rPr>
              <w:instrText>.</w:instrText>
            </w:r>
            <w:r>
              <w:instrText>org</w:instrText>
            </w:r>
            <w:r w:rsidRPr="006555ED">
              <w:rPr>
                <w:lang w:val="ru"/>
              </w:rPr>
              <w:instrText>/</w:instrText>
            </w:r>
            <w:r>
              <w:instrText>index</w:instrText>
            </w:r>
            <w:r w:rsidRPr="006555ED">
              <w:rPr>
                <w:lang w:val="ru"/>
              </w:rPr>
              <w:instrText>.</w:instrText>
            </w:r>
            <w:r>
              <w:instrText>php</w:instrText>
            </w:r>
            <w:r w:rsidRPr="006555ED">
              <w:rPr>
                <w:lang w:val="ru"/>
              </w:rPr>
              <w:instrText>?</w:instrText>
            </w:r>
            <w:r>
              <w:instrText>option</w:instrText>
            </w:r>
            <w:r w:rsidRPr="006555ED">
              <w:rPr>
                <w:lang w:val="ru"/>
              </w:rPr>
              <w:instrText>=</w:instrText>
            </w:r>
            <w:r>
              <w:instrText>com</w:instrText>
            </w:r>
            <w:r w:rsidRPr="006555ED">
              <w:rPr>
                <w:lang w:val="ru"/>
              </w:rPr>
              <w:instrText>_</w:instrText>
            </w:r>
            <w:r>
              <w:instrText>oe</w:instrText>
            </w:r>
            <w:r w:rsidRPr="006555ED">
              <w:rPr>
                <w:lang w:val="ru"/>
              </w:rPr>
              <w:instrText>&amp;</w:instrText>
            </w:r>
            <w:r>
              <w:instrText>task</w:instrText>
            </w:r>
            <w:r w:rsidRPr="006555ED">
              <w:rPr>
                <w:lang w:val="ru"/>
              </w:rPr>
              <w:instrText>=</w:instrText>
            </w:r>
            <w:r>
              <w:instrText>viewDocumentRecord</w:instrText>
            </w:r>
            <w:r w:rsidRPr="006555ED">
              <w:rPr>
                <w:lang w:val="ru"/>
              </w:rPr>
              <w:instrText>&amp;</w:instrText>
            </w:r>
            <w:r>
              <w:instrText>docID</w:instrText>
            </w:r>
            <w:r w:rsidRPr="006555ED">
              <w:rPr>
                <w:lang w:val="ru"/>
              </w:rPr>
              <w:instrText>=9281"</w:instrText>
            </w:r>
            <w:r>
              <w:fldChar w:fldCharType="separate"/>
            </w:r>
            <w:r>
              <w:rPr>
                <w:rFonts w:ascii="Arial" w:eastAsia="Times New Roman" w:hAnsi="Arial" w:cs="Arial"/>
                <w:color w:val="0000FF"/>
                <w:sz w:val="22"/>
                <w:szCs w:val="22"/>
                <w:u w:val="single"/>
                <w:lang w:val="ru"/>
              </w:rPr>
              <w:t>IOC/INF-1315</w:t>
            </w:r>
            <w:r>
              <w:fldChar w:fldCharType="end"/>
            </w:r>
            <w:r>
              <w:rPr>
                <w:rFonts w:ascii="Arial" w:eastAsia="Times New Roman" w:hAnsi="Arial" w:cs="Arial"/>
                <w:sz w:val="22"/>
                <w:szCs w:val="22"/>
                <w:lang w:val="ru"/>
              </w:rPr>
              <w:t xml:space="preserve">) решение этого Комитета будет отражено в проекте резолюции, который тот представит на утверждение Ассамблеи в рамках </w:t>
            </w:r>
            <w:r>
              <w:rPr>
                <w:rFonts w:ascii="Arial" w:eastAsia="Times New Roman" w:hAnsi="Arial" w:cs="Arial"/>
                <w:sz w:val="22"/>
                <w:szCs w:val="22"/>
                <w:lang w:val="ru"/>
              </w:rPr>
              <w:lastRenderedPageBreak/>
              <w:t>пункта 5.4 повестки дня.</w:t>
            </w:r>
          </w:p>
        </w:tc>
      </w:tr>
    </w:tbl>
    <w:p w14:paraId="41FC2B7F" w14:textId="77777777" w:rsidR="00807593" w:rsidRPr="006555ED" w:rsidRDefault="00807593" w:rsidP="00807593">
      <w:pPr>
        <w:widowControl w:val="0"/>
        <w:adjustRightInd w:val="0"/>
        <w:jc w:val="both"/>
        <w:textAlignment w:val="baseline"/>
        <w:rPr>
          <w:rStyle w:val="Style1Char"/>
          <w:rFonts w:eastAsia="SimSun"/>
          <w:lang w:val="ru"/>
        </w:rPr>
      </w:pPr>
    </w:p>
    <w:p w14:paraId="7FEDF86C" w14:textId="547FA0B8" w:rsidR="00886912" w:rsidRPr="006555ED" w:rsidRDefault="00886912">
      <w:pPr>
        <w:tabs>
          <w:tab w:val="clear" w:pos="567"/>
        </w:tabs>
        <w:snapToGrid/>
        <w:rPr>
          <w:rFonts w:ascii="Arial" w:hAnsi="Arial" w:cs="Arial"/>
          <w:b/>
          <w:bCs/>
          <w:sz w:val="22"/>
          <w:szCs w:val="22"/>
          <w:lang w:val="ru"/>
        </w:rPr>
      </w:pPr>
    </w:p>
    <w:p w14:paraId="7B4294C6" w14:textId="64243BAC" w:rsidR="00886912" w:rsidRPr="006555ED" w:rsidRDefault="00886912">
      <w:pPr>
        <w:tabs>
          <w:tab w:val="clear" w:pos="567"/>
        </w:tabs>
        <w:snapToGrid/>
        <w:rPr>
          <w:rFonts w:ascii="Arial" w:hAnsi="Arial" w:cs="Arial"/>
          <w:b/>
          <w:bCs/>
          <w:sz w:val="22"/>
          <w:szCs w:val="22"/>
          <w:lang w:val="ru"/>
        </w:rPr>
      </w:pPr>
    </w:p>
    <w:p w14:paraId="5642FA41" w14:textId="2969D6B5" w:rsidR="00886912" w:rsidRPr="006555ED" w:rsidRDefault="00886912" w:rsidP="00886912">
      <w:pPr>
        <w:tabs>
          <w:tab w:val="clear" w:pos="567"/>
        </w:tabs>
        <w:snapToGrid/>
        <w:rPr>
          <w:rFonts w:ascii="Arial" w:hAnsi="Arial" w:cs="Arial"/>
          <w:b/>
          <w:bCs/>
          <w:sz w:val="22"/>
          <w:szCs w:val="22"/>
          <w:lang w:val="ru"/>
        </w:rPr>
      </w:pPr>
    </w:p>
    <w:p w14:paraId="07C78A0F" w14:textId="729FA42E" w:rsidR="00AE33F8" w:rsidRPr="006555ED" w:rsidRDefault="00AE33F8" w:rsidP="00886912">
      <w:pPr>
        <w:tabs>
          <w:tab w:val="clear" w:pos="567"/>
        </w:tabs>
        <w:snapToGrid/>
        <w:rPr>
          <w:rFonts w:ascii="Arial" w:hAnsi="Arial" w:cs="Arial"/>
          <w:b/>
          <w:bCs/>
          <w:sz w:val="22"/>
          <w:szCs w:val="22"/>
          <w:lang w:val="ru"/>
        </w:rPr>
        <w:sectPr w:rsidR="00AE33F8" w:rsidRPr="006555ED" w:rsidSect="00AB067D">
          <w:headerReference w:type="even" r:id="rId8"/>
          <w:headerReference w:type="default" r:id="rId9"/>
          <w:headerReference w:type="first" r:id="rId10"/>
          <w:pgSz w:w="11906" w:h="16838" w:code="9"/>
          <w:pgMar w:top="1418" w:right="1134" w:bottom="1134" w:left="1134" w:header="680" w:footer="0" w:gutter="0"/>
          <w:cols w:space="708"/>
          <w:titlePg/>
          <w:docGrid w:linePitch="360"/>
        </w:sectPr>
      </w:pPr>
    </w:p>
    <w:p w14:paraId="44086860" w14:textId="0025A3D4" w:rsidR="00025564" w:rsidRPr="006555ED" w:rsidRDefault="00025564" w:rsidP="00025564">
      <w:pPr>
        <w:pStyle w:val="Titrecentr"/>
        <w:spacing w:before="240" w:after="360"/>
        <w:jc w:val="left"/>
        <w:rPr>
          <w:lang w:val="ru"/>
        </w:rPr>
      </w:pPr>
      <w:r>
        <w:rPr>
          <w:b w:val="0"/>
          <w:noProof/>
          <w:lang w:val="ru"/>
        </w:rPr>
        <w:lastRenderedPageBreak/>
        <w:drawing>
          <wp:anchor distT="0" distB="0" distL="114300" distR="114300" simplePos="0" relativeHeight="251659264" behindDoc="0" locked="0" layoutInCell="1" allowOverlap="1" wp14:anchorId="20ABD406" wp14:editId="52C3EEFE">
            <wp:simplePos x="0" y="0"/>
            <wp:positionH relativeFrom="column">
              <wp:posOffset>4578824</wp:posOffset>
            </wp:positionH>
            <wp:positionV relativeFrom="paragraph">
              <wp:posOffset>109</wp:posOffset>
            </wp:positionV>
            <wp:extent cx="1232453" cy="1156745"/>
            <wp:effectExtent l="0" t="0" r="6350" b="5715"/>
            <wp:wrapNone/>
            <wp:docPr id="838595983" name="Image 9" descr="Изображение с текстом, Шрифт, логотип, Ярко-синий Описание генерируется автоматичес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595983" name="Image 9" descr="Une image contenant texte, Police, logo, Bleu électr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453" cy="1156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Cs/>
          <w:i/>
          <w:iCs/>
          <w:color w:val="333333"/>
          <w:sz w:val="32"/>
          <w:lang w:val="ru"/>
        </w:rPr>
        <w:t>FARMAN &amp; PARTNERS</w:t>
      </w:r>
      <w:r>
        <w:rPr>
          <w:bCs/>
          <w:noProof/>
          <w:lang w:val="ru"/>
        </w:rPr>
        <w:t xml:space="preserve"> </w:t>
      </w:r>
    </w:p>
    <w:p w14:paraId="19CCF180" w14:textId="77777777" w:rsidR="00025564" w:rsidRPr="006555ED" w:rsidRDefault="00025564" w:rsidP="00025564">
      <w:pPr>
        <w:pStyle w:val="Titrecentr"/>
        <w:spacing w:before="240" w:after="360"/>
        <w:rPr>
          <w:lang w:val="ru"/>
        </w:rPr>
      </w:pPr>
    </w:p>
    <w:p w14:paraId="0B961053" w14:textId="77777777" w:rsidR="00025564" w:rsidRPr="006555ED" w:rsidRDefault="00025564" w:rsidP="00025564">
      <w:pPr>
        <w:pStyle w:val="Titrecentr"/>
        <w:rPr>
          <w:lang w:val="ru"/>
        </w:rPr>
      </w:pPr>
    </w:p>
    <w:p w14:paraId="584C3C0B" w14:textId="72ADAB6B" w:rsidR="00025564" w:rsidRPr="006555ED" w:rsidRDefault="00025564" w:rsidP="00025564">
      <w:pPr>
        <w:pStyle w:val="Titrecentr"/>
        <w:spacing w:before="240" w:after="360"/>
        <w:rPr>
          <w:lang w:val="ru"/>
        </w:rPr>
      </w:pPr>
      <w:r>
        <w:rPr>
          <w:bCs/>
          <w:lang w:val="ru"/>
        </w:rPr>
        <w:t>Внешняя оценка процессов руководства и управления МОК</w:t>
      </w:r>
    </w:p>
    <w:p w14:paraId="7FA85246" w14:textId="77777777" w:rsidR="00025564" w:rsidRPr="006979D1" w:rsidRDefault="00025564" w:rsidP="00025564">
      <w:pPr>
        <w:pStyle w:val="Titrecentr"/>
        <w:spacing w:before="240" w:after="360"/>
      </w:pPr>
      <w:r>
        <w:rPr>
          <w:bCs/>
          <w:lang w:val="ru"/>
        </w:rPr>
        <w:t xml:space="preserve">Заключительный доклад, 28.03.2025 г. </w:t>
      </w:r>
    </w:p>
    <w:p w14:paraId="7769574A" w14:textId="77777777" w:rsidR="00025564" w:rsidRPr="006979D1" w:rsidRDefault="00025564" w:rsidP="00025564">
      <w:pPr>
        <w:pStyle w:val="Titrealign"/>
        <w:keepNext/>
        <w:numPr>
          <w:ilvl w:val="0"/>
          <w:numId w:val="31"/>
        </w:numPr>
        <w:ind w:left="284" w:hanging="294"/>
      </w:pPr>
      <w:r>
        <w:rPr>
          <w:bCs/>
          <w:lang w:val="ru"/>
        </w:rPr>
        <w:t>Введение. Вводная информация, сфера охвата и способ оценки</w:t>
      </w:r>
    </w:p>
    <w:p w14:paraId="1F46A87F" w14:textId="77777777" w:rsidR="00025564" w:rsidRPr="006555ED" w:rsidRDefault="00025564" w:rsidP="00025564">
      <w:pPr>
        <w:pStyle w:val="BodyText"/>
        <w:keepNext/>
        <w:rPr>
          <w:lang w:val="ru"/>
        </w:rPr>
      </w:pPr>
      <w:r>
        <w:rPr>
          <w:lang w:val="ru"/>
        </w:rPr>
        <w:t>На 57-й сессии, состоявшейся в июне 2024 года, Исполнительный совет обратился с просьбой «к Исполнительному секретарю МОК в консультации с должностными лицами Комиссии приступить к проведению внешней оценки процессов руководства и управления в МОК с целью упорядочения ее функционирования и оптимизации использования ресурсов, с тем чтобы они действительно соответствовали поставленным целям в условиях быстро изменяющейся программы работы в сфере океана и с учетом растущих требований государств-членов и расширения многосторонних процессов».  </w:t>
      </w:r>
    </w:p>
    <w:p w14:paraId="74BAD84A" w14:textId="77777777" w:rsidR="00025564" w:rsidRPr="006555ED" w:rsidRDefault="00025564" w:rsidP="00025564">
      <w:pPr>
        <w:pStyle w:val="BodyText"/>
        <w:rPr>
          <w:lang w:val="ru"/>
        </w:rPr>
      </w:pPr>
      <w:r>
        <w:rPr>
          <w:lang w:val="ru"/>
        </w:rPr>
        <w:t xml:space="preserve">Это решение было включено в резолюцию EC-57/2 «Аспекты деятельности Комиссии, касающиеся управления и подготовки программы и бюджета». Его следует рассматривать на фоне значительного увеличения бюджетов МОК и решимости государств-членов обеспечить эффективное, действенное и ответственное выполнение мандата и обязанностей МОК. </w:t>
      </w:r>
    </w:p>
    <w:p w14:paraId="3F088C03" w14:textId="77777777" w:rsidR="00025564" w:rsidRPr="006555ED" w:rsidRDefault="00025564" w:rsidP="00025564">
      <w:pPr>
        <w:pStyle w:val="BodyText"/>
        <w:rPr>
          <w:lang w:val="ru"/>
        </w:rPr>
      </w:pPr>
      <w:r>
        <w:rPr>
          <w:lang w:val="ru"/>
        </w:rPr>
        <w:t xml:space="preserve">Согласно поставленной задаче, оценка охватывает структуру и процессы руководства, управленческие и оперативные процессы, вовлечение заинтересованных лиц и сотрудничество, а также оптимизацию и устойчивое использование ресурсов. </w:t>
      </w:r>
    </w:p>
    <w:p w14:paraId="45F0361E" w14:textId="77777777" w:rsidR="00025564" w:rsidRPr="006555ED" w:rsidRDefault="00025564" w:rsidP="00025564">
      <w:pPr>
        <w:pStyle w:val="BodyText"/>
        <w:rPr>
          <w:lang w:val="ru"/>
        </w:rPr>
      </w:pPr>
      <w:r>
        <w:rPr>
          <w:lang w:val="ru"/>
        </w:rPr>
        <w:t xml:space="preserve">Для проведения оценки был заключен договор с моей консалтинговой фирмой «Farman &amp; Partners». Эту оценку выполнил я, Кристоф Жантёр. </w:t>
      </w:r>
    </w:p>
    <w:p w14:paraId="2B58ED5F" w14:textId="77777777" w:rsidR="00025564" w:rsidRPr="006555ED" w:rsidRDefault="00025564" w:rsidP="00025564">
      <w:pPr>
        <w:pStyle w:val="BodyText"/>
        <w:rPr>
          <w:lang w:val="ru"/>
        </w:rPr>
      </w:pPr>
      <w:r>
        <w:rPr>
          <w:lang w:val="ru"/>
        </w:rPr>
        <w:t xml:space="preserve">Я начал с анализа соответствующей документации (бюджеты С/5, предыдущие ревизии, решения Ассамблеи и Исполнительного совета и пр., см. список в Приложении 1), а затем опросил группу из 25 действующих и бывших должностных лиц МОК, представителей вспомогательных органов и секретариата, координаторов государств-членов и сотрудников агентств-доноров (см. список в Приложении 2). Я также посетил заседание Межсессионной финансовой консультативной группы открытого состава (МФКГ) в качестве наблюдателя. </w:t>
      </w:r>
    </w:p>
    <w:p w14:paraId="0D973280" w14:textId="040FA00E" w:rsidR="00025564" w:rsidRPr="006979D1" w:rsidRDefault="00025564" w:rsidP="006B7B17">
      <w:pPr>
        <w:pStyle w:val="BodyText"/>
        <w:tabs>
          <w:tab w:val="left" w:pos="5309"/>
        </w:tabs>
      </w:pPr>
      <w:r>
        <w:rPr>
          <w:lang w:val="ru"/>
        </w:rPr>
        <w:t xml:space="preserve">Опросы затрагивали 6 процессов: </w:t>
      </w:r>
      <w:r>
        <w:rPr>
          <w:lang w:val="ru"/>
        </w:rPr>
        <w:tab/>
      </w:r>
    </w:p>
    <w:p w14:paraId="7C791BEF" w14:textId="77777777" w:rsidR="00025564" w:rsidRPr="006979D1" w:rsidRDefault="00025564" w:rsidP="00025564">
      <w:pPr>
        <w:pStyle w:val="BodyText"/>
        <w:numPr>
          <w:ilvl w:val="0"/>
          <w:numId w:val="30"/>
        </w:numPr>
        <w:ind w:left="426" w:hanging="284"/>
      </w:pPr>
      <w:r>
        <w:rPr>
          <w:lang w:val="ru"/>
        </w:rPr>
        <w:t xml:space="preserve">Стратегическое планирование и обзор в связи с планированием и контролем программы и бюджета. </w:t>
      </w:r>
    </w:p>
    <w:p w14:paraId="4D318BF2" w14:textId="77777777" w:rsidR="00025564" w:rsidRPr="006979D1" w:rsidRDefault="00025564" w:rsidP="00025564">
      <w:pPr>
        <w:pStyle w:val="BodyText"/>
        <w:numPr>
          <w:ilvl w:val="0"/>
          <w:numId w:val="30"/>
        </w:numPr>
        <w:ind w:left="426" w:hanging="284"/>
      </w:pPr>
      <w:r>
        <w:rPr>
          <w:lang w:val="ru"/>
        </w:rPr>
        <w:t xml:space="preserve">Планирование и управление персоналом, в частности, подбор кадров.  </w:t>
      </w:r>
    </w:p>
    <w:p w14:paraId="00D2A0F4" w14:textId="77777777" w:rsidR="00025564" w:rsidRPr="006979D1" w:rsidRDefault="00025564" w:rsidP="00025564">
      <w:pPr>
        <w:pStyle w:val="BodyText"/>
        <w:numPr>
          <w:ilvl w:val="0"/>
          <w:numId w:val="30"/>
        </w:numPr>
        <w:ind w:left="426" w:hanging="284"/>
      </w:pPr>
      <w:r>
        <w:rPr>
          <w:lang w:val="ru"/>
        </w:rPr>
        <w:t xml:space="preserve">Взаимодействие МОК с подразделениями ЮНЕСКО и предъявляемые ими требования. </w:t>
      </w:r>
    </w:p>
    <w:p w14:paraId="2B75628B" w14:textId="77777777" w:rsidR="00025564" w:rsidRPr="006979D1" w:rsidRDefault="00025564" w:rsidP="00025564">
      <w:pPr>
        <w:pStyle w:val="BodyText"/>
        <w:numPr>
          <w:ilvl w:val="0"/>
          <w:numId w:val="30"/>
        </w:numPr>
        <w:ind w:left="426" w:hanging="284"/>
      </w:pPr>
      <w:r>
        <w:rPr>
          <w:lang w:val="ru"/>
        </w:rPr>
        <w:lastRenderedPageBreak/>
        <w:t>Участие МОК в соответствующих многосторонних процессах.</w:t>
      </w:r>
    </w:p>
    <w:p w14:paraId="51524749" w14:textId="77777777" w:rsidR="00025564" w:rsidRPr="006979D1" w:rsidRDefault="00025564" w:rsidP="00025564">
      <w:pPr>
        <w:pStyle w:val="BodyText"/>
        <w:numPr>
          <w:ilvl w:val="0"/>
          <w:numId w:val="30"/>
        </w:numPr>
        <w:ind w:left="426" w:hanging="284"/>
      </w:pPr>
      <w:r>
        <w:rPr>
          <w:lang w:val="ru"/>
        </w:rPr>
        <w:t>Информационное взаимодействие и распространение океанических знаний и исследований, осуществленных МОК и государствами-членами (брендирование, признание прав интеллектуальной собственности).</w:t>
      </w:r>
    </w:p>
    <w:p w14:paraId="5C85AA3A" w14:textId="77777777" w:rsidR="00025564" w:rsidRPr="006979D1" w:rsidRDefault="00025564" w:rsidP="00025564">
      <w:pPr>
        <w:pStyle w:val="BodyText"/>
        <w:numPr>
          <w:ilvl w:val="0"/>
          <w:numId w:val="30"/>
        </w:numPr>
        <w:ind w:left="426" w:hanging="284"/>
      </w:pPr>
      <w:r>
        <w:rPr>
          <w:lang w:val="ru"/>
        </w:rPr>
        <w:t>Исполнительный совет и Ассамблея МОК (участие государств-членов).</w:t>
      </w:r>
    </w:p>
    <w:p w14:paraId="0EE0480B" w14:textId="77777777" w:rsidR="00025564" w:rsidRPr="006555ED" w:rsidRDefault="00025564" w:rsidP="00025564">
      <w:pPr>
        <w:pStyle w:val="BodyText"/>
        <w:rPr>
          <w:lang w:val="ru"/>
        </w:rPr>
      </w:pPr>
      <w:r>
        <w:rPr>
          <w:lang w:val="ru"/>
        </w:rPr>
        <w:t xml:space="preserve">Многими государствами-членами поднимался вопрос о «функциональной автономии» МОК в рамках ЮНЕСКО, предусмотренной регламентирующими документами. Он был затронут косвенным образом в связи с шестью вышеупомянутыми процессами.   </w:t>
      </w:r>
    </w:p>
    <w:p w14:paraId="4D3880B9" w14:textId="77777777" w:rsidR="00025564" w:rsidRPr="006979D1" w:rsidRDefault="00025564" w:rsidP="00025564">
      <w:pPr>
        <w:pStyle w:val="Titrealign"/>
        <w:keepNext/>
        <w:numPr>
          <w:ilvl w:val="0"/>
          <w:numId w:val="31"/>
        </w:numPr>
        <w:ind w:left="284" w:hanging="294"/>
      </w:pPr>
      <w:r>
        <w:rPr>
          <w:bCs/>
          <w:lang w:val="ru"/>
        </w:rPr>
        <w:t>Общий вывод</w:t>
      </w:r>
    </w:p>
    <w:p w14:paraId="0BAF11ED" w14:textId="77777777" w:rsidR="00025564" w:rsidRPr="006555ED" w:rsidRDefault="00025564" w:rsidP="00025564">
      <w:pPr>
        <w:pStyle w:val="BodyText"/>
        <w:keepNext/>
        <w:rPr>
          <w:lang w:val="ru"/>
        </w:rPr>
      </w:pPr>
      <w:r>
        <w:rPr>
          <w:lang w:val="ru"/>
        </w:rPr>
        <w:t xml:space="preserve">Существует общий консенсус в отношении того, что МОК рассматривает вопросы, имеющие жизненно важное значение для планеты, так, как никакая другая организация. Ее роль явно отличается от ролей Всемирной метеорологической организации (ВМО) и Международной гидрографической организации (ВГО). Кроме того, МОК всегда располагала очень ограниченными, можно даже сказать недостаточными, ресурсами. </w:t>
      </w:r>
    </w:p>
    <w:p w14:paraId="564F66F8" w14:textId="77777777" w:rsidR="00025564" w:rsidRPr="006555ED" w:rsidRDefault="00025564" w:rsidP="00025564">
      <w:pPr>
        <w:pStyle w:val="BodyText"/>
        <w:keepNext/>
        <w:rPr>
          <w:lang w:val="ru"/>
        </w:rPr>
      </w:pPr>
      <w:r>
        <w:rPr>
          <w:lang w:val="ru"/>
        </w:rPr>
        <w:t xml:space="preserve">Поэтому эффективность МОК никак не связана со скудостью финансирования ее секретариата и программ или с распределением ее ограниченных ресурсов только на стоящие виды деятельности. Она является результатом, во-первых, эффективного исполнения членами МОК своих общих обязательств, а во-вторых, возможности свободно выполнять свои собственные задачи в соответствии со своим Уставом.       </w:t>
      </w:r>
    </w:p>
    <w:p w14:paraId="3F2E28F0" w14:textId="77777777" w:rsidR="00025564" w:rsidRPr="006979D1" w:rsidRDefault="00025564" w:rsidP="00025564">
      <w:pPr>
        <w:pStyle w:val="Titrealign"/>
        <w:keepNext/>
        <w:numPr>
          <w:ilvl w:val="0"/>
          <w:numId w:val="31"/>
        </w:numPr>
        <w:ind w:left="284" w:hanging="294"/>
      </w:pPr>
      <w:r>
        <w:rPr>
          <w:bCs/>
          <w:lang w:val="ru"/>
        </w:rPr>
        <w:t>Общая информация о МОК</w:t>
      </w:r>
    </w:p>
    <w:p w14:paraId="68E547CA" w14:textId="77777777" w:rsidR="00025564" w:rsidRPr="006555ED" w:rsidRDefault="00025564" w:rsidP="00025564">
      <w:pPr>
        <w:pStyle w:val="BodyText"/>
        <w:keepNext/>
        <w:rPr>
          <w:lang w:val="ru"/>
        </w:rPr>
      </w:pPr>
      <w:r>
        <w:rPr>
          <w:lang w:val="ru"/>
        </w:rPr>
        <w:t xml:space="preserve">МОК имеет двойную систему руководства и управления. С одной стороны, МОК была создана в рамках ЮНЕСКО и подчиняется структуре ЮНЕСКО: Генеральная конференция (ЮНЕСКО-ГК), Исполнительный совет (ЮНЕСКО-ИС), генеральный директор (ГД), Секретариат и Регулярный бюджет (РБ). С другой стороны, она состоит из Ассамблеи МОК (МОК-А), насчитывающей на сегодняшний день 150 государств-членов (членство в МОК не связано с членством в ЮНЕСКО, хотя почти все государства-члены МОК являются также членами ЮНЕСКО), Исполнительного совета (МОК-ИС), состоящего из 40 государств-членов, Секретариата МОК и вспомогательных органов (программ и региональных подкомиссий). </w:t>
      </w:r>
    </w:p>
    <w:p w14:paraId="3F0010F6" w14:textId="77777777" w:rsidR="00025564" w:rsidRPr="006555ED" w:rsidRDefault="00025564" w:rsidP="00025564">
      <w:pPr>
        <w:pStyle w:val="BodyText"/>
        <w:rPr>
          <w:lang w:val="ru"/>
        </w:rPr>
      </w:pPr>
      <w:r>
        <w:rPr>
          <w:lang w:val="ru"/>
        </w:rPr>
        <w:t xml:space="preserve">Вопрос «функциональной автономия» МОК в структуре ЮНЕСКО неоднократно поднимался, начиная с того момента, когда она была впервые предоставлена во второй редакции Устава в 1987 году. В 1995 году МОК объединилась с Секретариатом МОК для осуществления прочей деятельности, связанной с океанографией. В третьей редакции Устава МОК 1999 года секретарь МОК стал </w:t>
      </w:r>
      <w:r>
        <w:rPr>
          <w:i/>
          <w:iCs/>
          <w:lang w:val="ru"/>
        </w:rPr>
        <w:t>Исполнительным</w:t>
      </w:r>
      <w:r>
        <w:rPr>
          <w:lang w:val="ru"/>
        </w:rPr>
        <w:t xml:space="preserve"> секретарем МОК (ИС), «на уровне заместителя Генерального директора назначаемым Генеральным директором ЮНЕСКО в консультации с Исполнительным советом Комиссии». В той же редакции Устава МОК было официально закреплено, что «в соответствии с Положением о финансах Специального счета МОК ... могут приниматься добровольные взносы, из которых могут учреждаться целевые фонды». Начиная с двухлетнего периода 2018-2019 годов, согласно рекомендации внешнего ревизора ЮНЕСКО,</w:t>
      </w:r>
      <w:r>
        <w:rPr>
          <w:rStyle w:val="FootnoteReference"/>
          <w:lang w:val="ru"/>
        </w:rPr>
        <w:footnoteReference w:id="2"/>
      </w:r>
      <w:r>
        <w:rPr>
          <w:lang w:val="ru"/>
        </w:rPr>
        <w:t xml:space="preserve"> МОК имеет </w:t>
      </w:r>
      <w:r>
        <w:rPr>
          <w:lang w:val="ru"/>
        </w:rPr>
        <w:lastRenderedPageBreak/>
        <w:t xml:space="preserve">собственную строку в программе и бюджете ЮНЕСКО («С/5») и больше не входит в Основную программу II Естественные науки. Этот факт привлек внимание к МОК, однако, с другой стороны, мог создать, помимо прочего, впечатление, что МОК – это «сектор ЮНЕСКО», наравне с образованием, науками и культурой, лишенный собственных государств-членов и руководящих органов.   </w:t>
      </w:r>
    </w:p>
    <w:p w14:paraId="00977B86" w14:textId="77777777" w:rsidR="00025564" w:rsidRPr="006555ED" w:rsidRDefault="00025564" w:rsidP="00025564">
      <w:pPr>
        <w:pStyle w:val="BodyText"/>
        <w:rPr>
          <w:lang w:val="ru"/>
        </w:rPr>
      </w:pPr>
      <w:r>
        <w:rPr>
          <w:lang w:val="ru"/>
        </w:rPr>
        <w:t>В том, что касается ресурсов, МОК зависит частично (44 % в 2024-2025 гг.) от выделения фиксированной доли в регулярном бюджете ЮНЕСКО (3 % с 2024-2025 гг., 2 % до этого времени), который, в свою очередь, финансируется совместно всеми государствами-членами ЮНЕСКО и частично посредством прямых добровольных взносов отдельных государств-членов (28 %), других организаций ООН (19 %) и частных доноров (9 %)</w:t>
      </w:r>
      <w:r>
        <w:rPr>
          <w:rStyle w:val="FootnoteReference"/>
          <w:lang w:val="ru"/>
        </w:rPr>
        <w:footnoteReference w:id="3"/>
      </w:r>
      <w:r>
        <w:rPr>
          <w:lang w:val="ru"/>
        </w:rPr>
        <w:t xml:space="preserve">, а также взносов в натуральной форме, передаваемых государствами-членами и поставщиками технологий. Учитывая вышесказанное (на основании сумм 2022-2023 гг.), общий вклад государств-членов составляет 79 %: 47 % от совокупной суммы – прямые взносы и 32 % – совместно через регулярный бюджет ЮНЕСКО. </w:t>
      </w:r>
    </w:p>
    <w:p w14:paraId="4E6A621A" w14:textId="77777777" w:rsidR="00025564" w:rsidRPr="006555ED" w:rsidRDefault="00025564" w:rsidP="00025564">
      <w:pPr>
        <w:pStyle w:val="BodyText"/>
        <w:rPr>
          <w:lang w:val="ru"/>
        </w:rPr>
      </w:pPr>
      <w:r>
        <w:rPr>
          <w:lang w:val="ru"/>
        </w:rPr>
        <w:t>Стоит отметить, что «не существует никакой Конвенции, лежащей в основе деятельности МОК, поэтому решения не имеют обязательной силы»,</w:t>
      </w:r>
      <w:r>
        <w:rPr>
          <w:rStyle w:val="FootnoteReference"/>
          <w:lang w:val="ru"/>
        </w:rPr>
        <w:footnoteReference w:id="4"/>
      </w:r>
      <w:r>
        <w:rPr>
          <w:lang w:val="ru"/>
        </w:rPr>
        <w:t xml:space="preserve"> а прямые добровольные взносы менее стабильны, чем регулярный бюджет ЮНЕСКО. Необходимо также помнить о том, что США, вносящие крупнейший вклад как в регулярный бюджет ЮНЕСКО, так и в бюджет МОК, прекращали или приостанавливали финансирование ЮНЕСКО в 1984-2003 гг. и в 2011-2023 гг., что вынудило ЮНЕСКО пропорционально сократить строку МОК в ее бюджете. В обоих случаях США предпочли остаться членом МОК и в 1984-2003 гг. продолжили добровольные взносы на основании функциональной автономии МОК внутри ЮНЕСКО. </w:t>
      </w:r>
    </w:p>
    <w:p w14:paraId="62424F8B" w14:textId="77777777" w:rsidR="00025564" w:rsidRPr="006555ED" w:rsidRDefault="00025564" w:rsidP="00025564">
      <w:pPr>
        <w:pStyle w:val="BodyText"/>
        <w:rPr>
          <w:lang w:val="ru"/>
        </w:rPr>
      </w:pPr>
      <w:r>
        <w:rPr>
          <w:lang w:val="ru"/>
        </w:rPr>
        <w:t>Несмотря на вышеупомянутое изменение, практическое понимание «функциональной автономии» МОК всегда оставалось спорным вопросом, который время от времени поднимался во внутренних и внешних докладах.</w:t>
      </w:r>
      <w:r>
        <w:rPr>
          <w:rStyle w:val="FootnoteReference"/>
          <w:lang w:val="ru"/>
        </w:rPr>
        <w:footnoteReference w:id="5"/>
      </w:r>
      <w:r>
        <w:rPr>
          <w:lang w:val="ru"/>
        </w:rPr>
        <w:t xml:space="preserve"> Например, МОК довольно ограничена в критериях и процедурах подбора кадров на должности специалистов международного уровня: на сегодняшний день окончательное решение в отношении всех должностей принимает Генеральный директор, а директор Управления кадровыми ресурсами (УКР) проверяет выбор МОК с точки зрения должного приоритета внутренней мобильности, государства-члена и гендерной репрезентативности.</w:t>
      </w:r>
      <w:r>
        <w:rPr>
          <w:rStyle w:val="FootnoteReference"/>
          <w:lang w:val="ru"/>
        </w:rPr>
        <w:footnoteReference w:id="6"/>
      </w:r>
      <w:r>
        <w:rPr>
          <w:lang w:val="ru"/>
        </w:rPr>
        <w:t xml:space="preserve"> В то же время, в 1995 году заместитель Генерального директора ЮНЕСКО передал Секретариату МОК полномочия, позволяющие ему (помимо прочего) делать назначения на должности уровня P/1–P/3, </w:t>
      </w:r>
      <w:r>
        <w:rPr>
          <w:lang w:val="ru"/>
        </w:rPr>
        <w:lastRenderedPageBreak/>
        <w:t>при этом назначение на должности уровня P/4 и P/5 осуществляется заместителем Генерального директора по рекомендации МОК (без вмешательства УКР). Таким образом, органы МОК имеют меньший вес при назначении на должности уровня P-1–P-5, чем при назначении своего Исполнительного секретаря.</w:t>
      </w:r>
      <w:r>
        <w:rPr>
          <w:rStyle w:val="FootnoteReference"/>
          <w:lang w:val="ru"/>
        </w:rPr>
        <w:footnoteReference w:id="7"/>
      </w:r>
      <w:r>
        <w:rPr>
          <w:lang w:val="ru"/>
        </w:rPr>
        <w:t xml:space="preserve">  </w:t>
      </w:r>
      <w:r>
        <w:rPr>
          <w:lang w:val="ru"/>
        </w:rPr>
        <w:tab/>
        <w:t xml:space="preserve">  </w:t>
      </w:r>
    </w:p>
    <w:p w14:paraId="24F27378" w14:textId="77777777" w:rsidR="00025564" w:rsidRPr="006555ED" w:rsidRDefault="00025564" w:rsidP="00025564">
      <w:pPr>
        <w:pStyle w:val="BodyText"/>
        <w:rPr>
          <w:lang w:val="ru"/>
        </w:rPr>
      </w:pPr>
      <w:r>
        <w:rPr>
          <w:lang w:val="ru"/>
        </w:rPr>
        <w:t>Дисбаланс между членством в МОК и контролем ЮНЕСКО также проявил себя в процессах планирования. Когда доля МОК в бюджете ЮНЕСКО была увеличена с 2 % до 3 % по просьбе государств-членов, а США вернулись в ЮНЕСКО и возобновили выплаты, государства-члены МОК сочли еще более важным убедиться, это на самом деле привело к успешной реализации программы. Случилось так, что окно возможностей представить пересмотренный регулярный бюджет на рассмотрение ЮНЕСКО-ИС и ГК открылось сразу после очередных сессий МОК-ИС и Ассамблеи в июне 2023 г. и всего на 3 недели. Этот срок оказался недостаточным для проведения внеочередных сессий МОК-ИС и Ассамблеи МОК. Эти обстоятельства «не создали благоприятных условий для качественных консультаций с государствами-членами МОК»</w:t>
      </w:r>
      <w:r>
        <w:rPr>
          <w:vertAlign w:val="superscript"/>
          <w:lang w:val="ru"/>
        </w:rPr>
        <w:footnoteReference w:id="8"/>
      </w:r>
      <w:r>
        <w:rPr>
          <w:lang w:val="ru"/>
        </w:rPr>
        <w:t xml:space="preserve"> в отношении способов наиболее эффективного и ответственного управления тем, что в противном случае являлось долгожданным благословением для МОК.</w:t>
      </w:r>
    </w:p>
    <w:p w14:paraId="0444929F" w14:textId="77777777" w:rsidR="00025564" w:rsidRPr="006555ED" w:rsidRDefault="00025564" w:rsidP="00025564">
      <w:pPr>
        <w:pStyle w:val="BodyText"/>
        <w:rPr>
          <w:lang w:val="ru"/>
        </w:rPr>
      </w:pPr>
      <w:r>
        <w:rPr>
          <w:lang w:val="ru"/>
        </w:rPr>
        <w:t xml:space="preserve">Государства-члены МОК также столкнулись с нехваткой возможностей для консультаций в рамках текущей подготовки следующей программы и бюджета на 2026-2027 гг. </w:t>
      </w:r>
    </w:p>
    <w:p w14:paraId="55B990F0" w14:textId="77777777" w:rsidR="00025564" w:rsidRPr="006555ED" w:rsidRDefault="00025564" w:rsidP="00025564">
      <w:pPr>
        <w:pStyle w:val="BodyText"/>
        <w:rPr>
          <w:lang w:val="ru"/>
        </w:rPr>
      </w:pPr>
      <w:r>
        <w:rPr>
          <w:lang w:val="ru"/>
        </w:rPr>
        <w:t>Все это подчеркивает тот факт, что статус МОК и ее взаимоотношения с ЮНЕСКО, ее функциональная автономия и двойные процессы руководства и управления являются ключевым вопросом.</w:t>
      </w:r>
    </w:p>
    <w:p w14:paraId="4AFA2359" w14:textId="77777777" w:rsidR="00025564" w:rsidRPr="000036B2" w:rsidRDefault="00025564" w:rsidP="00025564">
      <w:pPr>
        <w:pStyle w:val="Titrealign"/>
        <w:keepNext/>
        <w:numPr>
          <w:ilvl w:val="0"/>
          <w:numId w:val="31"/>
        </w:numPr>
        <w:ind w:left="284" w:hanging="294"/>
      </w:pPr>
      <w:r>
        <w:rPr>
          <w:bCs/>
          <w:lang w:val="ru"/>
        </w:rPr>
        <w:t>Результаты опросов</w:t>
      </w:r>
    </w:p>
    <w:p w14:paraId="792AF734" w14:textId="77777777" w:rsidR="00025564" w:rsidRPr="00112A2E" w:rsidRDefault="00025564" w:rsidP="00025564">
      <w:pPr>
        <w:pStyle w:val="BodyText"/>
        <w:keepNext/>
      </w:pPr>
      <w:r>
        <w:rPr>
          <w:lang w:val="ru"/>
        </w:rPr>
        <w:t xml:space="preserve">По процессу 1. Стратегическое планирование и обзор в связи с планированием и контролем программы и бюджета </w:t>
      </w:r>
    </w:p>
    <w:p w14:paraId="005A78FC" w14:textId="77777777" w:rsidR="00025564" w:rsidRPr="00112A2E" w:rsidRDefault="00025564" w:rsidP="00025564">
      <w:pPr>
        <w:pStyle w:val="Point"/>
      </w:pPr>
      <w:r>
        <w:rPr>
          <w:lang w:val="ru"/>
        </w:rPr>
        <w:t xml:space="preserve">Большинство опрошенных сообщили, что Бюджет МОК и численность персонала Секретариата не соответствуют задачам Комиссии и проблемам, с которыми сталкивается океан в современном мире. </w:t>
      </w:r>
    </w:p>
    <w:p w14:paraId="29E00F06" w14:textId="77777777" w:rsidR="00025564" w:rsidRPr="00112A2E" w:rsidRDefault="00025564" w:rsidP="00025564">
      <w:pPr>
        <w:pStyle w:val="Point"/>
      </w:pPr>
      <w:r>
        <w:rPr>
          <w:lang w:val="ru"/>
        </w:rPr>
        <w:t xml:space="preserve">Некоторые указали на то, что МОК, пытаясь изо всех сил удовлетворить постоянно растущие потребности такого количества стран, позволяет втянуть себя в запуск новых проектов, не имея возможности завершить уже начатые.          </w:t>
      </w:r>
    </w:p>
    <w:p w14:paraId="13AD2ADB" w14:textId="77777777" w:rsidR="00025564" w:rsidRPr="00112A2E" w:rsidRDefault="00025564" w:rsidP="00025564">
      <w:pPr>
        <w:pStyle w:val="Point"/>
      </w:pPr>
      <w:r>
        <w:rPr>
          <w:lang w:val="ru"/>
        </w:rPr>
        <w:t xml:space="preserve">Поскольку добровольные взносы почти полностью направляются на конкретные программы, процесс составления бюджета, по сути, вращается вокруг выделения фиксированной доли МОК в регулярном бюджете ЮНЕСКО для ее различных функций, программ и площадок или подкомиссий и ограничен в том, что касается персонала/должностей, критериями ЮНЕСКО, предъявляемыми к персоналу (децентрализация, разнообразие). </w:t>
      </w:r>
    </w:p>
    <w:p w14:paraId="7551D4F8" w14:textId="77777777" w:rsidR="00025564" w:rsidRPr="006555ED" w:rsidRDefault="00025564" w:rsidP="00025564">
      <w:pPr>
        <w:pStyle w:val="Point"/>
        <w:rPr>
          <w:lang w:val="ru"/>
        </w:rPr>
      </w:pPr>
      <w:r>
        <w:rPr>
          <w:lang w:val="ru"/>
        </w:rPr>
        <w:t xml:space="preserve">Учитывая эту крайне ограниченную структуру процесса составления бюджета, неудивительно, что многие опрошенные, столкнувшиеся ним, подчеркивали </w:t>
      </w:r>
      <w:r>
        <w:rPr>
          <w:lang w:val="ru"/>
        </w:rPr>
        <w:lastRenderedPageBreak/>
        <w:t xml:space="preserve">нехватку стратегического контроля, предоставленного руководящим органам МОК, и чувство, что от них требуется только поставить галочку, перевернуть и подписать. Кроме того, они обычно получали документы намного позже нормального срока (зачастую в связи с нехваткой персонала Секретариата и задержки сроков проведения заседаний вспомогательных органов), слишком поздно для того, чтобы различные агентства и министерства конкретного государства могли выработать единую позицию. </w:t>
      </w:r>
    </w:p>
    <w:p w14:paraId="5F641DE3" w14:textId="77777777" w:rsidR="00025564" w:rsidRPr="006555ED" w:rsidRDefault="00025564" w:rsidP="00025564">
      <w:pPr>
        <w:pStyle w:val="Point"/>
        <w:rPr>
          <w:lang w:val="ru"/>
        </w:rPr>
      </w:pPr>
      <w:r>
        <w:rPr>
          <w:lang w:val="ru"/>
        </w:rPr>
        <w:t xml:space="preserve">Некоторые из опрошенных указали на слабость МОК в отношении контроля управления программами (определение целей, ключевых показателей эффективности) и чрезмерно оптимистичную оценку затрат.  </w:t>
      </w:r>
    </w:p>
    <w:p w14:paraId="1EDB679B" w14:textId="77777777" w:rsidR="00025564" w:rsidRPr="006555ED" w:rsidRDefault="00025564" w:rsidP="00025564">
      <w:pPr>
        <w:pStyle w:val="Point"/>
        <w:rPr>
          <w:lang w:val="ru"/>
        </w:rPr>
      </w:pPr>
      <w:r>
        <w:rPr>
          <w:lang w:val="ru"/>
        </w:rPr>
        <w:t xml:space="preserve">Некоторые из опрошенных государств-членов не могли позволить себе командировать сотрудников или стажеров в Париж из-за стоимости жизни, но были бы рады сделать это на месте.  </w:t>
      </w:r>
    </w:p>
    <w:p w14:paraId="62226C7D" w14:textId="77777777" w:rsidR="00025564" w:rsidRPr="006555ED" w:rsidRDefault="00025564" w:rsidP="00025564">
      <w:pPr>
        <w:pStyle w:val="Point"/>
        <w:rPr>
          <w:lang w:val="ru"/>
        </w:rPr>
      </w:pPr>
      <w:r>
        <w:rPr>
          <w:lang w:val="ru"/>
        </w:rPr>
        <w:t xml:space="preserve">Были также подняты другие отдельные вопросы: </w:t>
      </w:r>
    </w:p>
    <w:p w14:paraId="5DA8E6AD" w14:textId="77777777" w:rsidR="00025564" w:rsidRPr="006555ED" w:rsidRDefault="00025564" w:rsidP="00025564">
      <w:pPr>
        <w:pStyle w:val="Tiret"/>
        <w:rPr>
          <w:lang w:val="ru"/>
        </w:rPr>
      </w:pPr>
      <w:r>
        <w:rPr>
          <w:lang w:val="ru"/>
        </w:rPr>
        <w:t xml:space="preserve">«Накладные расходы, взимаемые ЮНЕСКО (обычно 9 %) для покрытия косвенных расходов центральных служб: казначейства, юрисконсульт, управление грантами и переговоры, внутренний надзор и пр., являются слишком высокими». </w:t>
      </w:r>
    </w:p>
    <w:p w14:paraId="33A670F0" w14:textId="77777777" w:rsidR="00025564" w:rsidRPr="006555ED" w:rsidRDefault="00025564" w:rsidP="00025564">
      <w:pPr>
        <w:pStyle w:val="Tiret"/>
        <w:rPr>
          <w:lang w:val="ru"/>
        </w:rPr>
      </w:pPr>
      <w:r>
        <w:rPr>
          <w:lang w:val="ru"/>
        </w:rPr>
        <w:t xml:space="preserve">«Расходы Секретариата превышают расходы программы». </w:t>
      </w:r>
    </w:p>
    <w:p w14:paraId="134764DB" w14:textId="77777777" w:rsidR="00025564" w:rsidRPr="006555ED" w:rsidRDefault="00025564" w:rsidP="00025564">
      <w:pPr>
        <w:pStyle w:val="Tiret"/>
        <w:rPr>
          <w:lang w:val="ru"/>
        </w:rPr>
      </w:pPr>
      <w:r>
        <w:rPr>
          <w:lang w:val="ru"/>
        </w:rPr>
        <w:t>«МОК слишком сильно зависит от Фландрии/Остенде в том, что касается ключевых функций МООД».</w:t>
      </w:r>
    </w:p>
    <w:p w14:paraId="34F4EBD8" w14:textId="77777777" w:rsidR="00025564" w:rsidRPr="006555ED" w:rsidRDefault="00025564" w:rsidP="00025564">
      <w:pPr>
        <w:pStyle w:val="Tiret"/>
        <w:rPr>
          <w:lang w:val="ru"/>
        </w:rPr>
      </w:pPr>
      <w:r>
        <w:rPr>
          <w:lang w:val="ru"/>
        </w:rPr>
        <w:t xml:space="preserve">Возможность привлекать больше частных компаний, проявляющих интерес к океаническим течениям, волнам и пр. и располагающих данными по этой теме, например, нефтяные компании, рыболовные компании, перевозчики и пр.  </w:t>
      </w:r>
    </w:p>
    <w:p w14:paraId="33087F7B" w14:textId="77777777" w:rsidR="00025564" w:rsidRPr="006555ED" w:rsidRDefault="00025564" w:rsidP="00025564">
      <w:pPr>
        <w:pStyle w:val="Tiret"/>
        <w:rPr>
          <w:lang w:val="ru"/>
        </w:rPr>
      </w:pPr>
      <w:r>
        <w:rPr>
          <w:lang w:val="ru"/>
        </w:rPr>
        <w:t xml:space="preserve">«В сфере наращивания потенциала (образование и обучение) МГО делает больше меньшими усилиями». </w:t>
      </w:r>
    </w:p>
    <w:p w14:paraId="680F6C7F" w14:textId="77777777" w:rsidR="00025564" w:rsidRPr="006555ED" w:rsidRDefault="00025564" w:rsidP="00025564">
      <w:pPr>
        <w:pStyle w:val="BodyText"/>
        <w:rPr>
          <w:lang w:val="ru"/>
        </w:rPr>
      </w:pPr>
      <w:r>
        <w:rPr>
          <w:lang w:val="ru"/>
        </w:rPr>
        <w:t>По процессу 2. Планирование и управление персоналом, в частности, подбор кадров</w:t>
      </w:r>
    </w:p>
    <w:p w14:paraId="32C223AC" w14:textId="77777777" w:rsidR="00025564" w:rsidRPr="006555ED" w:rsidRDefault="00025564" w:rsidP="00025564">
      <w:pPr>
        <w:pStyle w:val="Point"/>
        <w:rPr>
          <w:lang w:val="ru"/>
        </w:rPr>
      </w:pPr>
      <w:r>
        <w:rPr>
          <w:lang w:val="ru"/>
        </w:rPr>
        <w:t xml:space="preserve">Передача генеральным директором ЮНЕСКО всем заместителям Генерального директора полномочий назначать квалифицированных специалистов уровня Р-4 была отменена в 2023 г. В настоящее время всех квалифицированных специалистов Секретариата ЮНЕСКО, включая МОК, назначает Генеральный директор. Большинство опрошенных считают, что критерии ЮНЕСКО в отношении подбора кадров ограничивают организационную эффективность (цена децентрализации) и порой индивидуальные навыки (цена разнообразия). Процесс подбора кадров расценивается как чрезмерно долгий (более 6 месяцев) и в некоторой мере непрозрачный для людей, находящихся далеко от центра.    </w:t>
      </w:r>
    </w:p>
    <w:p w14:paraId="5CDF47A9" w14:textId="77777777" w:rsidR="00025564" w:rsidRPr="006555ED" w:rsidRDefault="00025564" w:rsidP="00025564">
      <w:pPr>
        <w:pStyle w:val="Point"/>
        <w:rPr>
          <w:lang w:val="ru"/>
        </w:rPr>
      </w:pPr>
      <w:r>
        <w:rPr>
          <w:lang w:val="ru"/>
        </w:rPr>
        <w:t xml:space="preserve">Что касается подразделений на местах, некоторые указали на отсутствие координации между местным персоналом МОК, иерархией программ МОК, руководством офиса ЮНЕСКО и агентами принимающих стран. </w:t>
      </w:r>
    </w:p>
    <w:p w14:paraId="7CCD17DA" w14:textId="77777777" w:rsidR="00025564" w:rsidRPr="006555ED" w:rsidRDefault="00025564" w:rsidP="00025564">
      <w:pPr>
        <w:pStyle w:val="Point"/>
        <w:rPr>
          <w:lang w:val="ru"/>
        </w:rPr>
      </w:pPr>
      <w:r>
        <w:rPr>
          <w:lang w:val="ru"/>
        </w:rPr>
        <w:t xml:space="preserve">Другие отдельные вопросы и предложения: </w:t>
      </w:r>
    </w:p>
    <w:p w14:paraId="6318F0E4" w14:textId="77777777" w:rsidR="00025564" w:rsidRPr="006555ED" w:rsidRDefault="00025564" w:rsidP="00025564">
      <w:pPr>
        <w:pStyle w:val="Tiret"/>
        <w:rPr>
          <w:lang w:val="ru"/>
        </w:rPr>
      </w:pPr>
      <w:r>
        <w:rPr>
          <w:lang w:val="ru"/>
        </w:rPr>
        <w:t xml:space="preserve">Африка недостаточно представлена ​​среди сотрудников Секретариата (в настоящее время 2 должности); </w:t>
      </w:r>
    </w:p>
    <w:p w14:paraId="4EDE4DD8" w14:textId="77777777" w:rsidR="00025564" w:rsidRPr="006555ED" w:rsidRDefault="00025564" w:rsidP="00025564">
      <w:pPr>
        <w:pStyle w:val="Tiret"/>
        <w:rPr>
          <w:lang w:val="ru"/>
        </w:rPr>
      </w:pPr>
      <w:r>
        <w:rPr>
          <w:lang w:val="ru"/>
        </w:rPr>
        <w:t>МОК/ЮНЕСКО должны субсидировать стоимость жизни в Париже для стажеров (в частности, из небольших островных государств);</w:t>
      </w:r>
    </w:p>
    <w:p w14:paraId="415D2A57" w14:textId="77777777" w:rsidR="00025564" w:rsidRPr="006555ED" w:rsidRDefault="00025564" w:rsidP="00025564">
      <w:pPr>
        <w:pStyle w:val="Tiret"/>
        <w:rPr>
          <w:lang w:val="ru"/>
        </w:rPr>
      </w:pPr>
      <w:r>
        <w:rPr>
          <w:lang w:val="ru"/>
        </w:rPr>
        <w:lastRenderedPageBreak/>
        <w:t xml:space="preserve">МОК должна проявлять гибкость, нанимая прикомандированный персонал на месте, а не в Париже. </w:t>
      </w:r>
    </w:p>
    <w:p w14:paraId="2E2E2166" w14:textId="77777777" w:rsidR="00025564" w:rsidRPr="006555ED" w:rsidRDefault="00025564" w:rsidP="00025564">
      <w:pPr>
        <w:pStyle w:val="BodyText"/>
        <w:rPr>
          <w:lang w:val="ru"/>
        </w:rPr>
      </w:pPr>
      <w:r>
        <w:rPr>
          <w:lang w:val="ru"/>
        </w:rPr>
        <w:t xml:space="preserve">По процессу 3. Взаимодействие МОК с подразделениями ЮНЕСКО и предъявляемые ими требования. </w:t>
      </w:r>
    </w:p>
    <w:p w14:paraId="3AC41F12" w14:textId="77777777" w:rsidR="00025564" w:rsidRPr="006555ED" w:rsidRDefault="00025564" w:rsidP="00025564">
      <w:pPr>
        <w:pStyle w:val="Point"/>
        <w:rPr>
          <w:lang w:val="ru"/>
        </w:rPr>
      </w:pPr>
      <w:r>
        <w:rPr>
          <w:lang w:val="ru"/>
        </w:rPr>
        <w:t xml:space="preserve">Запросы ЮНЕСКО, не связанные непосредственно с задачей МОК, отнимают ориентировочно от 10 % до 25 % времени руководителя секции Секретариата МОК: написание специальных записок, двойная отчетность (поскольку формат отчетности ЮНЕСКО зачастую не совпадает с соответствующей разбивкой МОК), участие в заседаниях ЮНЕСКО, имеющих мало общего с мандатом МОК (например, Научный сектор ЮНЕСКО занимается наземной гидрографией, которая никоим образом не связана с морской наукой и политикой, поскольку наземные воды полностью находятся под национальной юрисдикцией, в отличие от океанов).   </w:t>
      </w:r>
    </w:p>
    <w:p w14:paraId="10E8C74A" w14:textId="77777777" w:rsidR="00025564" w:rsidRPr="006555ED" w:rsidRDefault="00025564" w:rsidP="00025564">
      <w:pPr>
        <w:pStyle w:val="Point"/>
        <w:rPr>
          <w:lang w:val="ru"/>
        </w:rPr>
      </w:pPr>
      <w:r>
        <w:rPr>
          <w:lang w:val="ru"/>
        </w:rPr>
        <w:t xml:space="preserve">Один из опрошенных предложил МОК пересмотреть формат С/5 совместно с ЮНЕСКО и согласовать единый формат для секции МОК, удовлетворяющий требованиями и МОК и ЮНЕСКО, и положить таким образом конец двойной отчетности.  </w:t>
      </w:r>
    </w:p>
    <w:p w14:paraId="4D321BE0" w14:textId="77777777" w:rsidR="00025564" w:rsidRPr="006555ED" w:rsidRDefault="00025564" w:rsidP="00025564">
      <w:pPr>
        <w:pStyle w:val="BodyText"/>
        <w:rPr>
          <w:lang w:val="ru"/>
        </w:rPr>
      </w:pPr>
      <w:r>
        <w:rPr>
          <w:lang w:val="ru"/>
        </w:rPr>
        <w:t>По процессу 4. Участие МОК в соответствующих многосторонних процессах.</w:t>
      </w:r>
    </w:p>
    <w:p w14:paraId="166450D8" w14:textId="77777777" w:rsidR="00025564" w:rsidRPr="006555ED" w:rsidRDefault="00025564" w:rsidP="00025564">
      <w:pPr>
        <w:pStyle w:val="Point"/>
        <w:rPr>
          <w:lang w:val="ru"/>
        </w:rPr>
      </w:pPr>
      <w:r>
        <w:rPr>
          <w:lang w:val="ru"/>
        </w:rPr>
        <w:t>Следующие многосторонние организации и процессы лучше всего соответствуют МОК (и соответствуют лучше, чем ЮНЕСКО): ВМО (Всемирная метеорологическая организация), ФАО (Организация ООН по вопросам продовольствия и сельского хозяйства), МГО (Международная гидрографическая организация), ОВОМП (Отдел ООН по вопросам океана и морскому праву), РКИК ООН (Рамочная конвенция ООН об изменении климата), КБР (Конвенция о биологическом разнообразии) и БПНЮ (биоразнообразие в районах за пределами действия национальной юрисдикции). Опрошенные сообщили о случаях, когда МОК аккредитовалась независимо от ЮНЕСКО, но ЮНЕСКО брала на себя управление делегацией МОК и ее вкладами. В последние годы МОК не получала независимой аккредитации для некоторых соответствующих процессов ООН, в том числе, как это ни парадоксально, для Конференций ООН, посвященных океану.</w:t>
      </w:r>
      <w:r>
        <w:rPr>
          <w:lang w:val="ru"/>
        </w:rPr>
        <w:tab/>
        <w:t xml:space="preserve">  </w:t>
      </w:r>
    </w:p>
    <w:p w14:paraId="217E3A99" w14:textId="77777777" w:rsidR="00025564" w:rsidRPr="006555ED" w:rsidRDefault="00025564" w:rsidP="00025564">
      <w:pPr>
        <w:pStyle w:val="Point"/>
        <w:rPr>
          <w:lang w:val="ru"/>
        </w:rPr>
      </w:pPr>
      <w:r>
        <w:rPr>
          <w:lang w:val="ru"/>
        </w:rPr>
        <w:t xml:space="preserve">Почти все опрошенные посчитали, что ограничения или предварительное разрешение, предусмотренное ЮНЕСКО, но выдаваемое только в последний момент, для поездок делегаций МОК и/или Исполнительного секретаря, являются нецелесообразными и, в принципе, неприемлемыми. </w:t>
      </w:r>
    </w:p>
    <w:p w14:paraId="029AC80B" w14:textId="77777777" w:rsidR="00025564" w:rsidRPr="006555ED" w:rsidRDefault="00025564" w:rsidP="00025564">
      <w:pPr>
        <w:pStyle w:val="Point"/>
        <w:rPr>
          <w:lang w:val="ru"/>
        </w:rPr>
      </w:pPr>
      <w:r>
        <w:rPr>
          <w:lang w:val="ru"/>
        </w:rPr>
        <w:t>Один из опрошенных предложил МОК проявить интерес к дисциплинам, отличным от океанографии: образованию, наследию, обществу.</w:t>
      </w:r>
    </w:p>
    <w:p w14:paraId="06F8F3EA" w14:textId="77777777" w:rsidR="00025564" w:rsidRPr="006555ED" w:rsidRDefault="00025564" w:rsidP="00025564">
      <w:pPr>
        <w:pStyle w:val="BodyText"/>
        <w:rPr>
          <w:lang w:val="ru"/>
        </w:rPr>
      </w:pPr>
      <w:r>
        <w:rPr>
          <w:lang w:val="ru"/>
        </w:rPr>
        <w:t>По процессу 5. Информационное взаимодействие и распространение океанических знаний и исследований, осуществленных МОК и государствами-членами (брендирование, признание прав интеллектуальной собственности).</w:t>
      </w:r>
    </w:p>
    <w:p w14:paraId="17B2080B" w14:textId="77777777" w:rsidR="00025564" w:rsidRPr="006555ED" w:rsidRDefault="00025564" w:rsidP="00025564">
      <w:pPr>
        <w:pStyle w:val="Point"/>
        <w:rPr>
          <w:lang w:val="ru"/>
        </w:rPr>
      </w:pPr>
      <w:r>
        <w:rPr>
          <w:lang w:val="ru"/>
        </w:rPr>
        <w:t>Все опрошенные отметили, что в настоящее время ЮНЕСКО систематически исключает название МОК из всех публикаций: пресс-релизов и интервью, публикаций в Twitter/X, брошюр и плакатов. Они считают, что это несправедливо, поскольку ЮНЕСКО не имеет реальной компетенции в области океана за пределами МОК. Кроме того, «твердая рука» ЮНЕСКО при организации презентации ДСМО-</w:t>
      </w:r>
      <w:r>
        <w:rPr>
          <w:lang w:val="ru"/>
        </w:rPr>
        <w:lastRenderedPageBreak/>
        <w:t xml:space="preserve">2024 была очень плохо воспринята Исландией, свидетельствуя о том, что на деле МОК не имеет никакой функциональной автономии.   </w:t>
      </w:r>
    </w:p>
    <w:p w14:paraId="23EB42AA" w14:textId="77777777" w:rsidR="00025564" w:rsidRPr="006555ED" w:rsidRDefault="00025564" w:rsidP="00025564">
      <w:pPr>
        <w:pStyle w:val="Point"/>
        <w:rPr>
          <w:lang w:val="ru"/>
        </w:rPr>
      </w:pPr>
      <w:r>
        <w:rPr>
          <w:lang w:val="ru"/>
        </w:rPr>
        <w:t>Большинство опрошенных считают такую ситуацию потенциально разрушительной по двум причинам.</w:t>
      </w:r>
    </w:p>
    <w:p w14:paraId="13693297" w14:textId="77777777" w:rsidR="00025564" w:rsidRPr="006555ED" w:rsidRDefault="00025564" w:rsidP="00025564">
      <w:pPr>
        <w:pStyle w:val="Tiret"/>
        <w:rPr>
          <w:lang w:val="ru"/>
        </w:rPr>
      </w:pPr>
      <w:r>
        <w:rPr>
          <w:lang w:val="ru"/>
        </w:rPr>
        <w:t xml:space="preserve">Это отпугивает государства-члены (например, Индию в отношении СПЦСПИО) и других партнеров (например, фонд «Ниппон» в отношении программы «Морское дно-2023», МСН и пр.) от внесения интеллектуального или финансового вклада, поскольку они считают, что только МОК (а не ЮНЕСКО) способна эффективно использовать их вклад.   </w:t>
      </w:r>
    </w:p>
    <w:p w14:paraId="45C676E0" w14:textId="77777777" w:rsidR="00025564" w:rsidRPr="006555ED" w:rsidRDefault="00025564" w:rsidP="00025564">
      <w:pPr>
        <w:pStyle w:val="Tiret"/>
        <w:rPr>
          <w:lang w:val="ru"/>
        </w:rPr>
      </w:pPr>
      <w:r>
        <w:rPr>
          <w:lang w:val="ru"/>
        </w:rPr>
        <w:t>Это может сподвигнуть государства-члены, не являющиеся членами ЮНЕСКО, также выйти из МОК на том основании, что функциональная автономия фактически отсутствует и что Устав МОК не соблюдается.</w:t>
      </w:r>
    </w:p>
    <w:p w14:paraId="69CB516B" w14:textId="77777777" w:rsidR="00025564" w:rsidRPr="006555ED" w:rsidRDefault="00025564" w:rsidP="00025564">
      <w:pPr>
        <w:pStyle w:val="Point"/>
        <w:rPr>
          <w:lang w:val="ru"/>
        </w:rPr>
      </w:pPr>
      <w:r>
        <w:rPr>
          <w:lang w:val="ru"/>
        </w:rPr>
        <w:t xml:space="preserve">Все опрошенные настаивали, что для повышения эффективности МОК как экспертного органа в области Мирового океана ей необходимо продвигать себя как МОК. «ЮНЕСКО» лучше известна широкой общественности и политикам, но МОК более уважаема в сообществе, связанном с проблемами океанов. </w:t>
      </w:r>
    </w:p>
    <w:p w14:paraId="37FF5688" w14:textId="77777777" w:rsidR="00025564" w:rsidRPr="006555ED" w:rsidRDefault="00025564" w:rsidP="00025564">
      <w:pPr>
        <w:pStyle w:val="Point"/>
        <w:rPr>
          <w:b/>
          <w:lang w:val="ru"/>
        </w:rPr>
      </w:pPr>
      <w:r>
        <w:rPr>
          <w:lang w:val="ru"/>
        </w:rPr>
        <w:t xml:space="preserve">Некоторые опрошенные считают, что МОК следует разработать стратегию привлечения внимания к себе. </w:t>
      </w:r>
    </w:p>
    <w:p w14:paraId="59A75F05" w14:textId="77777777" w:rsidR="00025564" w:rsidRPr="006555ED" w:rsidRDefault="00025564" w:rsidP="00025564">
      <w:pPr>
        <w:pStyle w:val="BodyText"/>
        <w:rPr>
          <w:lang w:val="ru"/>
        </w:rPr>
      </w:pPr>
      <w:r>
        <w:rPr>
          <w:lang w:val="ru"/>
        </w:rPr>
        <w:t>По процессу 6. Исполнительный совет и Ассамблея МОК (участие государств-членов)</w:t>
      </w:r>
    </w:p>
    <w:p w14:paraId="04F524D4" w14:textId="77777777" w:rsidR="00025564" w:rsidRPr="00112A2E" w:rsidRDefault="00025564" w:rsidP="00025564">
      <w:pPr>
        <w:pStyle w:val="Point"/>
      </w:pPr>
      <w:r>
        <w:rPr>
          <w:lang w:val="ru"/>
        </w:rPr>
        <w:t xml:space="preserve">Один из респондентов отметил, что решения Ассамблеи и Исполнительного совета на самом деле не являются обязательными для государств-членов, поскольку в основе МОК, в отличие от ВМО, не лежит конвенция ООН. Но никто не предложил добиваться конвенции ООН.  </w:t>
      </w:r>
    </w:p>
    <w:p w14:paraId="4B927C9B" w14:textId="77777777" w:rsidR="00025564" w:rsidRPr="00112A2E" w:rsidRDefault="00025564" w:rsidP="00025564">
      <w:pPr>
        <w:pStyle w:val="Point"/>
      </w:pPr>
      <w:r>
        <w:rPr>
          <w:lang w:val="ru"/>
        </w:rPr>
        <w:t>Один из опрошенных указал на неравное представительство государств-членов в Исполнительном совете в соответствии с их избирательной группой: Группа 1: 10 мест/24 государства; Группа 2: 3/14; Группа 3: 9/30; Группа 4: 9/35; Группа 5: 9/47.</w:t>
      </w:r>
    </w:p>
    <w:p w14:paraId="4DC32ADD" w14:textId="77777777" w:rsidR="00025564" w:rsidRPr="006555ED" w:rsidRDefault="00025564" w:rsidP="00025564">
      <w:pPr>
        <w:pStyle w:val="Point"/>
        <w:rPr>
          <w:lang w:val="ru"/>
        </w:rPr>
      </w:pPr>
      <w:r>
        <w:rPr>
          <w:lang w:val="ru"/>
        </w:rPr>
        <w:t>Почти все опрошенные представители государств-членов пожаловались на то, что они всегда получают документы по истечении стандартного двухмесячного срока – слишком поздно для того, чтобы различные агентства и министерства их государства могли выработать единую позицию. Такая ситуация частично объясняется задержкой поступления от вспомогательных органов и рабочих групп, а также нехваткой персонала.</w:t>
      </w:r>
      <w:r>
        <w:rPr>
          <w:lang w:val="ru"/>
        </w:rPr>
        <w:tab/>
      </w:r>
    </w:p>
    <w:p w14:paraId="535030FB" w14:textId="77777777" w:rsidR="00025564" w:rsidRPr="006555ED" w:rsidRDefault="00025564" w:rsidP="00025564">
      <w:pPr>
        <w:pStyle w:val="Point"/>
        <w:rPr>
          <w:lang w:val="ru"/>
        </w:rPr>
      </w:pPr>
      <w:r>
        <w:rPr>
          <w:lang w:val="ru"/>
        </w:rPr>
        <w:t xml:space="preserve">Посещаемость и активное участие в работе Ассамблеи и Исполнительного совета находятся на очень низком уровне, хотя они и выросли в последние годы. Возможные причины: обсуждения «скучные», слишком сосредоточенные на формулировках, а не на сути; государства-члены, располагающие ограниченными ресурсами, не могут позволить себе отправить экспертов в качестве представителей. </w:t>
      </w:r>
    </w:p>
    <w:p w14:paraId="4673FF13" w14:textId="77777777" w:rsidR="00025564" w:rsidRPr="006555ED" w:rsidRDefault="00025564" w:rsidP="00025564">
      <w:pPr>
        <w:pStyle w:val="Point"/>
        <w:rPr>
          <w:lang w:val="ru"/>
        </w:rPr>
      </w:pPr>
      <w:r>
        <w:rPr>
          <w:lang w:val="ru"/>
        </w:rPr>
        <w:t>Постоянные трудности с привлечением политиков государств-членов, помимо ученых.</w:t>
      </w:r>
    </w:p>
    <w:p w14:paraId="6B0D5956" w14:textId="77777777" w:rsidR="00025564" w:rsidRPr="00112A2E" w:rsidRDefault="00025564" w:rsidP="00025564">
      <w:pPr>
        <w:pStyle w:val="Point"/>
      </w:pPr>
      <w:r>
        <w:rPr>
          <w:lang w:val="ru"/>
        </w:rPr>
        <w:t xml:space="preserve">Один из респондентов поднял вопрос о роли и положении Секретариата по отношению к государствам-членам и руководящим органам. «Он превратился в нечто большее, чем секретариат. У него есть собственная повестка дня и собственные программы, в отличие от Секретариата ВМО и ОВОМП (Отдел ООН по </w:t>
      </w:r>
      <w:r>
        <w:rPr>
          <w:lang w:val="ru"/>
        </w:rPr>
        <w:lastRenderedPageBreak/>
        <w:t xml:space="preserve">вопросам океана и морскому праву). Секретариат МОК должен придерживаться своей роли». </w:t>
      </w:r>
    </w:p>
    <w:p w14:paraId="7A29257C" w14:textId="77777777" w:rsidR="00025564" w:rsidRPr="00112A2E" w:rsidRDefault="00025564" w:rsidP="00025564">
      <w:pPr>
        <w:pStyle w:val="Point"/>
      </w:pPr>
      <w:r>
        <w:rPr>
          <w:lang w:val="ru"/>
        </w:rPr>
        <w:t xml:space="preserve">Практические предложения </w:t>
      </w:r>
    </w:p>
    <w:p w14:paraId="178FFFF5" w14:textId="77777777" w:rsidR="00025564" w:rsidRPr="00112A2E" w:rsidRDefault="00025564" w:rsidP="00025564">
      <w:pPr>
        <w:pStyle w:val="Tiret"/>
      </w:pPr>
      <w:r>
        <w:rPr>
          <w:lang w:val="ru"/>
        </w:rPr>
        <w:t xml:space="preserve">Рассылать справочную информацию до заседаний; Программам следует уточнять позицию государств-членов до окончательного утверждения предложений по решениям. </w:t>
      </w:r>
    </w:p>
    <w:p w14:paraId="0A5B21DD" w14:textId="77777777" w:rsidR="00025564" w:rsidRPr="006555ED" w:rsidRDefault="00025564" w:rsidP="00025564">
      <w:pPr>
        <w:pStyle w:val="Tiret"/>
        <w:rPr>
          <w:lang w:val="ru"/>
        </w:rPr>
      </w:pPr>
      <w:r>
        <w:rPr>
          <w:lang w:val="ru"/>
        </w:rPr>
        <w:t>Направлять проекты документов, не дожидаясь их перевода. Если документы еще совсем не готовы, исключать пункт из повестки дня.</w:t>
      </w:r>
    </w:p>
    <w:p w14:paraId="652ED62D" w14:textId="77777777" w:rsidR="00025564" w:rsidRPr="006555ED" w:rsidRDefault="00025564" w:rsidP="00025564">
      <w:pPr>
        <w:pStyle w:val="Tiret"/>
        <w:rPr>
          <w:lang w:val="ru"/>
        </w:rPr>
      </w:pPr>
      <w:r>
        <w:rPr>
          <w:lang w:val="ru"/>
        </w:rPr>
        <w:t>Предложить государствам-членам представить свои заявления в письменной форме, а не зачитывать их на заседании.</w:t>
      </w:r>
    </w:p>
    <w:p w14:paraId="50DB73B5" w14:textId="77777777" w:rsidR="00025564" w:rsidRPr="006555ED" w:rsidRDefault="00025564" w:rsidP="00025564">
      <w:pPr>
        <w:pStyle w:val="Tiret"/>
        <w:rPr>
          <w:lang w:val="ru"/>
        </w:rPr>
      </w:pPr>
      <w:r>
        <w:rPr>
          <w:lang w:val="ru"/>
        </w:rPr>
        <w:t>Разрешить дистанционное участие (по видеосвязи).</w:t>
      </w:r>
    </w:p>
    <w:p w14:paraId="0DF2CE29" w14:textId="77777777" w:rsidR="00025564" w:rsidRPr="00112A2E" w:rsidRDefault="00025564" w:rsidP="00025564">
      <w:pPr>
        <w:pStyle w:val="Tiret"/>
      </w:pPr>
      <w:r>
        <w:rPr>
          <w:lang w:val="ru"/>
        </w:rPr>
        <w:t xml:space="preserve">Привлекать региональные офисы. </w:t>
      </w:r>
    </w:p>
    <w:p w14:paraId="36DBA17C" w14:textId="77777777" w:rsidR="00025564" w:rsidRPr="00112A2E" w:rsidRDefault="00025564" w:rsidP="00025564">
      <w:pPr>
        <w:pStyle w:val="Tiret"/>
      </w:pPr>
      <w:r>
        <w:rPr>
          <w:lang w:val="ru"/>
        </w:rPr>
        <w:t xml:space="preserve">Улучшить интеграцию новичков (новых делегаций, новых членов опытных делегаций). </w:t>
      </w:r>
    </w:p>
    <w:p w14:paraId="22CEDA6E" w14:textId="77777777" w:rsidR="00025564" w:rsidRPr="00112A2E" w:rsidRDefault="00025564" w:rsidP="00025564">
      <w:pPr>
        <w:pStyle w:val="Tiret"/>
        <w:rPr>
          <w:b/>
        </w:rPr>
      </w:pPr>
      <w:r>
        <w:rPr>
          <w:lang w:val="ru"/>
        </w:rPr>
        <w:t>Запланировать часовое введение в начале недельной сессии Ассамблеи для разъяснения интенсивной программы и сложной организации.</w:t>
      </w:r>
    </w:p>
    <w:p w14:paraId="749E7344" w14:textId="77777777" w:rsidR="00025564" w:rsidRPr="00112A2E" w:rsidRDefault="00025564" w:rsidP="00025564">
      <w:pPr>
        <w:pStyle w:val="BodyText"/>
        <w:keepNext/>
      </w:pPr>
      <w:r>
        <w:rPr>
          <w:lang w:val="ru"/>
        </w:rPr>
        <w:t>О функциональной автономии</w:t>
      </w:r>
    </w:p>
    <w:p w14:paraId="7DB8F894" w14:textId="77777777" w:rsidR="00025564" w:rsidRPr="00112A2E" w:rsidRDefault="00025564" w:rsidP="00025564">
      <w:pPr>
        <w:pStyle w:val="Point"/>
        <w:keepNext/>
      </w:pPr>
      <w:r>
        <w:rPr>
          <w:lang w:val="ru"/>
        </w:rPr>
        <w:t xml:space="preserve">Для некоторых респондентов функциональная автономия, предусмотренная в Уставе МОК, является основополагающей, поскольку она связана с независимостью членства в МОК от членства в ЮНЕСКО, и ее нужно защищать, поскольку то, что поставлено на карту, имеет решающее значение.  </w:t>
      </w:r>
    </w:p>
    <w:p w14:paraId="3C252FCA" w14:textId="77777777" w:rsidR="00025564" w:rsidRPr="006555ED" w:rsidRDefault="00025564" w:rsidP="00025564">
      <w:pPr>
        <w:pStyle w:val="Tiret"/>
        <w:keepNext/>
        <w:rPr>
          <w:lang w:val="ru"/>
        </w:rPr>
      </w:pPr>
      <w:r>
        <w:rPr>
          <w:lang w:val="ru"/>
        </w:rPr>
        <w:t xml:space="preserve">Некоторые государства являются членами МОК, но не ЮНЕСКО. Это касается Израиля в настоящий момент и в определенные периоды в прошлом, Великобритании, Сингапура, Соединенных Штатов Америки и других государств. Такая ситуация может возникнуть и в будущем. Государства, оказавшиеся в такой ситуации, очевидно, не могут финансировать МОК через регулярный бюджет ЮНЕСКО, но могут делать это 1) посредством прямых добровольных взносов; 2) в натуральной форме (56 % буев Арго – 2286 из 4091 – были предоставлены Соединенными Штатами Америки); 3) через партнеров, таких как ВМО. </w:t>
      </w:r>
    </w:p>
    <w:p w14:paraId="79A7331E" w14:textId="77777777" w:rsidR="00025564" w:rsidRPr="006555ED" w:rsidRDefault="00025564" w:rsidP="00025564">
      <w:pPr>
        <w:pStyle w:val="Point"/>
        <w:rPr>
          <w:lang w:val="ru"/>
        </w:rPr>
      </w:pPr>
      <w:r>
        <w:rPr>
          <w:lang w:val="ru"/>
        </w:rPr>
        <w:t>Другим опрошенным вопрос функциональной автономии, хотя и поднимаемый из раза в раз, кажется скорее претензией на статус, чем на суть, слишком незначительным или слишком неопределенным, чтобы отстаивать ее в ЮНЕСКО.</w:t>
      </w:r>
    </w:p>
    <w:p w14:paraId="1E6104D4" w14:textId="77777777" w:rsidR="00025564" w:rsidRPr="006555ED" w:rsidRDefault="00025564" w:rsidP="00025564">
      <w:pPr>
        <w:pStyle w:val="Tiret"/>
        <w:rPr>
          <w:lang w:val="ru"/>
        </w:rPr>
      </w:pPr>
      <w:r>
        <w:rPr>
          <w:lang w:val="ru"/>
        </w:rPr>
        <w:t xml:space="preserve">Тенденция ЮНЕСКО к микроуправлению зависит от ответственного лица. </w:t>
      </w:r>
    </w:p>
    <w:p w14:paraId="0B030778" w14:textId="77777777" w:rsidR="00025564" w:rsidRPr="006555ED" w:rsidRDefault="00025564" w:rsidP="00025564">
      <w:pPr>
        <w:pStyle w:val="Tiret"/>
        <w:rPr>
          <w:lang w:val="ru"/>
        </w:rPr>
      </w:pPr>
      <w:r>
        <w:rPr>
          <w:lang w:val="ru"/>
        </w:rPr>
        <w:t>Внутренняя борьба внутри ЮНЕСКО выгодна только врагам ЮНЕСКО.</w:t>
      </w:r>
    </w:p>
    <w:p w14:paraId="0E4240E4" w14:textId="77777777" w:rsidR="00025564" w:rsidRPr="006555ED" w:rsidRDefault="00025564" w:rsidP="00025564">
      <w:pPr>
        <w:pStyle w:val="Point"/>
        <w:rPr>
          <w:lang w:val="ru"/>
        </w:rPr>
      </w:pPr>
      <w:r>
        <w:rPr>
          <w:lang w:val="ru"/>
        </w:rPr>
        <w:t>Все согласны решительно отстаивать следующие конкретные пункты:</w:t>
      </w:r>
    </w:p>
    <w:p w14:paraId="1EC02A72" w14:textId="77777777" w:rsidR="00025564" w:rsidRDefault="00025564" w:rsidP="00025564">
      <w:pPr>
        <w:pStyle w:val="Tiret"/>
      </w:pPr>
      <w:r>
        <w:rPr>
          <w:lang w:val="ru"/>
        </w:rPr>
        <w:t xml:space="preserve">Уважение и защита бренда МОК </w:t>
      </w:r>
    </w:p>
    <w:p w14:paraId="4D29130E" w14:textId="77777777" w:rsidR="00025564" w:rsidRPr="006555ED" w:rsidRDefault="00025564" w:rsidP="00025564">
      <w:pPr>
        <w:pStyle w:val="Tiret"/>
        <w:rPr>
          <w:lang w:val="ru"/>
        </w:rPr>
      </w:pPr>
      <w:r>
        <w:rPr>
          <w:lang w:val="ru"/>
        </w:rPr>
        <w:t>Исполнительный секретарь МОК обладает тем же статусом, что и заместитель Генерального директора ЮНЕСКО, но не является таковым и к нему нельзя относиться как к таковому. В частности, он должен иметь возможность совершать поездки и участвовать во внешних заседаниях без предварительного разрешения, а также разрешать персоналу Секретариата совершать поездки и участвовать в заседаниях по его собственной инициативе.</w:t>
      </w:r>
    </w:p>
    <w:p w14:paraId="3BCCF067" w14:textId="77777777" w:rsidR="00025564" w:rsidRPr="006555ED" w:rsidRDefault="00025564" w:rsidP="00025564">
      <w:pPr>
        <w:pStyle w:val="Tiret"/>
        <w:rPr>
          <w:lang w:val="ru"/>
        </w:rPr>
      </w:pPr>
      <w:r>
        <w:rPr>
          <w:lang w:val="ru"/>
        </w:rPr>
        <w:t xml:space="preserve">Больше автономии и гибкости в размещении должностей и отборе кандидатов. </w:t>
      </w:r>
    </w:p>
    <w:p w14:paraId="402F83F9" w14:textId="77777777" w:rsidR="00025564" w:rsidRPr="006979D1" w:rsidRDefault="00025564" w:rsidP="00025564">
      <w:pPr>
        <w:pStyle w:val="Titrealign"/>
        <w:keepNext/>
        <w:numPr>
          <w:ilvl w:val="0"/>
          <w:numId w:val="31"/>
        </w:numPr>
        <w:ind w:left="284" w:hanging="294"/>
      </w:pPr>
      <w:r>
        <w:rPr>
          <w:bCs/>
          <w:lang w:val="ru"/>
        </w:rPr>
        <w:lastRenderedPageBreak/>
        <w:t xml:space="preserve">Рекомендации </w:t>
      </w:r>
    </w:p>
    <w:p w14:paraId="79E6B827" w14:textId="77777777" w:rsidR="00025564" w:rsidRDefault="00025564" w:rsidP="00025564">
      <w:pPr>
        <w:pStyle w:val="BodyText"/>
      </w:pPr>
      <w:r>
        <w:rPr>
          <w:lang w:val="ru"/>
        </w:rPr>
        <w:t>Обращаясь с просьбой о проведении внешней оценки процессов руководства и управления МОК, Исполнительный совет стремился к «</w:t>
      </w:r>
      <w:r>
        <w:rPr>
          <w:i/>
          <w:iCs/>
          <w:lang w:val="ru"/>
        </w:rPr>
        <w:t>упорядочению ее функционирования и оптимизации использования ресурсов, с тем чтобы они действительно соответствовали поставленным целям в условиях быстро изменяющейся программы работы в сфере океана и с учетом растущих требований государств-членов и расширения многосторонних процессов</w:t>
      </w:r>
      <w:r>
        <w:rPr>
          <w:lang w:val="ru"/>
        </w:rPr>
        <w:t xml:space="preserve">». </w:t>
      </w:r>
    </w:p>
    <w:p w14:paraId="2333A210" w14:textId="77777777" w:rsidR="00025564" w:rsidRPr="006555ED" w:rsidRDefault="00025564" w:rsidP="00025564">
      <w:pPr>
        <w:pStyle w:val="BodyText"/>
        <w:rPr>
          <w:lang w:val="ru"/>
        </w:rPr>
      </w:pPr>
      <w:r>
        <w:rPr>
          <w:lang w:val="ru"/>
        </w:rPr>
        <w:t xml:space="preserve">Основным выводом настоящей оценки является наличие широких возможностей для упорядочивания и оптимизации. Главная трудность заключается в двойных методах руководства управления в отношениях между МОК и ЮНЕСКО. Некоторые примеры таких методов приведены выше. Они влекут за собой неясность подотчетности, удвоение работы и неэффективность распределения и использования ресурсов. </w:t>
      </w:r>
    </w:p>
    <w:p w14:paraId="0EDCF6E3" w14:textId="77777777" w:rsidR="00025564" w:rsidRPr="006555ED" w:rsidRDefault="00025564" w:rsidP="00025564">
      <w:pPr>
        <w:pStyle w:val="BodyText"/>
        <w:rPr>
          <w:lang w:val="ru"/>
        </w:rPr>
      </w:pPr>
      <w:r>
        <w:rPr>
          <w:lang w:val="ru"/>
        </w:rPr>
        <w:t xml:space="preserve">Основная рекомендация настоящей оценки заключается в том, что для достижения желаемого упорядочения и оптимизации государствам-членам необходимо прояснить и применять принципы и методы руководства и управления МОК в соответствии с Уставом МОК. Согласно Уставу МОК, «Ассамблея является главным органом Комиссии и выполняет все функции Комиссии». Поэтому предстоящая Ассамблея МОК является возможностью для государств-членов определить, как на основании ситуации, описанной в настоящем отчете, они хотят оптимизировать руководство и управление для улучшения планирования и выполнения программы, распределения кадровых и финансовых ресурсов, информационного взаимодействия и визуальной идентичности, а также роли и идентичности МОК в многосторонней системе. </w:t>
      </w:r>
    </w:p>
    <w:p w14:paraId="4DF82959" w14:textId="77777777" w:rsidR="00025564" w:rsidRPr="006555ED" w:rsidRDefault="00025564" w:rsidP="00025564">
      <w:pPr>
        <w:pStyle w:val="BodyText"/>
        <w:rPr>
          <w:lang w:val="ru"/>
        </w:rPr>
      </w:pPr>
      <w:r>
        <w:rPr>
          <w:lang w:val="ru"/>
        </w:rPr>
        <w:t>Обеспечение таким образом большей ясности подотчетности и более эффективных процессов управления/менеджмента позволит сделать будущие сессии Ассамблеи и Исполнительного совета МОК более интересными и ориентированными на результаты для государств-членов.</w:t>
      </w:r>
    </w:p>
    <w:p w14:paraId="44570EBA" w14:textId="77777777" w:rsidR="00025564" w:rsidRPr="006555ED" w:rsidRDefault="00025564" w:rsidP="00025564">
      <w:pPr>
        <w:pStyle w:val="BodyText"/>
        <w:rPr>
          <w:lang w:val="ru"/>
        </w:rPr>
      </w:pPr>
    </w:p>
    <w:p w14:paraId="5ADCD5C7" w14:textId="77777777" w:rsidR="00025564" w:rsidRPr="006979D1" w:rsidRDefault="00025564" w:rsidP="00025564">
      <w:pPr>
        <w:pStyle w:val="BodyText"/>
        <w:jc w:val="center"/>
      </w:pPr>
      <w:r>
        <w:rPr>
          <w:lang w:val="ru"/>
        </w:rPr>
        <w:t>*   *   *</w:t>
      </w:r>
    </w:p>
    <w:p w14:paraId="1C0C1406" w14:textId="77777777" w:rsidR="00025564" w:rsidRPr="00DF5129" w:rsidRDefault="00025564" w:rsidP="00025564">
      <w:pPr>
        <w:pStyle w:val="Titrealign"/>
      </w:pPr>
      <w:r>
        <w:rPr>
          <w:bCs/>
          <w:lang w:val="ru"/>
        </w:rPr>
        <w:t xml:space="preserve">Приложение 1: изученные документы    </w:t>
      </w:r>
    </w:p>
    <w:p w14:paraId="1668F1E4" w14:textId="77777777" w:rsidR="00025564" w:rsidRDefault="00025564" w:rsidP="00025564">
      <w:pPr>
        <w:pStyle w:val="Point"/>
      </w:pPr>
      <w:r>
        <w:rPr>
          <w:lang w:val="ru"/>
        </w:rPr>
        <w:t xml:space="preserve">156-я сессия Исполнительного совета ЮНЕСКО, 04.05.1999 г.  </w:t>
      </w:r>
    </w:p>
    <w:p w14:paraId="531464C9" w14:textId="77777777" w:rsidR="00025564" w:rsidRDefault="00025564" w:rsidP="00025564">
      <w:pPr>
        <w:pStyle w:val="Tiret"/>
      </w:pPr>
      <w:r>
        <w:rPr>
          <w:lang w:val="ru"/>
        </w:rPr>
        <w:t xml:space="preserve">156EX/9 Доклад об административных и финансовых мерах, соответствующих статусу МОК, 04.05.1999 г. </w:t>
      </w:r>
    </w:p>
    <w:p w14:paraId="506B4C42" w14:textId="77777777" w:rsidR="00025564" w:rsidRDefault="00025564" w:rsidP="00025564">
      <w:pPr>
        <w:pStyle w:val="Tiret"/>
      </w:pPr>
      <w:r>
        <w:rPr>
          <w:lang w:val="ru"/>
        </w:rPr>
        <w:t>156EX/решения, 04.05.1999 г.</w:t>
      </w:r>
    </w:p>
    <w:p w14:paraId="3F5966A1" w14:textId="77777777" w:rsidR="00025564" w:rsidRDefault="00025564" w:rsidP="00025564">
      <w:pPr>
        <w:pStyle w:val="Point"/>
      </w:pPr>
      <w:r>
        <w:rPr>
          <w:lang w:val="ru"/>
        </w:rPr>
        <w:t xml:space="preserve">Устав МОК, </w:t>
      </w:r>
    </w:p>
    <w:p w14:paraId="63C3027B" w14:textId="77777777" w:rsidR="00025564" w:rsidRDefault="00025564" w:rsidP="00025564">
      <w:pPr>
        <w:pStyle w:val="Tiret"/>
      </w:pPr>
      <w:r>
        <w:rPr>
          <w:lang w:val="ru"/>
        </w:rPr>
        <w:t>Исходная версия (1960 г.)</w:t>
      </w:r>
    </w:p>
    <w:p w14:paraId="4B431A46" w14:textId="77777777" w:rsidR="00025564" w:rsidRDefault="00025564" w:rsidP="00025564">
      <w:pPr>
        <w:pStyle w:val="Tiret"/>
      </w:pPr>
      <w:r>
        <w:rPr>
          <w:lang w:val="ru"/>
        </w:rPr>
        <w:t>Редакция 1970 г.</w:t>
      </w:r>
    </w:p>
    <w:p w14:paraId="6853D75A" w14:textId="77777777" w:rsidR="00025564" w:rsidRDefault="00025564" w:rsidP="00025564">
      <w:pPr>
        <w:pStyle w:val="Tiret"/>
      </w:pPr>
      <w:r>
        <w:rPr>
          <w:lang w:val="ru"/>
        </w:rPr>
        <w:t>Редакция 1987 г.</w:t>
      </w:r>
    </w:p>
    <w:p w14:paraId="7379956C" w14:textId="77777777" w:rsidR="00025564" w:rsidRPr="00AF2E35" w:rsidRDefault="00025564" w:rsidP="00025564">
      <w:pPr>
        <w:pStyle w:val="Tiret"/>
      </w:pPr>
      <w:r>
        <w:rPr>
          <w:lang w:val="ru"/>
        </w:rPr>
        <w:t xml:space="preserve">последняя редакция, принятая 30-й сессией Генеральной конференцией ЮНЕСКО, 27.10.1999 г. </w:t>
      </w:r>
    </w:p>
    <w:p w14:paraId="1A66487F" w14:textId="77777777" w:rsidR="00025564" w:rsidRDefault="00025564" w:rsidP="00025564">
      <w:pPr>
        <w:pStyle w:val="Point"/>
      </w:pPr>
      <w:r>
        <w:rPr>
          <w:lang w:val="ru"/>
        </w:rPr>
        <w:t>DG/Note/91/3 Делегирование полномочий Секретарю МОК, 17.01.1991 г.</w:t>
      </w:r>
    </w:p>
    <w:p w14:paraId="60F7F824" w14:textId="77777777" w:rsidR="00025564" w:rsidRDefault="00025564" w:rsidP="00025564">
      <w:pPr>
        <w:pStyle w:val="Point"/>
      </w:pPr>
      <w:r>
        <w:rPr>
          <w:lang w:val="ru"/>
        </w:rPr>
        <w:t xml:space="preserve">DDG92/Memo 66 Экспериментальная функциональная автономия, 01.03.1995 г. </w:t>
      </w:r>
    </w:p>
    <w:p w14:paraId="23F76C46" w14:textId="77777777" w:rsidR="00025564" w:rsidRPr="00AF2E35" w:rsidRDefault="00025564" w:rsidP="00025564">
      <w:pPr>
        <w:pStyle w:val="Point"/>
      </w:pPr>
      <w:r>
        <w:rPr>
          <w:lang w:val="ru"/>
        </w:rPr>
        <w:lastRenderedPageBreak/>
        <w:t xml:space="preserve">Правила процедуры МОК, последняя версия, принятая 21-й сессией Ассамблеи МОК, 11.07.2001 г. </w:t>
      </w:r>
    </w:p>
    <w:p w14:paraId="6601822F" w14:textId="77777777" w:rsidR="00025564" w:rsidRPr="00AF2E35" w:rsidRDefault="00025564" w:rsidP="00025564">
      <w:pPr>
        <w:pStyle w:val="Point"/>
      </w:pPr>
      <w:r>
        <w:rPr>
          <w:lang w:val="ru"/>
        </w:rPr>
        <w:t>Утвержденная программа и бюджет 2022-2023 гг. (41/C5) и 2024-2025 гг. (42/C5)</w:t>
      </w:r>
    </w:p>
    <w:p w14:paraId="62EC2D39" w14:textId="77777777" w:rsidR="00025564" w:rsidRPr="00AF2E35" w:rsidRDefault="00025564" w:rsidP="00025564">
      <w:pPr>
        <w:pStyle w:val="Point"/>
      </w:pPr>
      <w:r>
        <w:rPr>
          <w:lang w:val="ru"/>
        </w:rPr>
        <w:t>3-я сессия Специальной исследовательской группы по развитию МОК, ее деятельности, структуре и функциях, 27.07.1992 г. Краткий доклад «Quo vadis IOC?» (48 страниц)</w:t>
      </w:r>
    </w:p>
    <w:p w14:paraId="198FCFFB" w14:textId="77777777" w:rsidR="00025564" w:rsidRPr="00AF2E35" w:rsidRDefault="00025564" w:rsidP="00025564">
      <w:pPr>
        <w:pStyle w:val="Point"/>
      </w:pPr>
      <w:r>
        <w:rPr>
          <w:lang w:val="ru"/>
        </w:rPr>
        <w:t xml:space="preserve">1-я сессия Рабочей группы МОК по вопросу о будущем МОК, 19.02.2008 г., Доклады заседаний экспертов и аналогичных органов (74 страницы)  </w:t>
      </w:r>
    </w:p>
    <w:p w14:paraId="3D2A95B8" w14:textId="77777777" w:rsidR="00025564" w:rsidRDefault="00025564" w:rsidP="00025564">
      <w:pPr>
        <w:pStyle w:val="Point"/>
      </w:pPr>
      <w:r>
        <w:rPr>
          <w:lang w:val="ru"/>
        </w:rPr>
        <w:t>Руководство ЮНЕСКО по кадровым ресурсам, 16.12.2009 г., 5.3 Подбор кадров на должности квалифицированных специалистов международного уровня и более высокие должности</w:t>
      </w:r>
    </w:p>
    <w:p w14:paraId="25BE7CE7" w14:textId="77777777" w:rsidR="00025564" w:rsidRPr="006555ED" w:rsidRDefault="00025564" w:rsidP="00025564">
      <w:pPr>
        <w:pStyle w:val="Point"/>
        <w:rPr>
          <w:lang w:val="ru"/>
        </w:rPr>
      </w:pPr>
      <w:r>
        <w:rPr>
          <w:lang w:val="ru"/>
        </w:rPr>
        <w:t>Джефф ХОЛЛАНД и Дэвид ПЬЮ (Geoff HOLLAND and David PUGH) (ред.), «Неспокойные воды. Океанография и управление океанами» (Troubled waters. Ocean science and governance.) 2010 г. Cambridge Press ISBN: 978-0-521-76581-7, [Справочный текст, посвященный истории МОК] (315 страниц)</w:t>
      </w:r>
    </w:p>
    <w:p w14:paraId="17CA6138" w14:textId="77777777" w:rsidR="00025564" w:rsidRPr="006555ED" w:rsidRDefault="00025564" w:rsidP="00025564">
      <w:pPr>
        <w:pStyle w:val="Point"/>
        <w:rPr>
          <w:lang w:val="ru"/>
        </w:rPr>
      </w:pPr>
      <w:r>
        <w:rPr>
          <w:lang w:val="ru"/>
        </w:rPr>
        <w:t>OC/INF-1316 Консультации по назначению Исполнительного секретаря МОК: процедура составления финального списка кандидатов для представления Генеральному директору ЮНЕСКО (01.05.2014 г.)</w:t>
      </w:r>
    </w:p>
    <w:p w14:paraId="4A0056C4" w14:textId="77777777" w:rsidR="00025564" w:rsidRPr="006555ED" w:rsidRDefault="00025564" w:rsidP="00025564">
      <w:pPr>
        <w:pStyle w:val="Point"/>
        <w:rPr>
          <w:lang w:val="ru"/>
        </w:rPr>
      </w:pPr>
      <w:r>
        <w:rPr>
          <w:lang w:val="ru"/>
        </w:rPr>
        <w:t>47-я сессия Исполнительного совета МОК (01-04.07.2014 г.)</w:t>
      </w:r>
    </w:p>
    <w:p w14:paraId="0A0D8A9A" w14:textId="77777777" w:rsidR="00025564" w:rsidRPr="006555ED" w:rsidRDefault="00025564" w:rsidP="00025564">
      <w:pPr>
        <w:pStyle w:val="Tiret"/>
        <w:rPr>
          <w:lang w:val="ru"/>
        </w:rPr>
      </w:pPr>
      <w:r>
        <w:rPr>
          <w:lang w:val="ru"/>
        </w:rPr>
        <w:t xml:space="preserve">IOC-EC-XLVII/Dec. 4, </w:t>
      </w:r>
      <w:r>
        <w:rPr>
          <w:i/>
          <w:iCs/>
          <w:lang w:val="ru"/>
        </w:rPr>
        <w:t>Будущее МОК</w:t>
      </w:r>
      <w:r>
        <w:rPr>
          <w:lang w:val="ru"/>
        </w:rPr>
        <w:t xml:space="preserve"> (2 страницы), 02.07.2014 г.</w:t>
      </w:r>
    </w:p>
    <w:p w14:paraId="448AF0EA" w14:textId="77777777" w:rsidR="00025564" w:rsidRPr="006555ED" w:rsidRDefault="00025564" w:rsidP="00025564">
      <w:pPr>
        <w:pStyle w:val="Point"/>
        <w:rPr>
          <w:lang w:val="ru"/>
        </w:rPr>
      </w:pPr>
      <w:r>
        <w:rPr>
          <w:lang w:val="ru"/>
        </w:rPr>
        <w:t>28-я сессия Ассамблеи МОК (18-25.06.2015 г.)</w:t>
      </w:r>
    </w:p>
    <w:p w14:paraId="214918FA" w14:textId="77777777" w:rsidR="00025564" w:rsidRPr="006555ED" w:rsidRDefault="00025564" w:rsidP="00025564">
      <w:pPr>
        <w:pStyle w:val="Tiret"/>
        <w:rPr>
          <w:lang w:val="ru"/>
        </w:rPr>
      </w:pPr>
      <w:r>
        <w:rPr>
          <w:lang w:val="ru"/>
        </w:rPr>
        <w:t xml:space="preserve">IOC-XXVIII/2 Annex 4 Предварительная повестка дня, пункт 4, Доклад председателя Межсессионной рабочей группы по вопросу будущего МОК (87 страниц), 17.06.2015 г. </w:t>
      </w:r>
    </w:p>
    <w:p w14:paraId="0C4FEBBE" w14:textId="77777777" w:rsidR="00025564" w:rsidRPr="006555ED" w:rsidRDefault="00025564" w:rsidP="00025564">
      <w:pPr>
        <w:pStyle w:val="Tiret"/>
        <w:rPr>
          <w:lang w:val="ru"/>
        </w:rPr>
      </w:pPr>
      <w:r>
        <w:rPr>
          <w:lang w:val="ru"/>
        </w:rPr>
        <w:t xml:space="preserve">Резолюция МОК XXVIII-3 </w:t>
      </w:r>
      <w:r>
        <w:rPr>
          <w:i/>
          <w:iCs/>
          <w:lang w:val="ru"/>
        </w:rPr>
        <w:t>Аспекты деятельности Комиссии, касающиеся финансов</w:t>
      </w:r>
      <w:r>
        <w:rPr>
          <w:lang w:val="ru"/>
        </w:rPr>
        <w:t xml:space="preserve"> (6 страниц), 25.06.2015 г.</w:t>
      </w:r>
    </w:p>
    <w:p w14:paraId="71137EFC" w14:textId="77777777" w:rsidR="00025564" w:rsidRPr="006555ED" w:rsidRDefault="00025564" w:rsidP="00025564">
      <w:pPr>
        <w:pStyle w:val="Point"/>
        <w:rPr>
          <w:lang w:val="ru"/>
        </w:rPr>
      </w:pPr>
      <w:r>
        <w:rPr>
          <w:lang w:val="ru"/>
        </w:rPr>
        <w:t>49-я сессия Исполнительного совета МОК (07-10.06.2016 г.)</w:t>
      </w:r>
    </w:p>
    <w:p w14:paraId="13FB74C6" w14:textId="77777777" w:rsidR="00025564" w:rsidRPr="006555ED" w:rsidRDefault="00025564" w:rsidP="00025564">
      <w:pPr>
        <w:pStyle w:val="Tiret"/>
        <w:rPr>
          <w:lang w:val="ru"/>
        </w:rPr>
      </w:pPr>
      <w:r>
        <w:rPr>
          <w:lang w:val="ru"/>
        </w:rPr>
        <w:t xml:space="preserve">IOCEC-XLIX2 Annex 9 Rev. Предварительная повестка дня, пункт 5, </w:t>
      </w:r>
      <w:r>
        <w:rPr>
          <w:i/>
          <w:iCs/>
          <w:lang w:val="ru"/>
        </w:rPr>
        <w:t>Формируя будущее МОК: стратегическая дорожная карта</w:t>
      </w:r>
      <w:r>
        <w:rPr>
          <w:lang w:val="ru"/>
        </w:rPr>
        <w:t xml:space="preserve"> (43 страницы), 09.05.2016 г. </w:t>
      </w:r>
    </w:p>
    <w:p w14:paraId="30BB80B6" w14:textId="77777777" w:rsidR="00025564" w:rsidRPr="006555ED" w:rsidRDefault="00025564" w:rsidP="00025564">
      <w:pPr>
        <w:pStyle w:val="Tiret"/>
        <w:rPr>
          <w:lang w:val="ru"/>
        </w:rPr>
      </w:pPr>
      <w:r>
        <w:rPr>
          <w:lang w:val="ru"/>
        </w:rPr>
        <w:t xml:space="preserve">IOC/EC-XLIX/2 Annex 10 Предварительная повестка дня, пункты 3.1, 5 и 6.2 Выполнение рекомендаций доклада об управлении ЮНЕСКО и подотчетных ей фондов, программ и структур (16 страниц), 02.06.2016 г. </w:t>
      </w:r>
    </w:p>
    <w:p w14:paraId="2445831C" w14:textId="77777777" w:rsidR="00025564" w:rsidRPr="006555ED" w:rsidRDefault="00025564" w:rsidP="00025564">
      <w:pPr>
        <w:pStyle w:val="Tiret"/>
        <w:rPr>
          <w:lang w:val="ru"/>
        </w:rPr>
      </w:pPr>
      <w:r>
        <w:rPr>
          <w:lang w:val="ru"/>
        </w:rPr>
        <w:t xml:space="preserve">Доклады руководящих и основных вспомогательных органов (135 страниц), в частности, Приложение V Будущее МОК: заметки о ее функциональной автономии (2 страницы), 01.03.2017 г. </w:t>
      </w:r>
    </w:p>
    <w:p w14:paraId="19C39D78" w14:textId="77777777" w:rsidR="00025564" w:rsidRPr="006555ED" w:rsidRDefault="00025564" w:rsidP="00025564">
      <w:pPr>
        <w:pStyle w:val="Point"/>
        <w:rPr>
          <w:lang w:val="ru"/>
        </w:rPr>
      </w:pPr>
      <w:r>
        <w:rPr>
          <w:lang w:val="ru"/>
        </w:rPr>
        <w:t xml:space="preserve">IIOC/EC-XLIX/2 Annex 9 Rev. Счетная палата </w:t>
      </w:r>
      <w:r>
        <w:rPr>
          <w:lang w:val="ru"/>
        </w:rPr>
        <w:tab/>
        <w:t xml:space="preserve">«Доклад о ревизии деятельности МОК в 2013-2016 гг.», во Внешней ревизии деятельности ЮНЕСКО 200 EX/20.INF.2 (81 страница) 23.08.2016 г. </w:t>
      </w:r>
    </w:p>
    <w:p w14:paraId="007CC556" w14:textId="77777777" w:rsidR="00025564" w:rsidRPr="006555ED" w:rsidRDefault="00025564" w:rsidP="00025564">
      <w:pPr>
        <w:pStyle w:val="Point"/>
        <w:rPr>
          <w:lang w:val="ru"/>
        </w:rPr>
      </w:pPr>
      <w:r>
        <w:rPr>
          <w:lang w:val="ru"/>
        </w:rPr>
        <w:t xml:space="preserve">Документ ЮНЕСКО: Подгруппа 2: Структура, состав и методы работы международных и межправительственных органов ЮНЕСКО (IIBs) Проект рекомендаций (11 страниц), 19.06.2017 г. </w:t>
      </w:r>
    </w:p>
    <w:p w14:paraId="4DAB2552" w14:textId="77777777" w:rsidR="00025564" w:rsidRPr="006555ED" w:rsidRDefault="00025564" w:rsidP="00025564">
      <w:pPr>
        <w:pStyle w:val="Point"/>
        <w:rPr>
          <w:lang w:val="ru"/>
        </w:rPr>
      </w:pPr>
      <w:r>
        <w:rPr>
          <w:lang w:val="ru"/>
        </w:rPr>
        <w:t xml:space="preserve">29-я сессия Ассамблеи МОК (21-29.06.2017 г.) </w:t>
      </w:r>
    </w:p>
    <w:p w14:paraId="39C393A8" w14:textId="77777777" w:rsidR="00025564" w:rsidRPr="006555ED" w:rsidRDefault="00025564" w:rsidP="00025564">
      <w:pPr>
        <w:pStyle w:val="Tiret"/>
        <w:rPr>
          <w:lang w:val="ru"/>
        </w:rPr>
      </w:pPr>
      <w:r>
        <w:rPr>
          <w:lang w:val="ru"/>
        </w:rPr>
        <w:lastRenderedPageBreak/>
        <w:t xml:space="preserve">IOC-XXIX/2 Annex 8 Предварительная повестка дня, пункт 4.1, </w:t>
      </w:r>
      <w:r>
        <w:rPr>
          <w:i/>
          <w:iCs/>
          <w:lang w:val="ru"/>
        </w:rPr>
        <w:t>Формируя будущее МОК: стратегическая дорожная карта</w:t>
      </w:r>
      <w:r>
        <w:rPr>
          <w:lang w:val="ru"/>
        </w:rPr>
        <w:t xml:space="preserve"> (59 страниц), 23.05.2017 г. </w:t>
      </w:r>
    </w:p>
    <w:p w14:paraId="1F04634F" w14:textId="77777777" w:rsidR="00025564" w:rsidRPr="006555ED" w:rsidRDefault="00025564" w:rsidP="00025564">
      <w:pPr>
        <w:pStyle w:val="Tiret"/>
        <w:rPr>
          <w:lang w:val="ru"/>
        </w:rPr>
      </w:pPr>
      <w:r>
        <w:rPr>
          <w:lang w:val="ru"/>
        </w:rPr>
        <w:t xml:space="preserve">IOC-XXIX/2 Annex 3 Предварительная повестка дня, пункты 3.2.2 и 11.1 </w:t>
      </w:r>
      <w:r>
        <w:rPr>
          <w:i/>
          <w:iCs/>
          <w:lang w:val="ru"/>
        </w:rPr>
        <w:t>Ревизия деятельности МОК внешними ревизорами ЮНЕСКО: проект плана реализации</w:t>
      </w:r>
      <w:r>
        <w:rPr>
          <w:lang w:val="ru"/>
        </w:rPr>
        <w:t xml:space="preserve"> (22 страницы), 13.06.2017 г. </w:t>
      </w:r>
    </w:p>
    <w:p w14:paraId="066287EC" w14:textId="77777777" w:rsidR="00025564" w:rsidRPr="006555ED" w:rsidRDefault="00025564" w:rsidP="00025564">
      <w:pPr>
        <w:pStyle w:val="Tiret"/>
        <w:rPr>
          <w:lang w:val="ru"/>
        </w:rPr>
      </w:pPr>
      <w:r>
        <w:rPr>
          <w:lang w:val="ru"/>
        </w:rPr>
        <w:t xml:space="preserve">IOC-XXIX/2 Annex 3 Add.1 Предварительная повестка дня, пункты 3.2.2 и 11.1 Ревизия деятельности МОК внешними ревизорами ЮНЕСКО: проект плана реализации \ Обзор возможности объединения докладов МОК для ее руководящих органов (18 страниц), 13.06.2017 г. </w:t>
      </w:r>
    </w:p>
    <w:p w14:paraId="0D052162" w14:textId="77777777" w:rsidR="00025564" w:rsidRPr="006555ED" w:rsidRDefault="00025564" w:rsidP="00025564">
      <w:pPr>
        <w:pStyle w:val="Tiret"/>
        <w:rPr>
          <w:lang w:val="ru"/>
        </w:rPr>
      </w:pPr>
      <w:r>
        <w:rPr>
          <w:lang w:val="ru"/>
        </w:rPr>
        <w:t>IOC-XXIX/2 Annex 4 Предварительная повестка дня, пункты 3.2.3 и 11.1 Доклад председателя Рабочей группы Исполнительного совета о рекомендациях, методах работы и процедурах Комиссии (3 страницы) 20.06.2017 г.</w:t>
      </w:r>
      <w:r>
        <w:rPr>
          <w:lang w:val="ru"/>
        </w:rPr>
        <w:tab/>
      </w:r>
    </w:p>
    <w:p w14:paraId="18DE6C5E" w14:textId="77777777" w:rsidR="00025564" w:rsidRPr="006555ED" w:rsidRDefault="00025564" w:rsidP="00025564">
      <w:pPr>
        <w:pStyle w:val="Point"/>
        <w:rPr>
          <w:lang w:val="ru"/>
        </w:rPr>
      </w:pPr>
      <w:r>
        <w:rPr>
          <w:lang w:val="ru"/>
        </w:rPr>
        <w:t>51-я сессия Исполнительного совета МОК (03-06.07.2018 г.)</w:t>
      </w:r>
    </w:p>
    <w:p w14:paraId="27F01BBB" w14:textId="77777777" w:rsidR="00025564" w:rsidRPr="006555ED" w:rsidRDefault="00025564" w:rsidP="00025564">
      <w:pPr>
        <w:pStyle w:val="Tiret"/>
        <w:rPr>
          <w:lang w:val="ru"/>
        </w:rPr>
      </w:pPr>
      <w:r>
        <w:rPr>
          <w:lang w:val="ru"/>
        </w:rPr>
        <w:t>IOC/EC-LI/2 Annex 13 Пересмотренная предварительная повестка дня, пункты 6.1 и 6.2 Управление МОК: проект плана выполнения рекомендаций Рабочей группы ЮНЕСКО открытого состава по вопросам управления (16 страниц), 19.04.2018 г.</w:t>
      </w:r>
    </w:p>
    <w:p w14:paraId="416496A5" w14:textId="77777777" w:rsidR="00025564" w:rsidRPr="006555ED" w:rsidRDefault="00025564" w:rsidP="00025564">
      <w:pPr>
        <w:pStyle w:val="Point"/>
        <w:rPr>
          <w:lang w:val="ru"/>
        </w:rPr>
      </w:pPr>
      <w:r>
        <w:rPr>
          <w:lang w:val="ru"/>
        </w:rPr>
        <w:t xml:space="preserve">31-я сессия Ассамблеи МОК (14-25.06.2021 г.) </w:t>
      </w:r>
    </w:p>
    <w:p w14:paraId="4AF41D3E" w14:textId="77777777" w:rsidR="00025564" w:rsidRPr="006555ED" w:rsidRDefault="00025564" w:rsidP="00025564">
      <w:pPr>
        <w:pStyle w:val="Tiret"/>
        <w:rPr>
          <w:lang w:val="ru"/>
        </w:rPr>
      </w:pPr>
      <w:r>
        <w:rPr>
          <w:i/>
          <w:iCs/>
          <w:lang w:val="ru"/>
        </w:rPr>
        <w:t>Среднесрочная стратегия МОК на 2022-2029 гг.</w:t>
      </w:r>
      <w:r>
        <w:rPr>
          <w:lang w:val="ru"/>
        </w:rPr>
        <w:t>, принятая резолюцией A-31/2 31-й сессии Ассамблеи МОК (обычно называемая «Образцовая МОК») (30 страниц)</w:t>
      </w:r>
    </w:p>
    <w:p w14:paraId="1212C38B" w14:textId="77777777" w:rsidR="00025564" w:rsidRPr="006555ED" w:rsidRDefault="00025564" w:rsidP="00025564">
      <w:pPr>
        <w:pStyle w:val="Point"/>
        <w:rPr>
          <w:lang w:val="ru"/>
        </w:rPr>
      </w:pPr>
      <w:r>
        <w:rPr>
          <w:lang w:val="ru"/>
        </w:rPr>
        <w:t xml:space="preserve">212-я сессия Исполнительного совета МОК, 16.08.2021 г. </w:t>
      </w:r>
    </w:p>
    <w:p w14:paraId="74E4742C" w14:textId="77777777" w:rsidR="00025564" w:rsidRPr="006555ED" w:rsidRDefault="00025564" w:rsidP="00025564">
      <w:pPr>
        <w:pStyle w:val="Tiret"/>
        <w:rPr>
          <w:lang w:val="ru"/>
        </w:rPr>
      </w:pPr>
      <w:r>
        <w:rPr>
          <w:lang w:val="ru"/>
        </w:rPr>
        <w:t xml:space="preserve">212X/9 Предварительная повестка дня, пункт 9, Оценка стратегического позиционирования МОК, проведенная департаментом внутреннего надзора (IOS) (Резюме и ответ руководства МОК) (9 страниц), 16.08.2021 г.  </w:t>
      </w:r>
    </w:p>
    <w:p w14:paraId="7B49C387" w14:textId="77777777" w:rsidR="00025564" w:rsidRPr="006555ED" w:rsidRDefault="00025564" w:rsidP="00025564">
      <w:pPr>
        <w:pStyle w:val="Point"/>
        <w:rPr>
          <w:lang w:val="ru"/>
        </w:rPr>
      </w:pPr>
      <w:r>
        <w:rPr>
          <w:lang w:val="ru"/>
        </w:rPr>
        <w:t>Оценка стратегического позиционирования МОК ЮНЕСКО, проведенная департаментом внутреннего надзора (IOS) ЮНЕСКО (61страница), 01.08.2021 г.</w:t>
      </w:r>
    </w:p>
    <w:p w14:paraId="57DF0282" w14:textId="77777777" w:rsidR="00025564" w:rsidRPr="006555ED" w:rsidRDefault="00025564" w:rsidP="00025564">
      <w:pPr>
        <w:pStyle w:val="Point"/>
        <w:rPr>
          <w:lang w:val="ru"/>
        </w:rPr>
      </w:pPr>
      <w:r>
        <w:rPr>
          <w:lang w:val="ru"/>
        </w:rPr>
        <w:t>IOC/INF-1322 Rev. Обновленная информация о статусе вспомогательных органов МОК, 2015 г. (7 страниц), 04.06.2022 г.</w:t>
      </w:r>
    </w:p>
    <w:p w14:paraId="217027CB" w14:textId="77777777" w:rsidR="00025564" w:rsidRPr="006555ED" w:rsidRDefault="00025564" w:rsidP="00025564">
      <w:pPr>
        <w:pStyle w:val="Point"/>
        <w:rPr>
          <w:lang w:val="ru"/>
        </w:rPr>
      </w:pPr>
      <w:r>
        <w:rPr>
          <w:lang w:val="ru"/>
        </w:rPr>
        <w:t>57-я сессия Исполнительного совета МОК (14-17.06.2022 г.)</w:t>
      </w:r>
    </w:p>
    <w:p w14:paraId="66B3662B" w14:textId="77777777" w:rsidR="00025564" w:rsidRPr="006555ED" w:rsidRDefault="00025564" w:rsidP="00025564">
      <w:pPr>
        <w:pStyle w:val="Tiret"/>
        <w:rPr>
          <w:lang w:val="ru"/>
        </w:rPr>
      </w:pPr>
      <w:r>
        <w:rPr>
          <w:lang w:val="ru"/>
        </w:rPr>
        <w:t>Предварительная повестка дня, пункт 3.2, Проект плана действий в связи с проведенной IOS оценкой стратегического позиционирования МОК (14 страниц), 19.05.2022 г.</w:t>
      </w:r>
    </w:p>
    <w:p w14:paraId="0B636E25" w14:textId="77777777" w:rsidR="00025564" w:rsidRPr="006555ED" w:rsidRDefault="00025564" w:rsidP="00025564">
      <w:pPr>
        <w:pStyle w:val="Point"/>
        <w:rPr>
          <w:lang w:val="ru"/>
        </w:rPr>
      </w:pPr>
      <w:r>
        <w:rPr>
          <w:lang w:val="ru"/>
        </w:rPr>
        <w:t>Циркулярное письмо МОК № 2912 Национальным координационным органам по связи с МОК (государств-членов МОК), тема: Меры по итогам оценки стратегического позиционирования МОК, проведенной департаментом внутреннего надзора (известной как «Образцовая МОК») (18 страниц), 14.11.2022 г.</w:t>
      </w:r>
    </w:p>
    <w:p w14:paraId="008531D9" w14:textId="77777777" w:rsidR="00025564" w:rsidRPr="006555ED" w:rsidRDefault="00025564" w:rsidP="00025564">
      <w:pPr>
        <w:pStyle w:val="Point"/>
        <w:rPr>
          <w:lang w:val="ru"/>
        </w:rPr>
      </w:pPr>
      <w:r>
        <w:rPr>
          <w:lang w:val="ru"/>
        </w:rPr>
        <w:t>32-я сессия Ассамблеи МОК (21-30.06.2023 г.)</w:t>
      </w:r>
    </w:p>
    <w:p w14:paraId="10D61259" w14:textId="77777777" w:rsidR="00025564" w:rsidRPr="006555ED" w:rsidRDefault="00025564" w:rsidP="00025564">
      <w:pPr>
        <w:pStyle w:val="Tiret"/>
        <w:rPr>
          <w:lang w:val="ru"/>
        </w:rPr>
      </w:pPr>
      <w:r>
        <w:rPr>
          <w:lang w:val="ru"/>
        </w:rPr>
        <w:t>IOC-32/5.Doc(1) Предварительная повестка дня, пункт 5 МОК и будущее океана: устойчивое осуществление и расширение деятельности МОК (19 страниц), 15.05.2023 г.</w:t>
      </w:r>
    </w:p>
    <w:p w14:paraId="7F8AA2DE" w14:textId="77777777" w:rsidR="00025564" w:rsidRPr="006555ED" w:rsidRDefault="00025564" w:rsidP="00025564">
      <w:pPr>
        <w:pStyle w:val="Tiret"/>
        <w:rPr>
          <w:lang w:val="ru"/>
        </w:rPr>
      </w:pPr>
      <w:r>
        <w:rPr>
          <w:lang w:val="ru"/>
        </w:rPr>
        <w:t>Проект резолюции A-32/DR.[6.4], представленный 30 государствами-членами МОК (17 страниц), 29.06.2023 г.</w:t>
      </w:r>
    </w:p>
    <w:p w14:paraId="04970F62" w14:textId="77777777" w:rsidR="00025564" w:rsidRDefault="00025564" w:rsidP="00025564">
      <w:pPr>
        <w:pStyle w:val="Point"/>
      </w:pPr>
      <w:r>
        <w:rPr>
          <w:lang w:val="ru"/>
        </w:rPr>
        <w:t>Организационная схема МОК, 01.01.2024 г.</w:t>
      </w:r>
    </w:p>
    <w:p w14:paraId="3235CDB0" w14:textId="77777777" w:rsidR="00025564" w:rsidRDefault="00025564" w:rsidP="00025564">
      <w:pPr>
        <w:pStyle w:val="Point"/>
      </w:pPr>
      <w:r>
        <w:rPr>
          <w:lang w:val="ru"/>
        </w:rPr>
        <w:lastRenderedPageBreak/>
        <w:t>57-я сессия Исполнительного совета МОК (25-28.06.2024 г.)</w:t>
      </w:r>
    </w:p>
    <w:p w14:paraId="55209D6C" w14:textId="77777777" w:rsidR="00025564" w:rsidRDefault="00025564" w:rsidP="00025564">
      <w:pPr>
        <w:pStyle w:val="Tiret"/>
      </w:pPr>
      <w:r>
        <w:rPr>
          <w:lang w:val="ru"/>
        </w:rPr>
        <w:t xml:space="preserve">Предварительная повестка дня, пункты 3.1 и 5.4 «Финансовое положение специального счета МОК по состоянию на конец 2023 г. и прогноз на 2024-2025 гг.» IOC/EC-57/3.1.Doc(3) (10 страниц), 25.04.2024 г. </w:t>
      </w:r>
    </w:p>
    <w:p w14:paraId="5F4412D2" w14:textId="77777777" w:rsidR="00025564" w:rsidRPr="006555ED" w:rsidRDefault="00025564" w:rsidP="00025564">
      <w:pPr>
        <w:pStyle w:val="Tiret"/>
        <w:rPr>
          <w:lang w:val="ru"/>
        </w:rPr>
      </w:pPr>
      <w:r>
        <w:rPr>
          <w:lang w:val="ru"/>
        </w:rPr>
        <w:t>Предварительная повестка дня, пункт 5.1 «Пересмотренная программа и бюджет на 2024-2025 гг. (42 C/5) и предварительные предложения на 2026-2029 гг. (проект документа 43/C5) (27 страниц) 25.04.2024 г.</w:t>
      </w:r>
    </w:p>
    <w:p w14:paraId="5192F348" w14:textId="77777777" w:rsidR="00025564" w:rsidRDefault="00025564" w:rsidP="00025564">
      <w:pPr>
        <w:pStyle w:val="Tiret"/>
      </w:pPr>
      <w:r>
        <w:rPr>
          <w:lang w:val="ru"/>
        </w:rPr>
        <w:t>Предварительная повестка дня, пункты 3.1 и 5.4 «Доклад об исполнении бюджета на 2022-2023 гг. (документ 41 С/5) по состоянию на 31.12.2023 г.» (11 страниц), 13.05.2024 г.</w:t>
      </w:r>
    </w:p>
    <w:p w14:paraId="0D8BE7B4" w14:textId="77777777" w:rsidR="00025564" w:rsidRDefault="00025564" w:rsidP="00025564">
      <w:pPr>
        <w:pStyle w:val="Tiret"/>
      </w:pPr>
      <w:r>
        <w:rPr>
          <w:lang w:val="ru"/>
        </w:rPr>
        <w:t xml:space="preserve">Предварительная повестка дня, пункты 3.1, 5.1, 5.2 и 5.3 «Доклад председателя Межсессионной финансовой консультативной группы (МФКГ) МОК. Межсессионный период с января по июнь 2024 гг.» (17 страниц), 13.05.2024 г.  </w:t>
      </w:r>
    </w:p>
    <w:p w14:paraId="4B449000" w14:textId="77777777" w:rsidR="00025564" w:rsidRDefault="00025564" w:rsidP="00025564">
      <w:pPr>
        <w:pStyle w:val="Tiret"/>
      </w:pPr>
      <w:r>
        <w:rPr>
          <w:lang w:val="ru"/>
        </w:rPr>
        <w:t>Принятые решения и резолюции (22 страницы), 28.06.2024 г.</w:t>
      </w:r>
    </w:p>
    <w:p w14:paraId="20551EE7" w14:textId="77777777" w:rsidR="00025564" w:rsidRDefault="00025564" w:rsidP="00025564">
      <w:pPr>
        <w:pStyle w:val="Point"/>
      </w:pPr>
      <w:r>
        <w:rPr>
          <w:lang w:val="ru"/>
        </w:rPr>
        <w:t>Циркулярное письмо МОК № 3003 Национальным официальным координационным органам по связи с МОК, тема: Восстановление Межсессионной финансовой консультативной группы открытого состава на период с сентября 2024 г. по июнь 2025 г. (1 страница), 06.08.2024 г.</w:t>
      </w:r>
    </w:p>
    <w:p w14:paraId="7C8F41A8" w14:textId="77777777" w:rsidR="00025564" w:rsidRDefault="00025564" w:rsidP="00025564">
      <w:pPr>
        <w:pStyle w:val="Point"/>
      </w:pPr>
      <w:r>
        <w:rPr>
          <w:lang w:val="ru"/>
        </w:rPr>
        <w:t>Календарь событий МОК («Колесо баланса»), 01.09.2024 г.</w:t>
      </w:r>
    </w:p>
    <w:p w14:paraId="1ED6BDA6" w14:textId="77777777" w:rsidR="00025564" w:rsidRDefault="00025564" w:rsidP="00025564">
      <w:pPr>
        <w:pStyle w:val="Point"/>
      </w:pPr>
      <w:r>
        <w:rPr>
          <w:lang w:val="ru"/>
        </w:rPr>
        <w:t xml:space="preserve">Выездное совещание руководства МОК, 13.09.2024 г. </w:t>
      </w:r>
    </w:p>
    <w:p w14:paraId="2F364746" w14:textId="77777777" w:rsidR="00025564" w:rsidRDefault="00025564" w:rsidP="00025564">
      <w:pPr>
        <w:pStyle w:val="Tiret"/>
      </w:pPr>
      <w:r>
        <w:rPr>
          <w:lang w:val="ru"/>
        </w:rPr>
        <w:t xml:space="preserve">(Подготовка к выездному совещанию) Целевое исследование (консультанты), </w:t>
      </w:r>
      <w:r>
        <w:rPr>
          <w:i/>
          <w:iCs/>
          <w:lang w:val="ru"/>
        </w:rPr>
        <w:t xml:space="preserve">ЮНЕСКО-МОК_выводы из встреч один на один и рекомендации </w:t>
      </w:r>
      <w:r>
        <w:rPr>
          <w:lang w:val="ru"/>
        </w:rPr>
        <w:t>(10 страниц), 28.08.2024 г.</w:t>
      </w:r>
    </w:p>
    <w:p w14:paraId="50590439" w14:textId="77777777" w:rsidR="00025564" w:rsidRDefault="00025564" w:rsidP="00025564">
      <w:pPr>
        <w:pStyle w:val="Tiret"/>
      </w:pPr>
      <w:r>
        <w:rPr>
          <w:lang w:val="ru"/>
        </w:rPr>
        <w:t xml:space="preserve">Целевое исследование (консультанты), </w:t>
      </w:r>
      <w:r>
        <w:rPr>
          <w:i/>
          <w:iCs/>
          <w:lang w:val="ru"/>
        </w:rPr>
        <w:t xml:space="preserve">Доклад о выездном совещании </w:t>
      </w:r>
      <w:r>
        <w:rPr>
          <w:lang w:val="ru"/>
        </w:rPr>
        <w:t>(27 страниц), 07.10.2024 г.</w:t>
      </w:r>
    </w:p>
    <w:p w14:paraId="0203D69A" w14:textId="77777777" w:rsidR="00025564" w:rsidRPr="006555ED" w:rsidRDefault="00025564" w:rsidP="00025564">
      <w:pPr>
        <w:pStyle w:val="Point"/>
        <w:rPr>
          <w:lang w:val="ru"/>
        </w:rPr>
      </w:pPr>
      <w:r>
        <w:rPr>
          <w:lang w:val="ru"/>
        </w:rPr>
        <w:t xml:space="preserve">Циркулярное письмо МОК № 3009 государствам-членам Подкомиссии МОК для западной части Тихого океана (ВЕСТПАК), тема: Приглашение на 15-ю Межправительственную сессию Подкомиссии МОК для западной части Тихого океана (ВЕСТПАК-XV), Токио (Япония), 11–13 марта 2025 г. (8 страниц), 22.10.2024 г. </w:t>
      </w:r>
    </w:p>
    <w:p w14:paraId="684C87E4" w14:textId="77777777" w:rsidR="00025564" w:rsidRPr="006555ED" w:rsidRDefault="00025564" w:rsidP="00025564">
      <w:pPr>
        <w:pStyle w:val="Point"/>
        <w:rPr>
          <w:lang w:val="ru"/>
        </w:rPr>
      </w:pPr>
      <w:r>
        <w:rPr>
          <w:lang w:val="ru"/>
        </w:rPr>
        <w:t>МОК ЮНЕСКО, Доклад о состоянии Мирового океана (89 страниц), 01.06.2024 г.</w:t>
      </w:r>
    </w:p>
    <w:p w14:paraId="5B062DA4" w14:textId="77777777" w:rsidR="00025564" w:rsidRPr="006555ED" w:rsidRDefault="00025564" w:rsidP="00025564">
      <w:pPr>
        <w:pStyle w:val="Point"/>
        <w:rPr>
          <w:lang w:val="ru"/>
        </w:rPr>
      </w:pPr>
      <w:r>
        <w:rPr>
          <w:lang w:val="ru"/>
        </w:rPr>
        <w:t>IOC-2022/WS/2/REV03 «Программы ЮНЕСКО, посвященные Мировому океану», брошюра (40 страниц), 01.10.2024 г.</w:t>
      </w:r>
    </w:p>
    <w:p w14:paraId="1711C812" w14:textId="77777777" w:rsidR="00025564" w:rsidRPr="006555ED" w:rsidRDefault="00025564" w:rsidP="00025564">
      <w:pPr>
        <w:pStyle w:val="Point"/>
        <w:rPr>
          <w:lang w:val="ru"/>
        </w:rPr>
      </w:pPr>
      <w:r>
        <w:rPr>
          <w:i/>
          <w:iCs/>
          <w:lang w:val="ru"/>
        </w:rPr>
        <w:t>Список контактов национальных координаторов</w:t>
      </w:r>
      <w:r>
        <w:rPr>
          <w:lang w:val="ru"/>
        </w:rPr>
        <w:t xml:space="preserve"> (47 страниц), 22.10.2024 г.</w:t>
      </w:r>
    </w:p>
    <w:p w14:paraId="203505B3" w14:textId="77777777" w:rsidR="00025564" w:rsidRPr="006555ED" w:rsidRDefault="00025564" w:rsidP="00025564">
      <w:pPr>
        <w:pStyle w:val="BodyText"/>
        <w:rPr>
          <w:lang w:val="ru"/>
        </w:rPr>
      </w:pPr>
    </w:p>
    <w:p w14:paraId="2D286F7B" w14:textId="77777777" w:rsidR="00025564" w:rsidRPr="006979D1" w:rsidRDefault="00025564" w:rsidP="00025564">
      <w:pPr>
        <w:pStyle w:val="BodyText"/>
        <w:jc w:val="center"/>
      </w:pPr>
      <w:r>
        <w:rPr>
          <w:lang w:val="ru"/>
        </w:rPr>
        <w:t>*   *   *</w:t>
      </w:r>
    </w:p>
    <w:p w14:paraId="03499828" w14:textId="77777777" w:rsidR="00025564" w:rsidRDefault="00025564" w:rsidP="00025564">
      <w:pPr>
        <w:rPr>
          <w:rFonts w:asciiTheme="minorHAnsi" w:hAnsiTheme="minorHAnsi"/>
        </w:rPr>
      </w:pPr>
      <w:r>
        <w:rPr>
          <w:lang w:val="ru"/>
        </w:rPr>
        <w:br w:type="page"/>
      </w:r>
    </w:p>
    <w:p w14:paraId="395EDB2C" w14:textId="77777777" w:rsidR="00025564" w:rsidRPr="000D0270" w:rsidRDefault="00025564" w:rsidP="00025564">
      <w:pPr>
        <w:pStyle w:val="Titrealign"/>
      </w:pPr>
      <w:r>
        <w:rPr>
          <w:bCs/>
          <w:lang w:val="ru"/>
        </w:rPr>
        <w:lastRenderedPageBreak/>
        <w:t>Приложение 2. Опрошенные</w:t>
      </w:r>
    </w:p>
    <w:p w14:paraId="070AFA03" w14:textId="77777777" w:rsidR="00025564" w:rsidRPr="000D0270" w:rsidRDefault="00025564" w:rsidP="00025564">
      <w:pPr>
        <w:pStyle w:val="Point"/>
      </w:pPr>
      <w:r>
        <w:rPr>
          <w:lang w:val="ru"/>
        </w:rPr>
        <w:t>Секретариат</w:t>
      </w:r>
    </w:p>
    <w:p w14:paraId="4B25F318" w14:textId="77777777" w:rsidR="00025564" w:rsidRPr="000D0270" w:rsidRDefault="00025564" w:rsidP="00025564">
      <w:pPr>
        <w:pStyle w:val="Tiret"/>
      </w:pPr>
      <w:r>
        <w:rPr>
          <w:lang w:val="ru"/>
        </w:rPr>
        <w:t xml:space="preserve">Владимир РЯБИНИН (бывший Исполнительный секретарь МОК) </w:t>
      </w:r>
    </w:p>
    <w:p w14:paraId="09EBCDCB" w14:textId="77777777" w:rsidR="00025564" w:rsidRPr="000D0270" w:rsidRDefault="00025564" w:rsidP="00025564">
      <w:pPr>
        <w:pStyle w:val="Tiret"/>
      </w:pPr>
      <w:r>
        <w:rPr>
          <w:lang w:val="ru"/>
        </w:rPr>
        <w:t xml:space="preserve">Бернардо АЛИАГА (Секретариат, Секция устойчивости к цунами) </w:t>
      </w:r>
    </w:p>
    <w:p w14:paraId="364291B4" w14:textId="77777777" w:rsidR="00025564" w:rsidRPr="000D0270" w:rsidRDefault="00025564" w:rsidP="00025564">
      <w:pPr>
        <w:pStyle w:val="Tiret"/>
      </w:pPr>
      <w:r>
        <w:rPr>
          <w:lang w:val="ru"/>
        </w:rPr>
        <w:t xml:space="preserve">Жюлиан БАРБЬЕР (Секретариат, Секция морской политики и региональной координации) </w:t>
      </w:r>
    </w:p>
    <w:p w14:paraId="32DC7FA2" w14:textId="77777777" w:rsidR="00025564" w:rsidRPr="003E5731" w:rsidRDefault="00025564" w:rsidP="00025564">
      <w:pPr>
        <w:pStyle w:val="Tiret"/>
      </w:pPr>
      <w:r>
        <w:rPr>
          <w:lang w:val="ru"/>
        </w:rPr>
        <w:t>Шриниваса Кумар ТУММАЛА (Индия, IOT WMS)</w:t>
      </w:r>
      <w:r>
        <w:rPr>
          <w:lang w:val="ru"/>
        </w:rPr>
        <w:tab/>
      </w:r>
    </w:p>
    <w:p w14:paraId="50192A24" w14:textId="77777777" w:rsidR="00025564" w:rsidRPr="000D0270" w:rsidRDefault="00025564" w:rsidP="00025564">
      <w:pPr>
        <w:pStyle w:val="Point"/>
      </w:pPr>
      <w:r>
        <w:rPr>
          <w:lang w:val="ru"/>
        </w:rPr>
        <w:t>Региональные вспомогательные органы</w:t>
      </w:r>
    </w:p>
    <w:p w14:paraId="70727B12" w14:textId="77777777" w:rsidR="00025564" w:rsidRPr="000D0270" w:rsidRDefault="00025564" w:rsidP="00025564">
      <w:pPr>
        <w:pStyle w:val="Tiret"/>
      </w:pPr>
      <w:r>
        <w:rPr>
          <w:lang w:val="ru"/>
        </w:rPr>
        <w:t xml:space="preserve">Марк ОДУБЕР (Аруба/Нидерланды, МОКАРИБ) </w:t>
      </w:r>
    </w:p>
    <w:p w14:paraId="72E85321" w14:textId="77777777" w:rsidR="00025564" w:rsidRPr="000D0270" w:rsidRDefault="00025564" w:rsidP="00025564">
      <w:pPr>
        <w:pStyle w:val="Tiret"/>
      </w:pPr>
      <w:r>
        <w:rPr>
          <w:lang w:val="ru"/>
        </w:rPr>
        <w:t>Кентаро АНДО (Япония, ВЕСТПАК)</w:t>
      </w:r>
    </w:p>
    <w:p w14:paraId="55CA00EA" w14:textId="77777777" w:rsidR="00025564" w:rsidRPr="000D0270" w:rsidRDefault="00025564" w:rsidP="00025564">
      <w:pPr>
        <w:pStyle w:val="Tiret"/>
      </w:pPr>
      <w:r>
        <w:rPr>
          <w:lang w:val="ru"/>
        </w:rPr>
        <w:t>Куадио АФФИАН (Кот-д'Ивуар, МОКАФРИКА)</w:t>
      </w:r>
    </w:p>
    <w:p w14:paraId="4191E873" w14:textId="77777777" w:rsidR="00025564" w:rsidRPr="000D0270" w:rsidRDefault="00025564" w:rsidP="00025564">
      <w:pPr>
        <w:pStyle w:val="Point"/>
      </w:pPr>
      <w:r>
        <w:rPr>
          <w:lang w:val="ru"/>
        </w:rPr>
        <w:t>Координаторы государств-членов, а также представители агентств-доноров</w:t>
      </w:r>
    </w:p>
    <w:p w14:paraId="158F5CA5" w14:textId="77777777" w:rsidR="00025564" w:rsidRPr="000D0270" w:rsidRDefault="00025564" w:rsidP="00025564">
      <w:pPr>
        <w:pStyle w:val="Tiret"/>
      </w:pPr>
      <w:r>
        <w:rPr>
          <w:lang w:val="ru"/>
        </w:rPr>
        <w:t>Маттиас ВУНШ, Германия, Федеральное морское и гидрографическое агентство</w:t>
      </w:r>
    </w:p>
    <w:p w14:paraId="37E1E9C1" w14:textId="77777777" w:rsidR="00025564" w:rsidRPr="000D0270" w:rsidRDefault="00025564" w:rsidP="00025564">
      <w:pPr>
        <w:pStyle w:val="Tiret"/>
      </w:pPr>
      <w:r>
        <w:rPr>
          <w:lang w:val="ru"/>
        </w:rPr>
        <w:t>Герт ВЕРРЕТ, Бельгия, Фландрия</w:t>
      </w:r>
    </w:p>
    <w:p w14:paraId="70D15359" w14:textId="77777777" w:rsidR="00025564" w:rsidRPr="000D0270" w:rsidRDefault="00025564" w:rsidP="00025564">
      <w:pPr>
        <w:pStyle w:val="Tiret"/>
      </w:pPr>
      <w:r>
        <w:rPr>
          <w:lang w:val="ru"/>
        </w:rPr>
        <w:t xml:space="preserve">Джон СИДДОРН и Аллан ЭВАНС, Великобритания, Национальный океанографический центр </w:t>
      </w:r>
    </w:p>
    <w:p w14:paraId="29776D0D" w14:textId="73CFC862" w:rsidR="00025564" w:rsidRPr="006555ED" w:rsidRDefault="006555ED" w:rsidP="006555ED">
      <w:pPr>
        <w:pStyle w:val="Tiret"/>
        <w:rPr>
          <w:szCs w:val="24"/>
        </w:rPr>
      </w:pPr>
      <w:proofErr w:type="spellStart"/>
      <w:r>
        <w:t>Джон</w:t>
      </w:r>
      <w:proofErr w:type="spellEnd"/>
      <w:r>
        <w:t xml:space="preserve"> СИДДОРН и </w:t>
      </w:r>
      <w:proofErr w:type="spellStart"/>
      <w:r>
        <w:t>Аллан</w:t>
      </w:r>
      <w:proofErr w:type="spellEnd"/>
      <w:r>
        <w:t xml:space="preserve"> ЭВАНС, </w:t>
      </w:r>
      <w:proofErr w:type="spellStart"/>
      <w:r>
        <w:t>Великобритания</w:t>
      </w:r>
      <w:proofErr w:type="spellEnd"/>
      <w:r>
        <w:t xml:space="preserve">, </w:t>
      </w:r>
      <w:proofErr w:type="spellStart"/>
      <w:r>
        <w:t>Национальный</w:t>
      </w:r>
      <w:proofErr w:type="spellEnd"/>
      <w:r>
        <w:t xml:space="preserve"> </w:t>
      </w:r>
      <w:proofErr w:type="spellStart"/>
      <w:r>
        <w:t>центр</w:t>
      </w:r>
      <w:proofErr w:type="spellEnd"/>
      <w:r>
        <w:t xml:space="preserve"> </w:t>
      </w:r>
      <w:proofErr w:type="spellStart"/>
      <w:r>
        <w:t>океанографии</w:t>
      </w:r>
      <w:proofErr w:type="spellEnd"/>
    </w:p>
    <w:p w14:paraId="659F5EF7" w14:textId="77777777" w:rsidR="00025564" w:rsidRPr="000D0270" w:rsidRDefault="00025564" w:rsidP="00025564">
      <w:pPr>
        <w:pStyle w:val="Tiret"/>
      </w:pPr>
      <w:r>
        <w:rPr>
          <w:lang w:val="ru"/>
        </w:rPr>
        <w:t xml:space="preserve">Хронн </w:t>
      </w:r>
      <w:r>
        <w:rPr>
          <w:caps/>
          <w:lang w:val="ru"/>
        </w:rPr>
        <w:t>Эгильсдоттир</w:t>
      </w:r>
      <w:r>
        <w:rPr>
          <w:lang w:val="ru"/>
        </w:rPr>
        <w:t xml:space="preserve"> (HAFRO); Аудбьёрг </w:t>
      </w:r>
      <w:r>
        <w:rPr>
          <w:caps/>
          <w:lang w:val="ru"/>
        </w:rPr>
        <w:t>Хальдорсдоттир</w:t>
      </w:r>
      <w:r>
        <w:rPr>
          <w:lang w:val="ru"/>
        </w:rPr>
        <w:t xml:space="preserve">, Кристин </w:t>
      </w:r>
      <w:r>
        <w:rPr>
          <w:caps/>
          <w:lang w:val="ru"/>
        </w:rPr>
        <w:t>Халла</w:t>
      </w:r>
      <w:r>
        <w:rPr>
          <w:lang w:val="ru"/>
        </w:rPr>
        <w:t xml:space="preserve"> и Гудрун </w:t>
      </w:r>
      <w:r>
        <w:rPr>
          <w:caps/>
          <w:lang w:val="ru"/>
        </w:rPr>
        <w:t>Торстейнсд</w:t>
      </w:r>
      <w:r>
        <w:rPr>
          <w:lang w:val="ru"/>
        </w:rPr>
        <w:t xml:space="preserve"> (делегация при ЮНЕСКО), Исландия</w:t>
      </w:r>
    </w:p>
    <w:p w14:paraId="2E0B225E" w14:textId="77777777" w:rsidR="00025564" w:rsidRPr="006555ED" w:rsidRDefault="00025564" w:rsidP="00025564">
      <w:pPr>
        <w:pStyle w:val="Tiret"/>
        <w:rPr>
          <w:lang w:val="ru"/>
        </w:rPr>
      </w:pPr>
      <w:r>
        <w:rPr>
          <w:lang w:val="ru"/>
        </w:rPr>
        <w:t>Арран МакФЕРСОН (помощник заместителя министра), Кейт ЛЕННОН (старший советник, директор океанографической программы), Эндрю СТЮАРТ, Министерство рыболовства и океанов Канады; Доминик ЛЕВАССЕР (постоянная делегация при ЮНЕСКО); Канада</w:t>
      </w:r>
    </w:p>
    <w:p w14:paraId="7C32348E" w14:textId="77777777" w:rsidR="00025564" w:rsidRPr="000D0270" w:rsidRDefault="00025564" w:rsidP="00025564">
      <w:pPr>
        <w:pStyle w:val="Tiret"/>
      </w:pPr>
      <w:r>
        <w:rPr>
          <w:lang w:val="ru"/>
        </w:rPr>
        <w:t>Луис ПИНЕЙРО (Португалия)</w:t>
      </w:r>
    </w:p>
    <w:p w14:paraId="2D172592" w14:textId="77777777" w:rsidR="00025564" w:rsidRPr="000D0270" w:rsidRDefault="00025564" w:rsidP="00025564">
      <w:pPr>
        <w:pStyle w:val="Point"/>
      </w:pPr>
      <w:r>
        <w:rPr>
          <w:lang w:val="ru"/>
        </w:rPr>
        <w:t xml:space="preserve">Бывшее руководство </w:t>
      </w:r>
    </w:p>
    <w:p w14:paraId="6C0920C9" w14:textId="77777777" w:rsidR="00025564" w:rsidRPr="003E5731" w:rsidRDefault="00025564" w:rsidP="00025564">
      <w:pPr>
        <w:pStyle w:val="Tiret"/>
      </w:pPr>
      <w:r>
        <w:rPr>
          <w:lang w:val="ru"/>
        </w:rPr>
        <w:t xml:space="preserve">Питер М ХОГАН, бывший председатель МОК </w:t>
      </w:r>
    </w:p>
    <w:p w14:paraId="353BBB8D" w14:textId="77777777" w:rsidR="00025564" w:rsidRPr="000D0270" w:rsidRDefault="00025564" w:rsidP="00025564">
      <w:pPr>
        <w:pStyle w:val="Tiret"/>
      </w:pPr>
      <w:r>
        <w:rPr>
          <w:lang w:val="ru"/>
        </w:rPr>
        <w:t xml:space="preserve">Невилл СМИТ, бывший делегат от Австралии и Заместитель председателя </w:t>
      </w:r>
    </w:p>
    <w:p w14:paraId="4F96E5DD" w14:textId="77777777" w:rsidR="00025564" w:rsidRPr="000D0270" w:rsidRDefault="00025564" w:rsidP="00025564">
      <w:pPr>
        <w:pStyle w:val="Point"/>
      </w:pPr>
      <w:r>
        <w:rPr>
          <w:lang w:val="ru"/>
        </w:rPr>
        <w:t>Другие опрошенные</w:t>
      </w:r>
    </w:p>
    <w:p w14:paraId="6AFD40B9" w14:textId="77777777" w:rsidR="00025564" w:rsidRPr="000D0270" w:rsidRDefault="00025564" w:rsidP="00025564">
      <w:pPr>
        <w:pStyle w:val="Tiret"/>
      </w:pPr>
      <w:r>
        <w:rPr>
          <w:lang w:val="ru"/>
        </w:rPr>
        <w:t xml:space="preserve">Альбер ФИШЕР, ВМО, бывший глава Отдела наблюдений Секретариата МОК. </w:t>
      </w:r>
    </w:p>
    <w:p w14:paraId="10A8F990" w14:textId="77777777" w:rsidR="00025564" w:rsidRDefault="00025564" w:rsidP="00025564">
      <w:pPr>
        <w:pStyle w:val="BodyText"/>
      </w:pPr>
      <w:r>
        <w:rPr>
          <w:lang w:val="ru"/>
        </w:rPr>
        <w:t>Мы связались еще с девятью лицами для проведения опроса, но они не ответили или отказались.</w:t>
      </w:r>
    </w:p>
    <w:p w14:paraId="3D7AC2A2" w14:textId="77777777" w:rsidR="00025564" w:rsidRPr="006979D1" w:rsidRDefault="00025564" w:rsidP="00025564">
      <w:pPr>
        <w:pStyle w:val="BodyText"/>
      </w:pPr>
    </w:p>
    <w:p w14:paraId="298998F8" w14:textId="77777777" w:rsidR="00025564" w:rsidRPr="006979D1" w:rsidRDefault="00025564" w:rsidP="00025564">
      <w:pPr>
        <w:pStyle w:val="BodyText"/>
        <w:jc w:val="center"/>
      </w:pPr>
      <w:r>
        <w:rPr>
          <w:lang w:val="ru"/>
        </w:rPr>
        <w:t>*   *   *</w:t>
      </w:r>
    </w:p>
    <w:p w14:paraId="1EBE2CF3" w14:textId="77777777" w:rsidR="00025564" w:rsidRPr="006979D1" w:rsidRDefault="00025564" w:rsidP="00025564">
      <w:pPr>
        <w:rPr>
          <w:rFonts w:asciiTheme="minorHAnsi" w:hAnsiTheme="minorHAnsi"/>
          <w:b/>
        </w:rPr>
      </w:pPr>
    </w:p>
    <w:p w14:paraId="4DAD8058" w14:textId="296D4268" w:rsidR="00167255" w:rsidRDefault="00167255" w:rsidP="00025564">
      <w:pPr>
        <w:pStyle w:val="Marge"/>
        <w:ind w:left="-687"/>
        <w:jc w:val="left"/>
        <w:rPr>
          <w:rFonts w:ascii="Arial" w:hAnsi="Arial" w:cs="Arial"/>
          <w:sz w:val="22"/>
          <w:szCs w:val="22"/>
        </w:rPr>
      </w:pPr>
    </w:p>
    <w:sectPr w:rsidR="00167255" w:rsidSect="00025564">
      <w:headerReference w:type="even" r:id="rId12"/>
      <w:headerReference w:type="default" r:id="rId13"/>
      <w:headerReference w:type="first" r:id="rId14"/>
      <w:type w:val="oddPage"/>
      <w:pgSz w:w="11906" w:h="16838"/>
      <w:pgMar w:top="1417" w:right="1417" w:bottom="1417" w:left="1417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E6302" w14:textId="77777777" w:rsidR="002E09D4" w:rsidRDefault="002E09D4">
      <w:r>
        <w:separator/>
      </w:r>
    </w:p>
  </w:endnote>
  <w:endnote w:type="continuationSeparator" w:id="0">
    <w:p w14:paraId="3C19738E" w14:textId="77777777" w:rsidR="002E09D4" w:rsidRDefault="002E09D4">
      <w:r>
        <w:continuationSeparator/>
      </w:r>
    </w:p>
  </w:endnote>
  <w:endnote w:type="continuationNotice" w:id="1">
    <w:p w14:paraId="4C5465E7" w14:textId="77777777" w:rsidR="002E09D4" w:rsidRDefault="002E09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853FD" w14:textId="77777777" w:rsidR="002E09D4" w:rsidRDefault="002E09D4">
      <w:r>
        <w:separator/>
      </w:r>
    </w:p>
  </w:footnote>
  <w:footnote w:type="continuationSeparator" w:id="0">
    <w:p w14:paraId="1495B56A" w14:textId="77777777" w:rsidR="002E09D4" w:rsidRDefault="002E09D4">
      <w:r>
        <w:continuationSeparator/>
      </w:r>
    </w:p>
  </w:footnote>
  <w:footnote w:type="continuationNotice" w:id="1">
    <w:p w14:paraId="71A787A2" w14:textId="77777777" w:rsidR="002E09D4" w:rsidRDefault="002E09D4"/>
  </w:footnote>
  <w:footnote w:id="2">
    <w:p w14:paraId="00CF2B5E" w14:textId="77777777" w:rsidR="00025564" w:rsidRPr="0064338F" w:rsidRDefault="00025564" w:rsidP="00025564">
      <w:pPr>
        <w:pStyle w:val="FootnoteText"/>
      </w:pPr>
      <w:r>
        <w:rPr>
          <w:rStyle w:val="FootnoteReference"/>
          <w:lang w:val="ru"/>
        </w:rPr>
        <w:footnoteRef/>
      </w:r>
      <w:r>
        <w:rPr>
          <w:lang w:val="ru"/>
        </w:rPr>
        <w:t xml:space="preserve"> 200 EX/20 и INF</w:t>
      </w:r>
    </w:p>
  </w:footnote>
  <w:footnote w:id="3">
    <w:p w14:paraId="26BF5465" w14:textId="77777777" w:rsidR="00025564" w:rsidRPr="00332934" w:rsidRDefault="00025564" w:rsidP="00025564">
      <w:pPr>
        <w:pStyle w:val="FootnoteText"/>
        <w:rPr>
          <w:rFonts w:asciiTheme="minorHAnsi" w:hAnsiTheme="minorHAnsi" w:cstheme="minorHAnsi"/>
        </w:rPr>
      </w:pPr>
      <w:r>
        <w:rPr>
          <w:rStyle w:val="FootnoteReference"/>
          <w:rFonts w:asciiTheme="minorHAnsi" w:hAnsiTheme="minorHAnsi" w:cstheme="minorHAnsi"/>
          <w:lang w:val="ru"/>
        </w:rPr>
        <w:footnoteRef/>
      </w:r>
      <w:r>
        <w:rPr>
          <w:rFonts w:asciiTheme="minorHAnsi" w:hAnsiTheme="minorHAnsi" w:cstheme="minorHAnsi"/>
          <w:lang w:val="ru"/>
        </w:rPr>
        <w:t xml:space="preserve"> Разбивка добровольных взносов между государствами-членами, прочими организациями ООН и частными донорами соответствует подписанным соглашениям о финансировании с 1 января 2022 г. по 31 декабря 2023 г. (источник: IOC/EC-57/3.1.Doc(2)</w:t>
      </w:r>
    </w:p>
  </w:footnote>
  <w:footnote w:id="4">
    <w:p w14:paraId="151576B8" w14:textId="77777777" w:rsidR="00025564" w:rsidRPr="0031087C" w:rsidRDefault="00025564" w:rsidP="00025564">
      <w:pPr>
        <w:pStyle w:val="FootnoteText"/>
        <w:rPr>
          <w:rFonts w:asciiTheme="minorHAnsi" w:hAnsiTheme="minorHAnsi" w:cstheme="minorHAnsi"/>
        </w:rPr>
      </w:pPr>
      <w:r>
        <w:rPr>
          <w:rStyle w:val="FootnoteReference"/>
          <w:rFonts w:asciiTheme="minorHAnsi" w:hAnsiTheme="minorHAnsi" w:cstheme="minorHAnsi"/>
          <w:lang w:val="ru"/>
        </w:rPr>
        <w:footnoteRef/>
      </w:r>
      <w:r>
        <w:rPr>
          <w:rFonts w:asciiTheme="minorHAnsi" w:hAnsiTheme="minorHAnsi" w:cstheme="minorHAnsi"/>
          <w:lang w:val="ru"/>
        </w:rPr>
        <w:t xml:space="preserve"> Невилл СМИТ «Будущее» (SMITH Neville, «The future») в книге Джеффа ХОЛЛАНДА и Дэвида ПЬЮ (HOLLAND Geoff and PUGH David), «Неспокойные воды. Океанография и управление океанами» (</w:t>
      </w:r>
      <w:r>
        <w:rPr>
          <w:rFonts w:asciiTheme="minorHAnsi" w:hAnsiTheme="minorHAnsi" w:cstheme="minorHAnsi"/>
          <w:i/>
          <w:iCs/>
          <w:lang w:val="ru"/>
        </w:rPr>
        <w:t>Troubled waters. Ocean science and governance</w:t>
      </w:r>
      <w:r>
        <w:rPr>
          <w:rFonts w:asciiTheme="minorHAnsi" w:hAnsiTheme="minorHAnsi" w:cstheme="minorHAnsi"/>
          <w:lang w:val="ru"/>
        </w:rPr>
        <w:t xml:space="preserve">, Cambridge University Press, Нью-Йорк 2010, стр. 289 </w:t>
      </w:r>
    </w:p>
  </w:footnote>
  <w:footnote w:id="5">
    <w:p w14:paraId="73782F85" w14:textId="77777777" w:rsidR="00025564" w:rsidRPr="006555ED" w:rsidRDefault="00025564" w:rsidP="00025564">
      <w:pPr>
        <w:pStyle w:val="FootnoteText"/>
        <w:rPr>
          <w:rFonts w:asciiTheme="minorHAnsi" w:hAnsiTheme="minorHAnsi" w:cstheme="minorHAnsi"/>
          <w:lang w:val="ru"/>
        </w:rPr>
      </w:pPr>
      <w:r>
        <w:rPr>
          <w:rStyle w:val="FootnoteReference"/>
          <w:rFonts w:asciiTheme="minorHAnsi" w:hAnsiTheme="minorHAnsi" w:cstheme="minorHAnsi"/>
          <w:lang w:val="ru"/>
        </w:rPr>
        <w:footnoteRef/>
      </w:r>
      <w:r>
        <w:rPr>
          <w:rFonts w:asciiTheme="minorHAnsi" w:hAnsiTheme="minorHAnsi" w:cstheme="minorHAnsi"/>
          <w:lang w:val="ru"/>
        </w:rPr>
        <w:t xml:space="preserve"> См. как минимум следующие отчеты. 1) 1-я сессия Рабочей группы МОК по вопросу о будущем МОК, 19-20.02.2008 г.; 2) Внешний ревизор ЮНЕСКО, Доклад о ревизии деятельности МОК, док-т 200 EX/20.INF.2, 23/08/2016, пункт 20 “20. Автономия Комиссии, предусмотренная регламентирующими документами, кажется, в недостаточной степени отражена в бюджетных документах ЮНЕСКО. Тем не менее, элементы этой автономии фигурируют в нескольких статьях Устава:»; 3) Департамент внутреннего надзора (IOS) ЮНЕСКО «Оценка стратегического позиционирования МОК-ЮНЕСКО», док-т IOS/EVS/PI 197, август 2021 г., стр. 10 «Оптимальные институциональные отношения между ЮНЕСКО и МОК-ЮНЕСКО еще предстоит прояснить» </w:t>
      </w:r>
    </w:p>
  </w:footnote>
  <w:footnote w:id="6">
    <w:p w14:paraId="64C3EC20" w14:textId="77777777" w:rsidR="00025564" w:rsidRPr="006555ED" w:rsidRDefault="00025564" w:rsidP="00025564">
      <w:pPr>
        <w:pStyle w:val="FootnoteText"/>
        <w:rPr>
          <w:rFonts w:asciiTheme="minorHAnsi" w:hAnsiTheme="minorHAnsi" w:cstheme="minorHAnsi"/>
          <w:lang w:val="ru"/>
        </w:rPr>
      </w:pPr>
      <w:r>
        <w:rPr>
          <w:rStyle w:val="FootnoteReference"/>
          <w:rFonts w:asciiTheme="minorHAnsi" w:hAnsiTheme="minorHAnsi" w:cstheme="minorHAnsi"/>
          <w:lang w:val="ru"/>
        </w:rPr>
        <w:footnoteRef/>
      </w:r>
      <w:r>
        <w:rPr>
          <w:rFonts w:asciiTheme="minorHAnsi" w:hAnsiTheme="minorHAnsi" w:cstheme="minorHAnsi"/>
          <w:lang w:val="ru"/>
        </w:rPr>
        <w:t xml:space="preserve"> См. Руководство ЮНЕСКО по кадровым ресурсам, 5.3.83</w:t>
      </w:r>
    </w:p>
  </w:footnote>
  <w:footnote w:id="7">
    <w:p w14:paraId="4B4671F3" w14:textId="77777777" w:rsidR="00025564" w:rsidRPr="006555ED" w:rsidRDefault="00025564" w:rsidP="00025564">
      <w:pPr>
        <w:pStyle w:val="FootnoteText"/>
        <w:rPr>
          <w:rFonts w:asciiTheme="minorHAnsi" w:hAnsiTheme="minorHAnsi" w:cstheme="minorHAnsi"/>
          <w:lang w:val="ru"/>
        </w:rPr>
      </w:pPr>
      <w:r>
        <w:rPr>
          <w:rStyle w:val="FootnoteReference"/>
          <w:lang w:val="ru"/>
        </w:rPr>
        <w:footnoteRef/>
      </w:r>
      <w:r>
        <w:rPr>
          <w:lang w:val="ru"/>
        </w:rPr>
        <w:t xml:space="preserve"> </w:t>
      </w:r>
      <w:r>
        <w:rPr>
          <w:rFonts w:asciiTheme="minorHAnsi" w:hAnsiTheme="minorHAnsi"/>
          <w:lang w:val="ru"/>
        </w:rPr>
        <w:t>См. OC/INF-1316 Консультации по назначению Исполнительного секретаря МОК: процедура составления финального списка кандидатов для представления Генеральному директору ЮНЕСКО (02.05.2014 г.)</w:t>
      </w:r>
    </w:p>
  </w:footnote>
  <w:footnote w:id="8">
    <w:p w14:paraId="688E4773" w14:textId="77777777" w:rsidR="00025564" w:rsidRPr="006555ED" w:rsidRDefault="00025564" w:rsidP="00025564">
      <w:pPr>
        <w:pStyle w:val="FootnoteText"/>
        <w:rPr>
          <w:rFonts w:asciiTheme="minorHAnsi" w:hAnsiTheme="minorHAnsi" w:cstheme="minorHAnsi"/>
          <w:lang w:val="ru"/>
        </w:rPr>
      </w:pPr>
      <w:r>
        <w:rPr>
          <w:rStyle w:val="FootnoteReference"/>
          <w:rFonts w:asciiTheme="minorHAnsi" w:hAnsiTheme="minorHAnsi" w:cstheme="minorHAnsi"/>
          <w:lang w:val="ru"/>
        </w:rPr>
        <w:footnoteRef/>
      </w:r>
      <w:r>
        <w:rPr>
          <w:rFonts w:asciiTheme="minorHAnsi" w:hAnsiTheme="minorHAnsi" w:cstheme="minorHAnsi"/>
          <w:lang w:val="ru"/>
        </w:rPr>
        <w:t xml:space="preserve"> OC/EC-57/5.2.Doc(2) Доклад председателя Межсессионной финансовой консультативной группы (МФКГ) МОК на сессии МОК-ИС в июне 2024 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8030A" w14:textId="100AF818" w:rsidR="003B6FC5" w:rsidRPr="00FF54F5" w:rsidRDefault="00352423" w:rsidP="00FF54F5">
    <w:pPr>
      <w:pStyle w:val="Header"/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sz w:val="22"/>
        <w:szCs w:val="22"/>
        <w:lang w:val="ru"/>
      </w:rPr>
      <w:t>IOC/A-33/3.2.Doc</w:t>
    </w:r>
    <w:sdt>
      <w:sdtPr>
        <w:rPr>
          <w:rFonts w:ascii="Arial" w:hAnsi="Arial" w:cs="Arial"/>
          <w:bCs/>
          <w:sz w:val="22"/>
          <w:szCs w:val="22"/>
        </w:rPr>
        <w:id w:val="554519101"/>
        <w:docPartObj>
          <w:docPartGallery w:val="Page Numbers (Top of Page)"/>
          <w:docPartUnique/>
        </w:docPartObj>
      </w:sdtPr>
      <w:sdtEndPr/>
      <w:sdtContent>
        <w:r>
          <w:rPr>
            <w:rFonts w:ascii="Arial" w:hAnsi="Arial" w:cs="Arial"/>
            <w:sz w:val="22"/>
            <w:szCs w:val="22"/>
            <w:lang w:val="ru"/>
          </w:rPr>
          <w:t xml:space="preserve">(3) – страница </w:t>
        </w:r>
        <w:r>
          <w:rPr>
            <w:rFonts w:ascii="Arial" w:hAnsi="Arial" w:cs="Arial"/>
            <w:sz w:val="22"/>
            <w:szCs w:val="22"/>
            <w:lang w:val="ru"/>
          </w:rPr>
          <w:fldChar w:fldCharType="begin"/>
        </w:r>
        <w:r>
          <w:rPr>
            <w:rFonts w:ascii="Arial" w:hAnsi="Arial" w:cs="Arial"/>
            <w:sz w:val="22"/>
            <w:szCs w:val="22"/>
            <w:lang w:val="ru"/>
          </w:rPr>
          <w:instrText xml:space="preserve"> PAGE   \* MERGEFORMAT </w:instrText>
        </w:r>
        <w:r>
          <w:rPr>
            <w:rFonts w:ascii="Arial" w:hAnsi="Arial" w:cs="Arial"/>
            <w:sz w:val="22"/>
            <w:szCs w:val="22"/>
            <w:lang w:val="ru"/>
          </w:rPr>
          <w:fldChar w:fldCharType="separate"/>
        </w:r>
        <w:r>
          <w:rPr>
            <w:rFonts w:ascii="Arial" w:hAnsi="Arial" w:cs="Arial"/>
            <w:noProof/>
            <w:sz w:val="22"/>
            <w:szCs w:val="22"/>
            <w:lang w:val="ru"/>
          </w:rPr>
          <w:t>1</w:t>
        </w:r>
        <w:r>
          <w:rPr>
            <w:rFonts w:ascii="Arial" w:hAnsi="Arial" w:cs="Arial"/>
            <w:noProof/>
            <w:sz w:val="22"/>
            <w:szCs w:val="22"/>
            <w:lang w:val="ru"/>
          </w:rPr>
          <w:fldChar w:fldCharType="end"/>
        </w:r>
      </w:sdtContent>
    </w:sdt>
  </w:p>
  <w:p w14:paraId="7669745D" w14:textId="77777777" w:rsidR="003B6FC5" w:rsidRPr="00D7566D" w:rsidRDefault="003B6F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BB357" w14:textId="218FEA08" w:rsidR="00FF54F5" w:rsidRPr="00DD55DA" w:rsidRDefault="00E01FDA" w:rsidP="00FF54F5">
    <w:pPr>
      <w:pStyle w:val="Header"/>
      <w:jc w:val="right"/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sz w:val="22"/>
        <w:szCs w:val="22"/>
        <w:lang w:val="ru"/>
      </w:rPr>
      <w:t xml:space="preserve">IOC/A-33/3.2.Doc(3) – страница </w:t>
    </w:r>
    <w:r>
      <w:rPr>
        <w:rFonts w:ascii="Arial" w:hAnsi="Arial" w:cs="Arial"/>
        <w:sz w:val="22"/>
        <w:szCs w:val="22"/>
        <w:lang w:val="ru"/>
      </w:rPr>
      <w:fldChar w:fldCharType="begin"/>
    </w:r>
    <w:r>
      <w:rPr>
        <w:rFonts w:ascii="Arial" w:hAnsi="Arial" w:cs="Arial"/>
        <w:sz w:val="22"/>
        <w:szCs w:val="22"/>
        <w:lang w:val="ru"/>
      </w:rPr>
      <w:instrText xml:space="preserve"> PAGE   \* MERGEFORMAT </w:instrText>
    </w:r>
    <w:r>
      <w:rPr>
        <w:rFonts w:ascii="Arial" w:hAnsi="Arial" w:cs="Arial"/>
        <w:sz w:val="22"/>
        <w:szCs w:val="22"/>
        <w:lang w:val="ru"/>
      </w:rPr>
      <w:fldChar w:fldCharType="separate"/>
    </w:r>
    <w:r>
      <w:rPr>
        <w:rFonts w:ascii="Arial" w:hAnsi="Arial" w:cs="Arial"/>
        <w:noProof/>
        <w:sz w:val="22"/>
        <w:szCs w:val="22"/>
        <w:lang w:val="ru"/>
      </w:rPr>
      <w:t>1</w:t>
    </w:r>
    <w:r>
      <w:rPr>
        <w:rFonts w:ascii="Arial" w:hAnsi="Arial" w:cs="Arial"/>
        <w:noProof/>
        <w:sz w:val="22"/>
        <w:szCs w:val="22"/>
        <w:lang w:val="ru"/>
      </w:rPr>
      <w:fldChar w:fldCharType="end"/>
    </w:r>
  </w:p>
  <w:p w14:paraId="115C0040" w14:textId="77777777" w:rsidR="00FF54F5" w:rsidRPr="00DD55DA" w:rsidRDefault="00FF54F5" w:rsidP="00FF54F5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2890" w14:textId="7E8E3313" w:rsidR="00F62C19" w:rsidRPr="0042612F" w:rsidRDefault="008B77EB" w:rsidP="00230818">
    <w:pPr>
      <w:pStyle w:val="Marge"/>
      <w:tabs>
        <w:tab w:val="left" w:pos="5812"/>
      </w:tabs>
      <w:spacing w:after="0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sz w:val="22"/>
        <w:szCs w:val="22"/>
        <w:lang w:val="ru"/>
      </w:rPr>
      <w:t>Рассылается по списку</w:t>
    </w:r>
    <w:r>
      <w:rPr>
        <w:lang w:val="ru"/>
      </w:rPr>
      <w:tab/>
    </w:r>
    <w:bookmarkStart w:id="0" w:name="_Hlk54263549"/>
    <w:r>
      <w:rPr>
        <w:rFonts w:ascii="Arial" w:hAnsi="Arial" w:cs="Arial"/>
        <w:b/>
        <w:bCs/>
        <w:sz w:val="36"/>
        <w:szCs w:val="36"/>
        <w:lang w:val="ru"/>
      </w:rPr>
      <w:t>IOC/A-33/5.2</w:t>
    </w:r>
    <w:bookmarkEnd w:id="0"/>
    <w:r>
      <w:rPr>
        <w:rFonts w:ascii="Arial" w:hAnsi="Arial" w:cs="Arial"/>
        <w:b/>
        <w:bCs/>
        <w:sz w:val="36"/>
        <w:szCs w:val="36"/>
        <w:lang w:val="ru"/>
      </w:rPr>
      <w:t>.Doc(1)</w:t>
    </w:r>
  </w:p>
  <w:p w14:paraId="4FD70AD5" w14:textId="61668BE8" w:rsidR="004B7754" w:rsidRDefault="008B77EB" w:rsidP="00230818">
    <w:pPr>
      <w:pStyle w:val="Marge"/>
      <w:tabs>
        <w:tab w:val="left" w:pos="5812"/>
      </w:tabs>
      <w:spacing w:after="0"/>
      <w:rPr>
        <w:rFonts w:ascii="Arial" w:hAnsi="Arial" w:cs="Arial"/>
        <w:sz w:val="22"/>
        <w:szCs w:val="22"/>
      </w:rPr>
    </w:pPr>
    <w:r>
      <w:rPr>
        <w:rFonts w:cs="Arial"/>
        <w:noProof/>
        <w:snapToGrid/>
        <w:szCs w:val="22"/>
        <w:lang w:val="ru"/>
      </w:rPr>
      <w:drawing>
        <wp:anchor distT="0" distB="0" distL="114300" distR="114300" simplePos="0" relativeHeight="251731968" behindDoc="0" locked="0" layoutInCell="1" allowOverlap="1" wp14:anchorId="7C2FCC9E" wp14:editId="3855C8E1">
          <wp:simplePos x="0" y="0"/>
          <wp:positionH relativeFrom="column">
            <wp:posOffset>-88265</wp:posOffset>
          </wp:positionH>
          <wp:positionV relativeFrom="paragraph">
            <wp:posOffset>93345</wp:posOffset>
          </wp:positionV>
          <wp:extent cx="1578610" cy="1047115"/>
          <wp:effectExtent l="0" t="0" r="2540" b="635"/>
          <wp:wrapSquare wrapText="bothSides"/>
          <wp:docPr id="1" name="Picture 1" descr="Логотип, название компании Описание генерируется автоматически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8610" cy="1047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ru"/>
      </w:rPr>
      <w:tab/>
    </w:r>
    <w:r>
      <w:rPr>
        <w:rFonts w:ascii="Arial" w:hAnsi="Arial" w:cs="Arial"/>
        <w:sz w:val="22"/>
        <w:szCs w:val="22"/>
        <w:lang w:val="ru"/>
      </w:rPr>
      <w:t xml:space="preserve">Париж, 10 апреля 2025 года </w:t>
    </w:r>
  </w:p>
  <w:p w14:paraId="07C76426" w14:textId="18A2F05C" w:rsidR="004B7754" w:rsidRPr="00BF254D" w:rsidRDefault="004B7754" w:rsidP="00230818">
    <w:pPr>
      <w:pStyle w:val="Marge"/>
      <w:tabs>
        <w:tab w:val="left" w:pos="5812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  <w:lang w:val="ru"/>
      </w:rPr>
      <w:tab/>
      <w:t>Язык оригинала: английский</w:t>
    </w:r>
  </w:p>
  <w:p w14:paraId="0759C652" w14:textId="6ACD3015" w:rsidR="004B7754" w:rsidRDefault="004B7754" w:rsidP="004B77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rFonts w:cs="Arial"/>
        <w:b/>
        <w:szCs w:val="22"/>
      </w:rPr>
    </w:pPr>
  </w:p>
  <w:p w14:paraId="5CBA7A2E" w14:textId="7CD94594" w:rsidR="00B17054" w:rsidRDefault="00B17054" w:rsidP="004B77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rFonts w:cs="Arial"/>
        <w:b/>
        <w:szCs w:val="22"/>
      </w:rPr>
    </w:pPr>
  </w:p>
  <w:p w14:paraId="364F293E" w14:textId="4E082054" w:rsidR="00B17054" w:rsidRDefault="00B17054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cs="Arial"/>
        <w:b/>
        <w:szCs w:val="22"/>
      </w:rPr>
    </w:pPr>
  </w:p>
  <w:p w14:paraId="28CD0B7C" w14:textId="77777777" w:rsidR="008B77EB" w:rsidRDefault="008B77EB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cs="Arial"/>
        <w:b/>
        <w:szCs w:val="22"/>
      </w:rPr>
    </w:pPr>
  </w:p>
  <w:p w14:paraId="1D868DB4" w14:textId="77777777" w:rsidR="00B17054" w:rsidRPr="005E544C" w:rsidRDefault="00B17054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cs="Arial"/>
        <w:b/>
        <w:szCs w:val="22"/>
      </w:rPr>
    </w:pPr>
  </w:p>
  <w:p w14:paraId="71A52761" w14:textId="56DB973C" w:rsidR="004B7754" w:rsidRPr="00BF254D" w:rsidRDefault="004B7754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</w:rPr>
    </w:pPr>
    <w:r>
      <w:rPr>
        <w:rFonts w:ascii="Arial" w:hAnsi="Arial" w:cs="Arial"/>
        <w:b/>
        <w:bCs/>
        <w:lang w:val="ru"/>
      </w:rPr>
      <w:t>МЕЖПРАВИТЕЛЬСТВЕННАЯ ОКЕАНОГРАФИЧЕСКАЯ КОМИССИЯ</w:t>
    </w:r>
  </w:p>
  <w:p w14:paraId="67E49D49" w14:textId="77777777" w:rsidR="004B7754" w:rsidRPr="00BF254D" w:rsidRDefault="004B7754" w:rsidP="00B17054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Cs/>
      </w:rPr>
    </w:pPr>
    <w:r>
      <w:rPr>
        <w:rFonts w:ascii="Arial" w:hAnsi="Arial" w:cs="Arial"/>
        <w:lang w:val="ru"/>
      </w:rPr>
      <w:t>(ЮНЕСКО)</w:t>
    </w:r>
  </w:p>
  <w:p w14:paraId="4872ECD5" w14:textId="77777777" w:rsidR="004B7754" w:rsidRPr="00BF254D" w:rsidRDefault="004B7754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szCs w:val="22"/>
      </w:rPr>
    </w:pPr>
  </w:p>
  <w:p w14:paraId="7BF4961F" w14:textId="15E30785" w:rsidR="004B7754" w:rsidRPr="00BF254D" w:rsidRDefault="00265773" w:rsidP="00B17054">
    <w:pPr>
      <w:tabs>
        <w:tab w:val="left" w:pos="-1440"/>
        <w:tab w:val="left" w:pos="-720"/>
        <w:tab w:val="left" w:pos="720"/>
        <w:tab w:val="left" w:pos="1420"/>
        <w:tab w:val="left" w:pos="2160"/>
        <w:tab w:val="left" w:pos="3600"/>
        <w:tab w:val="left" w:pos="4320"/>
        <w:tab w:val="center" w:pos="4677"/>
        <w:tab w:val="left" w:pos="5040"/>
        <w:tab w:val="left" w:pos="5523"/>
        <w:tab w:val="left" w:pos="6480"/>
      </w:tabs>
      <w:jc w:val="center"/>
      <w:rPr>
        <w:rFonts w:ascii="Arial" w:hAnsi="Arial" w:cs="Arial"/>
        <w:b/>
      </w:rPr>
    </w:pPr>
    <w:r>
      <w:rPr>
        <w:rFonts w:ascii="Arial" w:hAnsi="Arial" w:cs="Arial"/>
        <w:b/>
        <w:bCs/>
        <w:lang w:val="ru"/>
      </w:rPr>
      <w:t>Тридцать третья сессия Ассамблеи</w:t>
    </w:r>
  </w:p>
  <w:p w14:paraId="71300EEE" w14:textId="6785CB47" w:rsidR="004B7754" w:rsidRPr="00843E81" w:rsidRDefault="004B7754" w:rsidP="00B17054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</w:rPr>
    </w:pPr>
    <w:r>
      <w:rPr>
        <w:rFonts w:ascii="Arial" w:hAnsi="Arial" w:cs="Arial"/>
        <w:lang w:val="ru"/>
      </w:rPr>
      <w:t>ЮНЕСКО, Париж, 25 июня – 3 июля 2025 г.</w:t>
    </w:r>
  </w:p>
  <w:p w14:paraId="5BB9C169" w14:textId="77777777" w:rsidR="004B7754" w:rsidRPr="00843E81" w:rsidRDefault="004B7754" w:rsidP="00B17054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bCs/>
        <w:szCs w:val="22"/>
      </w:rPr>
    </w:pPr>
  </w:p>
  <w:p w14:paraId="003DCA37" w14:textId="77777777" w:rsidR="004B7754" w:rsidRPr="00843E81" w:rsidRDefault="004B7754" w:rsidP="00B17054">
    <w:pPr>
      <w:jc w:val="center"/>
      <w:rPr>
        <w:rFonts w:cs="Arial"/>
        <w:szCs w:val="22"/>
      </w:rPr>
    </w:pPr>
  </w:p>
  <w:p w14:paraId="4AE80372" w14:textId="30A91906" w:rsidR="00FA68D9" w:rsidRPr="00FA68D9" w:rsidRDefault="00FA68D9" w:rsidP="00FA68D9">
    <w:pPr>
      <w:keepNext/>
      <w:widowControl w:val="0"/>
      <w:tabs>
        <w:tab w:val="right" w:pos="9540"/>
      </w:tabs>
      <w:adjustRightInd w:val="0"/>
      <w:jc w:val="both"/>
      <w:textAlignment w:val="baseline"/>
      <w:outlineLvl w:val="6"/>
      <w:rPr>
        <w:rFonts w:ascii="Arial" w:eastAsia="Times New Roman" w:hAnsi="Arial" w:cs="Arial"/>
      </w:rPr>
    </w:pPr>
    <w:r>
      <w:rPr>
        <w:rFonts w:ascii="Arial" w:eastAsia="Times New Roman" w:hAnsi="Arial" w:cs="Arial"/>
        <w:u w:val="single"/>
        <w:lang w:val="ru"/>
      </w:rPr>
      <w:t xml:space="preserve">Пункты </w:t>
    </w:r>
    <w:r>
      <w:rPr>
        <w:rFonts w:ascii="Arial" w:eastAsia="Times New Roman" w:hAnsi="Arial" w:cs="Arial"/>
        <w:b/>
        <w:bCs/>
        <w:u w:val="single"/>
        <w:lang w:val="ru"/>
      </w:rPr>
      <w:t>5.2</w:t>
    </w:r>
    <w:r>
      <w:rPr>
        <w:rFonts w:ascii="Arial" w:eastAsia="Times New Roman" w:hAnsi="Arial" w:cs="Arial"/>
        <w:u w:val="single"/>
        <w:lang w:val="ru"/>
      </w:rPr>
      <w:t xml:space="preserve"> и </w:t>
    </w:r>
    <w:r>
      <w:rPr>
        <w:rFonts w:ascii="Arial" w:eastAsia="Times New Roman" w:hAnsi="Arial" w:cs="Arial"/>
        <w:b/>
        <w:bCs/>
        <w:u w:val="single"/>
        <w:lang w:val="ru"/>
      </w:rPr>
      <w:t>5.4</w:t>
    </w:r>
    <w:r>
      <w:rPr>
        <w:rFonts w:ascii="Arial" w:eastAsia="Times New Roman" w:hAnsi="Arial" w:cs="Arial"/>
        <w:u w:val="single"/>
        <w:lang w:val="ru"/>
      </w:rPr>
      <w:t xml:space="preserve"> предварительной повестки дня</w:t>
    </w:r>
  </w:p>
  <w:p w14:paraId="5283A965" w14:textId="13B85A04" w:rsidR="00FA68D9" w:rsidRDefault="00FA68D9" w:rsidP="00FA68D9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rPr>
        <w:rFonts w:ascii="Arial" w:hAnsi="Arial" w:cs="Arial"/>
        <w:b/>
        <w:bCs/>
        <w:caps/>
      </w:rPr>
    </w:pPr>
  </w:p>
  <w:p w14:paraId="089E7EEC" w14:textId="77777777" w:rsidR="00D41C78" w:rsidRDefault="00D41C78" w:rsidP="00FA68D9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rPr>
        <w:rFonts w:ascii="Arial" w:hAnsi="Arial" w:cs="Arial"/>
        <w:b/>
        <w:bCs/>
        <w:caps/>
      </w:rPr>
    </w:pPr>
  </w:p>
  <w:p w14:paraId="6C9D5DF2" w14:textId="20DFF1A0" w:rsidR="002F2691" w:rsidRPr="00FA68D9" w:rsidRDefault="00C522B3" w:rsidP="00C522B3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bCs/>
        <w:caps/>
      </w:rPr>
    </w:pPr>
    <w:r>
      <w:rPr>
        <w:rFonts w:ascii="Arial" w:hAnsi="Arial" w:cs="Arial"/>
        <w:b/>
        <w:bCs/>
        <w:caps/>
        <w:lang w:val="ru"/>
      </w:rPr>
      <w:t>ОЦЕНКА ПРОЦЕССОВ РУКОВОДСТВА И УПРАВЛЕНИЯ МОК</w:t>
    </w:r>
  </w:p>
  <w:p w14:paraId="12B25AD8" w14:textId="77777777" w:rsidR="004B7754" w:rsidRPr="00FA68D9" w:rsidRDefault="004B7754" w:rsidP="00FA68D9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rPr>
        <w:rFonts w:cs="Arial"/>
        <w:bCs/>
        <w:szCs w:val="22"/>
      </w:rPr>
    </w:pPr>
  </w:p>
  <w:p w14:paraId="5F53C7C4" w14:textId="77777777" w:rsidR="004B7754" w:rsidRPr="00FA68D9" w:rsidRDefault="004B7754" w:rsidP="00B17054">
    <w:pPr>
      <w:pStyle w:val="Header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E0889" w14:textId="6685525A" w:rsidR="00025564" w:rsidRPr="00025564" w:rsidRDefault="00025564" w:rsidP="00025564">
    <w:pPr>
      <w:pStyle w:val="Header"/>
      <w:tabs>
        <w:tab w:val="clear" w:pos="4153"/>
        <w:tab w:val="clear" w:pos="8306"/>
        <w:tab w:val="center" w:pos="4536"/>
      </w:tabs>
      <w:rPr>
        <w:rFonts w:ascii="Arial" w:hAnsi="Arial" w:cs="Arial"/>
        <w:bCs/>
        <w:iCs/>
        <w:color w:val="333333"/>
        <w:sz w:val="20"/>
        <w:szCs w:val="20"/>
      </w:rPr>
    </w:pPr>
    <w:r>
      <w:rPr>
        <w:rFonts w:ascii="Arial" w:hAnsi="Arial" w:cs="Arial"/>
        <w:color w:val="333333"/>
        <w:sz w:val="20"/>
        <w:szCs w:val="20"/>
        <w:lang w:val="ru"/>
      </w:rPr>
      <w:t xml:space="preserve">IOC/A-33/5.2.Doc(1) – страница </w:t>
    </w:r>
    <w:r>
      <w:rPr>
        <w:rFonts w:ascii="Arial" w:hAnsi="Arial" w:cs="Arial"/>
        <w:color w:val="333333"/>
        <w:sz w:val="20"/>
        <w:szCs w:val="20"/>
        <w:lang w:val="ru"/>
      </w:rPr>
      <w:fldChar w:fldCharType="begin"/>
    </w:r>
    <w:r>
      <w:rPr>
        <w:rFonts w:ascii="Arial" w:hAnsi="Arial" w:cs="Arial"/>
        <w:color w:val="333333"/>
        <w:sz w:val="20"/>
        <w:szCs w:val="20"/>
        <w:lang w:val="ru"/>
      </w:rPr>
      <w:instrText>PAGE   \* MERGEFORMAT</w:instrText>
    </w:r>
    <w:r>
      <w:rPr>
        <w:rFonts w:ascii="Arial" w:hAnsi="Arial" w:cs="Arial"/>
        <w:color w:val="333333"/>
        <w:sz w:val="20"/>
        <w:szCs w:val="20"/>
        <w:lang w:val="ru"/>
      </w:rPr>
      <w:fldChar w:fldCharType="separate"/>
    </w:r>
    <w:r>
      <w:rPr>
        <w:rFonts w:ascii="Arial" w:hAnsi="Arial" w:cs="Arial"/>
        <w:color w:val="333333"/>
        <w:sz w:val="20"/>
        <w:szCs w:val="20"/>
        <w:lang w:val="ru"/>
      </w:rPr>
      <w:t>1</w:t>
    </w:r>
    <w:r>
      <w:rPr>
        <w:rFonts w:ascii="Arial" w:hAnsi="Arial" w:cs="Arial"/>
        <w:color w:val="333333"/>
        <w:sz w:val="20"/>
        <w:szCs w:val="20"/>
        <w:lang w:val="ru"/>
      </w:rPr>
      <w:fldChar w:fldCharType="end"/>
    </w:r>
  </w:p>
  <w:p w14:paraId="095C0789" w14:textId="77777777" w:rsidR="006B7B17" w:rsidRDefault="006B7B17">
    <w:pPr>
      <w:pStyle w:val="Header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B5ED8" w14:textId="1E659E16" w:rsidR="006B7B17" w:rsidRPr="00025564" w:rsidRDefault="006B7B17" w:rsidP="00025564">
    <w:pPr>
      <w:pStyle w:val="Header"/>
      <w:tabs>
        <w:tab w:val="clear" w:pos="8306"/>
        <w:tab w:val="right" w:pos="9072"/>
      </w:tabs>
      <w:rPr>
        <w:iCs/>
        <w:color w:val="333333"/>
        <w:sz w:val="18"/>
        <w:szCs w:val="22"/>
      </w:rPr>
    </w:pPr>
    <w:r>
      <w:rPr>
        <w:i/>
        <w:iCs/>
        <w:color w:val="333333"/>
        <w:sz w:val="20"/>
        <w:lang w:val="ru"/>
      </w:rPr>
      <w:t>Farman &amp; Partners</w:t>
    </w:r>
    <w:r>
      <w:rPr>
        <w:color w:val="333333"/>
        <w:sz w:val="20"/>
        <w:lang w:val="ru"/>
      </w:rPr>
      <w:tab/>
    </w:r>
    <w:r>
      <w:rPr>
        <w:color w:val="333333"/>
        <w:sz w:val="20"/>
        <w:lang w:val="ru"/>
      </w:rPr>
      <w:tab/>
    </w:r>
    <w:r>
      <w:rPr>
        <w:rFonts w:ascii="Arial" w:hAnsi="Arial"/>
        <w:color w:val="333333"/>
        <w:sz w:val="20"/>
        <w:szCs w:val="20"/>
        <w:lang w:val="ru"/>
      </w:rPr>
      <w:t xml:space="preserve">IOC/A-33/5.2.Doc(1) – страница </w:t>
    </w:r>
    <w:r>
      <w:rPr>
        <w:color w:val="333333"/>
        <w:sz w:val="20"/>
        <w:szCs w:val="20"/>
        <w:lang w:val="ru"/>
      </w:rPr>
      <w:fldChar w:fldCharType="begin"/>
    </w:r>
    <w:r>
      <w:rPr>
        <w:rFonts w:ascii="Arial" w:hAnsi="Arial"/>
        <w:color w:val="333333"/>
        <w:sz w:val="20"/>
        <w:szCs w:val="20"/>
        <w:lang w:val="ru"/>
      </w:rPr>
      <w:instrText>PAGE   \* MERGEFORMAT</w:instrText>
    </w:r>
    <w:r>
      <w:rPr>
        <w:color w:val="333333"/>
        <w:sz w:val="20"/>
        <w:szCs w:val="20"/>
        <w:lang w:val="ru"/>
      </w:rPr>
      <w:fldChar w:fldCharType="separate"/>
    </w:r>
    <w:r>
      <w:rPr>
        <w:rFonts w:ascii="Arial" w:hAnsi="Arial"/>
        <w:color w:val="333333"/>
        <w:sz w:val="20"/>
        <w:szCs w:val="20"/>
        <w:lang w:val="ru"/>
      </w:rPr>
      <w:t>2</w:t>
    </w:r>
    <w:r>
      <w:rPr>
        <w:color w:val="333333"/>
        <w:sz w:val="20"/>
        <w:szCs w:val="20"/>
        <w:lang w:val="ru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1D3BB" w14:textId="74BD348D" w:rsidR="006B7B17" w:rsidRPr="00025564" w:rsidRDefault="00025564" w:rsidP="00025564">
    <w:pPr>
      <w:pStyle w:val="Header"/>
      <w:tabs>
        <w:tab w:val="clear" w:pos="4153"/>
        <w:tab w:val="clear" w:pos="8306"/>
        <w:tab w:val="center" w:pos="4536"/>
      </w:tabs>
      <w:jc w:val="right"/>
      <w:rPr>
        <w:rFonts w:ascii="Arial" w:hAnsi="Arial" w:cs="Arial"/>
        <w:bCs/>
        <w:iCs/>
        <w:color w:val="333333"/>
        <w:sz w:val="20"/>
        <w:szCs w:val="20"/>
      </w:rPr>
    </w:pPr>
    <w:r>
      <w:rPr>
        <w:rFonts w:ascii="Arial" w:hAnsi="Arial" w:cs="Arial"/>
        <w:color w:val="333333"/>
        <w:sz w:val="20"/>
        <w:szCs w:val="20"/>
        <w:lang w:val="ru"/>
      </w:rPr>
      <w:t>IOC/A-33/5.2.Doc(1)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172E"/>
    <w:multiLevelType w:val="hybridMultilevel"/>
    <w:tmpl w:val="FC84EE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A513E"/>
    <w:multiLevelType w:val="hybridMultilevel"/>
    <w:tmpl w:val="E97E1C0A"/>
    <w:lvl w:ilvl="0" w:tplc="BB4873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72577"/>
    <w:multiLevelType w:val="singleLevel"/>
    <w:tmpl w:val="E9B44C80"/>
    <w:lvl w:ilvl="0">
      <w:start w:val="1"/>
      <w:numFmt w:val="bullet"/>
      <w:pStyle w:val="Poin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4900789"/>
    <w:multiLevelType w:val="hybridMultilevel"/>
    <w:tmpl w:val="BAF29046"/>
    <w:lvl w:ilvl="0" w:tplc="55F4CEC8">
      <w:start w:val="1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E4189A"/>
    <w:multiLevelType w:val="hybridMultilevel"/>
    <w:tmpl w:val="0A2A62A8"/>
    <w:lvl w:ilvl="0" w:tplc="D4BAA45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B57F5"/>
    <w:multiLevelType w:val="hybridMultilevel"/>
    <w:tmpl w:val="69A41796"/>
    <w:lvl w:ilvl="0" w:tplc="B76C1B94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102C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B14D83"/>
    <w:multiLevelType w:val="singleLevel"/>
    <w:tmpl w:val="927E70FE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8" w15:restartNumberingAfterBreak="0">
    <w:nsid w:val="346E1C6B"/>
    <w:multiLevelType w:val="multilevel"/>
    <w:tmpl w:val="908245F4"/>
    <w:lvl w:ilvl="0">
      <w:start w:val="1"/>
      <w:numFmt w:val="decimal"/>
      <w:lvlText w:val="%1."/>
      <w:lvlJc w:val="left"/>
      <w:pPr>
        <w:ind w:left="720" w:hanging="360"/>
      </w:pPr>
      <w:rPr>
        <w:b/>
        <w:lang w:val="en-US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9" w15:restartNumberingAfterBreak="0">
    <w:nsid w:val="48DC5CAE"/>
    <w:multiLevelType w:val="hybridMultilevel"/>
    <w:tmpl w:val="4384A6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62B8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48114DB"/>
    <w:multiLevelType w:val="singleLevel"/>
    <w:tmpl w:val="968CE584"/>
    <w:lvl w:ilvl="0">
      <w:start w:val="1"/>
      <w:numFmt w:val="bullet"/>
      <w:pStyle w:val="Tir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48D74FD"/>
    <w:multiLevelType w:val="hybridMultilevel"/>
    <w:tmpl w:val="94564FA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D294C"/>
    <w:multiLevelType w:val="hybridMultilevel"/>
    <w:tmpl w:val="062066E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77A0DF6"/>
    <w:multiLevelType w:val="hybridMultilevel"/>
    <w:tmpl w:val="0106B50E"/>
    <w:lvl w:ilvl="0" w:tplc="D7EE6DAA">
      <w:start w:val="1"/>
      <w:numFmt w:val="decimal"/>
      <w:pStyle w:val="Style1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caps/>
        <w:strike w:val="0"/>
        <w:dstrike w:val="0"/>
        <w:vanish w:val="0"/>
        <w:sz w:val="22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E32CA9"/>
    <w:multiLevelType w:val="hybridMultilevel"/>
    <w:tmpl w:val="50843CD0"/>
    <w:lvl w:ilvl="0" w:tplc="05E2F3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4B4E7C"/>
    <w:multiLevelType w:val="hybridMultilevel"/>
    <w:tmpl w:val="DB10B0C0"/>
    <w:lvl w:ilvl="0" w:tplc="522267D6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 w16cid:durableId="1599021303">
    <w:abstractNumId w:val="7"/>
  </w:num>
  <w:num w:numId="2" w16cid:durableId="2141724410">
    <w:abstractNumId w:val="7"/>
  </w:num>
  <w:num w:numId="3" w16cid:durableId="1577788038">
    <w:abstractNumId w:val="7"/>
  </w:num>
  <w:num w:numId="4" w16cid:durableId="1961492890">
    <w:abstractNumId w:val="7"/>
  </w:num>
  <w:num w:numId="5" w16cid:durableId="779103764">
    <w:abstractNumId w:val="7"/>
  </w:num>
  <w:num w:numId="6" w16cid:durableId="1829009150">
    <w:abstractNumId w:val="7"/>
  </w:num>
  <w:num w:numId="7" w16cid:durableId="507523924">
    <w:abstractNumId w:val="7"/>
  </w:num>
  <w:num w:numId="8" w16cid:durableId="981228254">
    <w:abstractNumId w:val="7"/>
  </w:num>
  <w:num w:numId="9" w16cid:durableId="216169603">
    <w:abstractNumId w:val="7"/>
  </w:num>
  <w:num w:numId="10" w16cid:durableId="1681007608">
    <w:abstractNumId w:val="7"/>
  </w:num>
  <w:num w:numId="11" w16cid:durableId="1256597078">
    <w:abstractNumId w:val="16"/>
  </w:num>
  <w:num w:numId="12" w16cid:durableId="1367637285">
    <w:abstractNumId w:val="7"/>
  </w:num>
  <w:num w:numId="13" w16cid:durableId="46297584">
    <w:abstractNumId w:val="5"/>
  </w:num>
  <w:num w:numId="14" w16cid:durableId="623006435">
    <w:abstractNumId w:val="8"/>
  </w:num>
  <w:num w:numId="15" w16cid:durableId="1352562254">
    <w:abstractNumId w:val="4"/>
  </w:num>
  <w:num w:numId="16" w16cid:durableId="1103190891">
    <w:abstractNumId w:val="10"/>
  </w:num>
  <w:num w:numId="17" w16cid:durableId="1234896804">
    <w:abstractNumId w:val="6"/>
  </w:num>
  <w:num w:numId="18" w16cid:durableId="369573370">
    <w:abstractNumId w:val="3"/>
  </w:num>
  <w:num w:numId="19" w16cid:durableId="456606123">
    <w:abstractNumId w:val="13"/>
  </w:num>
  <w:num w:numId="20" w16cid:durableId="1455640012">
    <w:abstractNumId w:val="15"/>
  </w:num>
  <w:num w:numId="21" w16cid:durableId="239952154">
    <w:abstractNumId w:val="1"/>
  </w:num>
  <w:num w:numId="22" w16cid:durableId="157499596">
    <w:abstractNumId w:val="0"/>
  </w:num>
  <w:num w:numId="23" w16cid:durableId="1726487945">
    <w:abstractNumId w:val="14"/>
  </w:num>
  <w:num w:numId="24" w16cid:durableId="484586391">
    <w:abstractNumId w:val="14"/>
  </w:num>
  <w:num w:numId="25" w16cid:durableId="1636642680">
    <w:abstractNumId w:val="14"/>
  </w:num>
  <w:num w:numId="26" w16cid:durableId="1170290552">
    <w:abstractNumId w:val="14"/>
  </w:num>
  <w:num w:numId="27" w16cid:durableId="1473644375">
    <w:abstractNumId w:val="14"/>
  </w:num>
  <w:num w:numId="28" w16cid:durableId="1266843303">
    <w:abstractNumId w:val="2"/>
  </w:num>
  <w:num w:numId="29" w16cid:durableId="959192438">
    <w:abstractNumId w:val="11"/>
  </w:num>
  <w:num w:numId="30" w16cid:durableId="1354838309">
    <w:abstractNumId w:val="9"/>
  </w:num>
  <w:num w:numId="31" w16cid:durableId="15365057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s-AR" w:vendorID="64" w:dllVersion="0" w:nlCheck="1" w:checkStyle="0"/>
  <w:activeWritingStyle w:appName="MSWord" w:lang="es-AR" w:vendorID="64" w:dllVersion="6" w:nlCheck="1" w:checkStyle="0"/>
  <w:activeWritingStyle w:appName="MSWord" w:lang="pt-PT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754"/>
    <w:rsid w:val="00001799"/>
    <w:rsid w:val="000019BA"/>
    <w:rsid w:val="000031EF"/>
    <w:rsid w:val="00004725"/>
    <w:rsid w:val="000055C3"/>
    <w:rsid w:val="00006C25"/>
    <w:rsid w:val="00010B89"/>
    <w:rsid w:val="000118CD"/>
    <w:rsid w:val="00013390"/>
    <w:rsid w:val="00017E4B"/>
    <w:rsid w:val="00020FE5"/>
    <w:rsid w:val="00025564"/>
    <w:rsid w:val="00025A88"/>
    <w:rsid w:val="00026782"/>
    <w:rsid w:val="00027122"/>
    <w:rsid w:val="000319A1"/>
    <w:rsid w:val="00031ECD"/>
    <w:rsid w:val="00032C8E"/>
    <w:rsid w:val="00033544"/>
    <w:rsid w:val="00033FCF"/>
    <w:rsid w:val="00034C53"/>
    <w:rsid w:val="00034C70"/>
    <w:rsid w:val="000431C5"/>
    <w:rsid w:val="000445B8"/>
    <w:rsid w:val="0004582F"/>
    <w:rsid w:val="00054037"/>
    <w:rsid w:val="00054BFE"/>
    <w:rsid w:val="00060399"/>
    <w:rsid w:val="00060718"/>
    <w:rsid w:val="000658F2"/>
    <w:rsid w:val="00065DEB"/>
    <w:rsid w:val="0006619A"/>
    <w:rsid w:val="0006675E"/>
    <w:rsid w:val="00067E0B"/>
    <w:rsid w:val="000719A5"/>
    <w:rsid w:val="000748A0"/>
    <w:rsid w:val="00075DC0"/>
    <w:rsid w:val="00080B76"/>
    <w:rsid w:val="00080CDD"/>
    <w:rsid w:val="00081592"/>
    <w:rsid w:val="000816BD"/>
    <w:rsid w:val="00081C17"/>
    <w:rsid w:val="00082162"/>
    <w:rsid w:val="0008285A"/>
    <w:rsid w:val="00083369"/>
    <w:rsid w:val="00085FE9"/>
    <w:rsid w:val="00086071"/>
    <w:rsid w:val="0009246D"/>
    <w:rsid w:val="0009256F"/>
    <w:rsid w:val="00097CDF"/>
    <w:rsid w:val="000A2E1C"/>
    <w:rsid w:val="000A6D08"/>
    <w:rsid w:val="000B1B44"/>
    <w:rsid w:val="000B237D"/>
    <w:rsid w:val="000B40F3"/>
    <w:rsid w:val="000C3BB5"/>
    <w:rsid w:val="000C6C8B"/>
    <w:rsid w:val="000D6EB3"/>
    <w:rsid w:val="000D719C"/>
    <w:rsid w:val="000E0533"/>
    <w:rsid w:val="000E188E"/>
    <w:rsid w:val="000E55FB"/>
    <w:rsid w:val="000E7E22"/>
    <w:rsid w:val="000F4768"/>
    <w:rsid w:val="000F4DDB"/>
    <w:rsid w:val="000F7203"/>
    <w:rsid w:val="000F78B3"/>
    <w:rsid w:val="001002FF"/>
    <w:rsid w:val="00100664"/>
    <w:rsid w:val="001026BE"/>
    <w:rsid w:val="00104894"/>
    <w:rsid w:val="00104EE2"/>
    <w:rsid w:val="001056F8"/>
    <w:rsid w:val="00105E15"/>
    <w:rsid w:val="00105EA4"/>
    <w:rsid w:val="00110568"/>
    <w:rsid w:val="00110D3A"/>
    <w:rsid w:val="0011378C"/>
    <w:rsid w:val="00113F97"/>
    <w:rsid w:val="00115326"/>
    <w:rsid w:val="0012374E"/>
    <w:rsid w:val="00123F7E"/>
    <w:rsid w:val="00131529"/>
    <w:rsid w:val="0013238B"/>
    <w:rsid w:val="00134711"/>
    <w:rsid w:val="00134935"/>
    <w:rsid w:val="00136102"/>
    <w:rsid w:val="0013649D"/>
    <w:rsid w:val="00143B1A"/>
    <w:rsid w:val="0014529C"/>
    <w:rsid w:val="0015046B"/>
    <w:rsid w:val="001524A3"/>
    <w:rsid w:val="0015561D"/>
    <w:rsid w:val="001579AB"/>
    <w:rsid w:val="00160284"/>
    <w:rsid w:val="00161B3D"/>
    <w:rsid w:val="0016592F"/>
    <w:rsid w:val="001659AA"/>
    <w:rsid w:val="00165CBD"/>
    <w:rsid w:val="00166CA5"/>
    <w:rsid w:val="00167255"/>
    <w:rsid w:val="0017022A"/>
    <w:rsid w:val="001766F9"/>
    <w:rsid w:val="00182096"/>
    <w:rsid w:val="0018253D"/>
    <w:rsid w:val="00183FEA"/>
    <w:rsid w:val="00185B54"/>
    <w:rsid w:val="00185D28"/>
    <w:rsid w:val="0019010A"/>
    <w:rsid w:val="00192400"/>
    <w:rsid w:val="00193754"/>
    <w:rsid w:val="001A033E"/>
    <w:rsid w:val="001A071C"/>
    <w:rsid w:val="001A1993"/>
    <w:rsid w:val="001A2943"/>
    <w:rsid w:val="001A6261"/>
    <w:rsid w:val="001A6DDA"/>
    <w:rsid w:val="001A73F8"/>
    <w:rsid w:val="001B2807"/>
    <w:rsid w:val="001B5075"/>
    <w:rsid w:val="001B5CB6"/>
    <w:rsid w:val="001B64AC"/>
    <w:rsid w:val="001C18CF"/>
    <w:rsid w:val="001C20FE"/>
    <w:rsid w:val="001C4F30"/>
    <w:rsid w:val="001C6221"/>
    <w:rsid w:val="001C6842"/>
    <w:rsid w:val="001C6D83"/>
    <w:rsid w:val="001D11E8"/>
    <w:rsid w:val="001D69B3"/>
    <w:rsid w:val="001E116E"/>
    <w:rsid w:val="001E12CF"/>
    <w:rsid w:val="001E2B66"/>
    <w:rsid w:val="001E441E"/>
    <w:rsid w:val="001E5FF2"/>
    <w:rsid w:val="001E653E"/>
    <w:rsid w:val="001F65B3"/>
    <w:rsid w:val="001F65D5"/>
    <w:rsid w:val="001F6CF5"/>
    <w:rsid w:val="001F7EF6"/>
    <w:rsid w:val="00200519"/>
    <w:rsid w:val="0020169B"/>
    <w:rsid w:val="00202C6D"/>
    <w:rsid w:val="00203E48"/>
    <w:rsid w:val="0020573A"/>
    <w:rsid w:val="00207581"/>
    <w:rsid w:val="00211338"/>
    <w:rsid w:val="00215B28"/>
    <w:rsid w:val="00216228"/>
    <w:rsid w:val="00220D02"/>
    <w:rsid w:val="00225B52"/>
    <w:rsid w:val="00230818"/>
    <w:rsid w:val="00231994"/>
    <w:rsid w:val="00232596"/>
    <w:rsid w:val="00232FAE"/>
    <w:rsid w:val="0023308D"/>
    <w:rsid w:val="00237FCC"/>
    <w:rsid w:val="00243536"/>
    <w:rsid w:val="00250016"/>
    <w:rsid w:val="00255764"/>
    <w:rsid w:val="002565A1"/>
    <w:rsid w:val="002571D5"/>
    <w:rsid w:val="00257562"/>
    <w:rsid w:val="00257884"/>
    <w:rsid w:val="0026233A"/>
    <w:rsid w:val="00265773"/>
    <w:rsid w:val="00265C91"/>
    <w:rsid w:val="00265E4E"/>
    <w:rsid w:val="0027043E"/>
    <w:rsid w:val="00272866"/>
    <w:rsid w:val="00273C68"/>
    <w:rsid w:val="00274D0A"/>
    <w:rsid w:val="002806AA"/>
    <w:rsid w:val="0028078A"/>
    <w:rsid w:val="00282456"/>
    <w:rsid w:val="00282FBC"/>
    <w:rsid w:val="00283B06"/>
    <w:rsid w:val="00284D3E"/>
    <w:rsid w:val="00286B3B"/>
    <w:rsid w:val="00290F6F"/>
    <w:rsid w:val="002A05D9"/>
    <w:rsid w:val="002A3541"/>
    <w:rsid w:val="002A3623"/>
    <w:rsid w:val="002A364B"/>
    <w:rsid w:val="002A3D8C"/>
    <w:rsid w:val="002A4894"/>
    <w:rsid w:val="002B0438"/>
    <w:rsid w:val="002B0B65"/>
    <w:rsid w:val="002B2FB7"/>
    <w:rsid w:val="002B58F5"/>
    <w:rsid w:val="002B70C4"/>
    <w:rsid w:val="002C6A49"/>
    <w:rsid w:val="002D2062"/>
    <w:rsid w:val="002D41F6"/>
    <w:rsid w:val="002D4B35"/>
    <w:rsid w:val="002E0808"/>
    <w:rsid w:val="002E09D4"/>
    <w:rsid w:val="002E0A07"/>
    <w:rsid w:val="002E1EDB"/>
    <w:rsid w:val="002E31EE"/>
    <w:rsid w:val="002E3B10"/>
    <w:rsid w:val="002E4E3E"/>
    <w:rsid w:val="002E524A"/>
    <w:rsid w:val="002E558B"/>
    <w:rsid w:val="002E6FCC"/>
    <w:rsid w:val="002F0EB7"/>
    <w:rsid w:val="002F11B4"/>
    <w:rsid w:val="002F2691"/>
    <w:rsid w:val="002F27AC"/>
    <w:rsid w:val="002F335A"/>
    <w:rsid w:val="002F37FA"/>
    <w:rsid w:val="002F53C8"/>
    <w:rsid w:val="002F577C"/>
    <w:rsid w:val="002F58A0"/>
    <w:rsid w:val="002F6710"/>
    <w:rsid w:val="00304613"/>
    <w:rsid w:val="00306011"/>
    <w:rsid w:val="00306797"/>
    <w:rsid w:val="003118C0"/>
    <w:rsid w:val="00313AB1"/>
    <w:rsid w:val="00315268"/>
    <w:rsid w:val="00320986"/>
    <w:rsid w:val="00320989"/>
    <w:rsid w:val="00321055"/>
    <w:rsid w:val="00322E7B"/>
    <w:rsid w:val="00323A23"/>
    <w:rsid w:val="00323C8D"/>
    <w:rsid w:val="00326D93"/>
    <w:rsid w:val="00327059"/>
    <w:rsid w:val="00332421"/>
    <w:rsid w:val="00332534"/>
    <w:rsid w:val="00332785"/>
    <w:rsid w:val="0033582A"/>
    <w:rsid w:val="003366DA"/>
    <w:rsid w:val="0033741E"/>
    <w:rsid w:val="003407B7"/>
    <w:rsid w:val="00341FD0"/>
    <w:rsid w:val="0034392B"/>
    <w:rsid w:val="00344E00"/>
    <w:rsid w:val="00345E65"/>
    <w:rsid w:val="00346ECA"/>
    <w:rsid w:val="00347944"/>
    <w:rsid w:val="00352423"/>
    <w:rsid w:val="00354A10"/>
    <w:rsid w:val="00355638"/>
    <w:rsid w:val="00355A56"/>
    <w:rsid w:val="003563D2"/>
    <w:rsid w:val="00357EB2"/>
    <w:rsid w:val="00366C04"/>
    <w:rsid w:val="00370210"/>
    <w:rsid w:val="003774D6"/>
    <w:rsid w:val="00382463"/>
    <w:rsid w:val="00393704"/>
    <w:rsid w:val="0039512E"/>
    <w:rsid w:val="00395A11"/>
    <w:rsid w:val="003A0CA4"/>
    <w:rsid w:val="003A4F77"/>
    <w:rsid w:val="003B2CC9"/>
    <w:rsid w:val="003B3349"/>
    <w:rsid w:val="003B390E"/>
    <w:rsid w:val="003B64CB"/>
    <w:rsid w:val="003B6DA1"/>
    <w:rsid w:val="003B6ECA"/>
    <w:rsid w:val="003B6FC5"/>
    <w:rsid w:val="003C15F6"/>
    <w:rsid w:val="003C240D"/>
    <w:rsid w:val="003C309A"/>
    <w:rsid w:val="003C4A99"/>
    <w:rsid w:val="003D31F1"/>
    <w:rsid w:val="003D4548"/>
    <w:rsid w:val="003E26AB"/>
    <w:rsid w:val="003E331B"/>
    <w:rsid w:val="003E3D4A"/>
    <w:rsid w:val="003E5A89"/>
    <w:rsid w:val="003E7B79"/>
    <w:rsid w:val="003F5299"/>
    <w:rsid w:val="003F74E5"/>
    <w:rsid w:val="004032DB"/>
    <w:rsid w:val="00403EB2"/>
    <w:rsid w:val="004047AA"/>
    <w:rsid w:val="00404945"/>
    <w:rsid w:val="00405201"/>
    <w:rsid w:val="004119A8"/>
    <w:rsid w:val="00417106"/>
    <w:rsid w:val="00425E51"/>
    <w:rsid w:val="0042612F"/>
    <w:rsid w:val="00431123"/>
    <w:rsid w:val="00437DB1"/>
    <w:rsid w:val="00441000"/>
    <w:rsid w:val="00441F29"/>
    <w:rsid w:val="00441FE3"/>
    <w:rsid w:val="00444A63"/>
    <w:rsid w:val="00450AA6"/>
    <w:rsid w:val="00452512"/>
    <w:rsid w:val="00452CFD"/>
    <w:rsid w:val="00453CE0"/>
    <w:rsid w:val="004544DF"/>
    <w:rsid w:val="00463AB2"/>
    <w:rsid w:val="004750C1"/>
    <w:rsid w:val="004768E8"/>
    <w:rsid w:val="00476A0C"/>
    <w:rsid w:val="00477409"/>
    <w:rsid w:val="0048119B"/>
    <w:rsid w:val="00481C77"/>
    <w:rsid w:val="00485772"/>
    <w:rsid w:val="00485AA9"/>
    <w:rsid w:val="00486080"/>
    <w:rsid w:val="0049319A"/>
    <w:rsid w:val="00494DB3"/>
    <w:rsid w:val="00495A69"/>
    <w:rsid w:val="004966AD"/>
    <w:rsid w:val="004A0A6B"/>
    <w:rsid w:val="004A0F6A"/>
    <w:rsid w:val="004B1DCC"/>
    <w:rsid w:val="004B2530"/>
    <w:rsid w:val="004B389C"/>
    <w:rsid w:val="004B3D01"/>
    <w:rsid w:val="004B5787"/>
    <w:rsid w:val="004B7754"/>
    <w:rsid w:val="004C36AF"/>
    <w:rsid w:val="004C4469"/>
    <w:rsid w:val="004C586B"/>
    <w:rsid w:val="004C6065"/>
    <w:rsid w:val="004C6FFD"/>
    <w:rsid w:val="004C78C5"/>
    <w:rsid w:val="004D4484"/>
    <w:rsid w:val="004D6223"/>
    <w:rsid w:val="004E084D"/>
    <w:rsid w:val="004E2D89"/>
    <w:rsid w:val="004E305C"/>
    <w:rsid w:val="004E3446"/>
    <w:rsid w:val="004E4A23"/>
    <w:rsid w:val="004E6160"/>
    <w:rsid w:val="004E6B90"/>
    <w:rsid w:val="004F0068"/>
    <w:rsid w:val="004F0262"/>
    <w:rsid w:val="004F0BEC"/>
    <w:rsid w:val="004F4AC5"/>
    <w:rsid w:val="004F5686"/>
    <w:rsid w:val="00501A9D"/>
    <w:rsid w:val="005066B5"/>
    <w:rsid w:val="00514AC0"/>
    <w:rsid w:val="00515020"/>
    <w:rsid w:val="00520B78"/>
    <w:rsid w:val="00523B29"/>
    <w:rsid w:val="00523DF2"/>
    <w:rsid w:val="00524D94"/>
    <w:rsid w:val="00530113"/>
    <w:rsid w:val="00534733"/>
    <w:rsid w:val="0053720B"/>
    <w:rsid w:val="005462A1"/>
    <w:rsid w:val="00547B41"/>
    <w:rsid w:val="005514AE"/>
    <w:rsid w:val="00554688"/>
    <w:rsid w:val="00555D7F"/>
    <w:rsid w:val="00556410"/>
    <w:rsid w:val="005616DE"/>
    <w:rsid w:val="00561F97"/>
    <w:rsid w:val="00562F4C"/>
    <w:rsid w:val="0056655B"/>
    <w:rsid w:val="00570881"/>
    <w:rsid w:val="00572116"/>
    <w:rsid w:val="00572C71"/>
    <w:rsid w:val="00574F2F"/>
    <w:rsid w:val="00575B63"/>
    <w:rsid w:val="00576EF7"/>
    <w:rsid w:val="005829FE"/>
    <w:rsid w:val="00582A9B"/>
    <w:rsid w:val="0058530C"/>
    <w:rsid w:val="0058628A"/>
    <w:rsid w:val="00587822"/>
    <w:rsid w:val="005878F6"/>
    <w:rsid w:val="00593EC9"/>
    <w:rsid w:val="00596959"/>
    <w:rsid w:val="005A1B75"/>
    <w:rsid w:val="005A210B"/>
    <w:rsid w:val="005A7E87"/>
    <w:rsid w:val="005B0510"/>
    <w:rsid w:val="005B0804"/>
    <w:rsid w:val="005B09E3"/>
    <w:rsid w:val="005B0F21"/>
    <w:rsid w:val="005B2606"/>
    <w:rsid w:val="005B4BEA"/>
    <w:rsid w:val="005B6674"/>
    <w:rsid w:val="005B670F"/>
    <w:rsid w:val="005C565B"/>
    <w:rsid w:val="005C5B67"/>
    <w:rsid w:val="005C6245"/>
    <w:rsid w:val="005C76B4"/>
    <w:rsid w:val="005D05AB"/>
    <w:rsid w:val="005D0CC4"/>
    <w:rsid w:val="005D36CA"/>
    <w:rsid w:val="005D5313"/>
    <w:rsid w:val="005E2BCD"/>
    <w:rsid w:val="005E325F"/>
    <w:rsid w:val="005E4C90"/>
    <w:rsid w:val="005E5BE4"/>
    <w:rsid w:val="005E661A"/>
    <w:rsid w:val="005F2FC0"/>
    <w:rsid w:val="005F39DB"/>
    <w:rsid w:val="005F55BE"/>
    <w:rsid w:val="00600999"/>
    <w:rsid w:val="00602C02"/>
    <w:rsid w:val="0060360F"/>
    <w:rsid w:val="00606638"/>
    <w:rsid w:val="006066AA"/>
    <w:rsid w:val="006122F2"/>
    <w:rsid w:val="00612A3E"/>
    <w:rsid w:val="00612C7A"/>
    <w:rsid w:val="00613F3F"/>
    <w:rsid w:val="006140DB"/>
    <w:rsid w:val="00625EE0"/>
    <w:rsid w:val="00625FE6"/>
    <w:rsid w:val="00631D35"/>
    <w:rsid w:val="006327B2"/>
    <w:rsid w:val="006331C8"/>
    <w:rsid w:val="00637621"/>
    <w:rsid w:val="00641D3D"/>
    <w:rsid w:val="00645699"/>
    <w:rsid w:val="00646F26"/>
    <w:rsid w:val="006502B2"/>
    <w:rsid w:val="00650A87"/>
    <w:rsid w:val="00654AA1"/>
    <w:rsid w:val="006555ED"/>
    <w:rsid w:val="00656721"/>
    <w:rsid w:val="00657AC1"/>
    <w:rsid w:val="00657EB5"/>
    <w:rsid w:val="006605E2"/>
    <w:rsid w:val="006625C0"/>
    <w:rsid w:val="006644A7"/>
    <w:rsid w:val="00666085"/>
    <w:rsid w:val="00667C1A"/>
    <w:rsid w:val="0067098E"/>
    <w:rsid w:val="00671A70"/>
    <w:rsid w:val="00672A6F"/>
    <w:rsid w:val="0067544A"/>
    <w:rsid w:val="0068165D"/>
    <w:rsid w:val="00681D60"/>
    <w:rsid w:val="00682998"/>
    <w:rsid w:val="006842DA"/>
    <w:rsid w:val="006902BF"/>
    <w:rsid w:val="00694BEE"/>
    <w:rsid w:val="006A1ED7"/>
    <w:rsid w:val="006A2412"/>
    <w:rsid w:val="006A2C9D"/>
    <w:rsid w:val="006A3196"/>
    <w:rsid w:val="006B0694"/>
    <w:rsid w:val="006B2C23"/>
    <w:rsid w:val="006B7AA9"/>
    <w:rsid w:val="006B7B17"/>
    <w:rsid w:val="006C2500"/>
    <w:rsid w:val="006C48C7"/>
    <w:rsid w:val="006C6875"/>
    <w:rsid w:val="006C6EB1"/>
    <w:rsid w:val="006C7AE8"/>
    <w:rsid w:val="006D312D"/>
    <w:rsid w:val="006E0BCF"/>
    <w:rsid w:val="006E30C9"/>
    <w:rsid w:val="006E33FC"/>
    <w:rsid w:val="006E3403"/>
    <w:rsid w:val="006E3CA0"/>
    <w:rsid w:val="006E5A90"/>
    <w:rsid w:val="006F53F4"/>
    <w:rsid w:val="006F6B09"/>
    <w:rsid w:val="0070039C"/>
    <w:rsid w:val="00702EB4"/>
    <w:rsid w:val="007033D9"/>
    <w:rsid w:val="00704AD8"/>
    <w:rsid w:val="00705DFD"/>
    <w:rsid w:val="007069A8"/>
    <w:rsid w:val="00707D24"/>
    <w:rsid w:val="00713AE4"/>
    <w:rsid w:val="007156EF"/>
    <w:rsid w:val="00716004"/>
    <w:rsid w:val="007169AF"/>
    <w:rsid w:val="007206CD"/>
    <w:rsid w:val="0072251C"/>
    <w:rsid w:val="00723269"/>
    <w:rsid w:val="00727C74"/>
    <w:rsid w:val="00727EEF"/>
    <w:rsid w:val="00731536"/>
    <w:rsid w:val="00732AF2"/>
    <w:rsid w:val="007331F8"/>
    <w:rsid w:val="00735534"/>
    <w:rsid w:val="007358DE"/>
    <w:rsid w:val="00735E52"/>
    <w:rsid w:val="00736B16"/>
    <w:rsid w:val="007443CA"/>
    <w:rsid w:val="00744650"/>
    <w:rsid w:val="007464AB"/>
    <w:rsid w:val="00747591"/>
    <w:rsid w:val="00750F05"/>
    <w:rsid w:val="007547CF"/>
    <w:rsid w:val="00755DEA"/>
    <w:rsid w:val="00756E80"/>
    <w:rsid w:val="007577B2"/>
    <w:rsid w:val="007628BE"/>
    <w:rsid w:val="00762B2E"/>
    <w:rsid w:val="00766688"/>
    <w:rsid w:val="00770EC7"/>
    <w:rsid w:val="00771A2C"/>
    <w:rsid w:val="00774083"/>
    <w:rsid w:val="007746A7"/>
    <w:rsid w:val="00774FDF"/>
    <w:rsid w:val="007756DF"/>
    <w:rsid w:val="00782F36"/>
    <w:rsid w:val="007869BC"/>
    <w:rsid w:val="00787155"/>
    <w:rsid w:val="00787C77"/>
    <w:rsid w:val="00790644"/>
    <w:rsid w:val="0079161F"/>
    <w:rsid w:val="00795D13"/>
    <w:rsid w:val="007A264F"/>
    <w:rsid w:val="007A4866"/>
    <w:rsid w:val="007B032D"/>
    <w:rsid w:val="007B267F"/>
    <w:rsid w:val="007B4E4D"/>
    <w:rsid w:val="007B5C46"/>
    <w:rsid w:val="007B70CA"/>
    <w:rsid w:val="007B79DB"/>
    <w:rsid w:val="007B7BAC"/>
    <w:rsid w:val="007C23B2"/>
    <w:rsid w:val="007C2552"/>
    <w:rsid w:val="007C4C1D"/>
    <w:rsid w:val="007C58F2"/>
    <w:rsid w:val="007C60C1"/>
    <w:rsid w:val="007C6427"/>
    <w:rsid w:val="007D02E1"/>
    <w:rsid w:val="007D14B6"/>
    <w:rsid w:val="007D266A"/>
    <w:rsid w:val="007D3990"/>
    <w:rsid w:val="007D3B5A"/>
    <w:rsid w:val="007D4781"/>
    <w:rsid w:val="007D5C6F"/>
    <w:rsid w:val="007D6B94"/>
    <w:rsid w:val="007E3082"/>
    <w:rsid w:val="007E331D"/>
    <w:rsid w:val="007E3BE2"/>
    <w:rsid w:val="007E6267"/>
    <w:rsid w:val="007E6585"/>
    <w:rsid w:val="007F0B67"/>
    <w:rsid w:val="007F0FB9"/>
    <w:rsid w:val="007F1A39"/>
    <w:rsid w:val="007F77F4"/>
    <w:rsid w:val="00800665"/>
    <w:rsid w:val="00806CD3"/>
    <w:rsid w:val="008074BE"/>
    <w:rsid w:val="00807593"/>
    <w:rsid w:val="00811963"/>
    <w:rsid w:val="0081272A"/>
    <w:rsid w:val="008132AD"/>
    <w:rsid w:val="0081429E"/>
    <w:rsid w:val="008148FD"/>
    <w:rsid w:val="00821ABA"/>
    <w:rsid w:val="0082240E"/>
    <w:rsid w:val="00823535"/>
    <w:rsid w:val="00825797"/>
    <w:rsid w:val="0082718D"/>
    <w:rsid w:val="0083349A"/>
    <w:rsid w:val="008334C8"/>
    <w:rsid w:val="00835997"/>
    <w:rsid w:val="00835F4D"/>
    <w:rsid w:val="008426CA"/>
    <w:rsid w:val="00843E81"/>
    <w:rsid w:val="00845462"/>
    <w:rsid w:val="00851937"/>
    <w:rsid w:val="00856ABB"/>
    <w:rsid w:val="008608E0"/>
    <w:rsid w:val="00864ABF"/>
    <w:rsid w:val="00866274"/>
    <w:rsid w:val="00866366"/>
    <w:rsid w:val="00867B04"/>
    <w:rsid w:val="0087160D"/>
    <w:rsid w:val="00873AFD"/>
    <w:rsid w:val="00873C36"/>
    <w:rsid w:val="0087409D"/>
    <w:rsid w:val="00876067"/>
    <w:rsid w:val="00884332"/>
    <w:rsid w:val="00886912"/>
    <w:rsid w:val="008901AA"/>
    <w:rsid w:val="00890255"/>
    <w:rsid w:val="00890F12"/>
    <w:rsid w:val="0089179C"/>
    <w:rsid w:val="00895E0F"/>
    <w:rsid w:val="00896575"/>
    <w:rsid w:val="008967F5"/>
    <w:rsid w:val="008A05D0"/>
    <w:rsid w:val="008A0C1C"/>
    <w:rsid w:val="008A6D88"/>
    <w:rsid w:val="008A7D5D"/>
    <w:rsid w:val="008B19BD"/>
    <w:rsid w:val="008B4407"/>
    <w:rsid w:val="008B544A"/>
    <w:rsid w:val="008B77D5"/>
    <w:rsid w:val="008B77EB"/>
    <w:rsid w:val="008C15AF"/>
    <w:rsid w:val="008C74FA"/>
    <w:rsid w:val="008D5C30"/>
    <w:rsid w:val="008D6BDF"/>
    <w:rsid w:val="008E0DC5"/>
    <w:rsid w:val="008E280C"/>
    <w:rsid w:val="008E4CB2"/>
    <w:rsid w:val="008E5F82"/>
    <w:rsid w:val="008F0135"/>
    <w:rsid w:val="008F4611"/>
    <w:rsid w:val="008F67D5"/>
    <w:rsid w:val="00900C89"/>
    <w:rsid w:val="00900FD7"/>
    <w:rsid w:val="009028D9"/>
    <w:rsid w:val="00903B13"/>
    <w:rsid w:val="00904ACB"/>
    <w:rsid w:val="00905E81"/>
    <w:rsid w:val="00906E3C"/>
    <w:rsid w:val="00910C59"/>
    <w:rsid w:val="00911834"/>
    <w:rsid w:val="00912C72"/>
    <w:rsid w:val="0091479B"/>
    <w:rsid w:val="00916FE8"/>
    <w:rsid w:val="00920270"/>
    <w:rsid w:val="00922194"/>
    <w:rsid w:val="00923FC3"/>
    <w:rsid w:val="009258F7"/>
    <w:rsid w:val="009263CA"/>
    <w:rsid w:val="00926737"/>
    <w:rsid w:val="009278CB"/>
    <w:rsid w:val="00930F92"/>
    <w:rsid w:val="0093392C"/>
    <w:rsid w:val="00935F8E"/>
    <w:rsid w:val="00936308"/>
    <w:rsid w:val="00940BCB"/>
    <w:rsid w:val="00941FC7"/>
    <w:rsid w:val="00942E2B"/>
    <w:rsid w:val="0094308D"/>
    <w:rsid w:val="00945D12"/>
    <w:rsid w:val="00951AB6"/>
    <w:rsid w:val="00952B4D"/>
    <w:rsid w:val="009531A0"/>
    <w:rsid w:val="009533B4"/>
    <w:rsid w:val="00953F37"/>
    <w:rsid w:val="00957CB2"/>
    <w:rsid w:val="00957DF9"/>
    <w:rsid w:val="0096155D"/>
    <w:rsid w:val="0096570B"/>
    <w:rsid w:val="0096678C"/>
    <w:rsid w:val="00970D2E"/>
    <w:rsid w:val="0097327C"/>
    <w:rsid w:val="009736C0"/>
    <w:rsid w:val="0097668F"/>
    <w:rsid w:val="00976954"/>
    <w:rsid w:val="0098096C"/>
    <w:rsid w:val="00980AA0"/>
    <w:rsid w:val="00981A92"/>
    <w:rsid w:val="009827C6"/>
    <w:rsid w:val="009832EB"/>
    <w:rsid w:val="00984ECE"/>
    <w:rsid w:val="00985E78"/>
    <w:rsid w:val="0098794B"/>
    <w:rsid w:val="009905D6"/>
    <w:rsid w:val="009966AF"/>
    <w:rsid w:val="0099674A"/>
    <w:rsid w:val="009A03DB"/>
    <w:rsid w:val="009A1DDC"/>
    <w:rsid w:val="009A45C7"/>
    <w:rsid w:val="009A6B84"/>
    <w:rsid w:val="009A7F76"/>
    <w:rsid w:val="009B2FB5"/>
    <w:rsid w:val="009B304C"/>
    <w:rsid w:val="009B33B9"/>
    <w:rsid w:val="009B4B8B"/>
    <w:rsid w:val="009B4F57"/>
    <w:rsid w:val="009B7ED9"/>
    <w:rsid w:val="009C32D0"/>
    <w:rsid w:val="009C5BA0"/>
    <w:rsid w:val="009C74A1"/>
    <w:rsid w:val="009D460D"/>
    <w:rsid w:val="009D5847"/>
    <w:rsid w:val="009D5865"/>
    <w:rsid w:val="009E05CD"/>
    <w:rsid w:val="009E1A72"/>
    <w:rsid w:val="009E4F85"/>
    <w:rsid w:val="009E511B"/>
    <w:rsid w:val="009E51C9"/>
    <w:rsid w:val="009F1EFE"/>
    <w:rsid w:val="009F2CE4"/>
    <w:rsid w:val="009F42E1"/>
    <w:rsid w:val="009F49EA"/>
    <w:rsid w:val="009F5659"/>
    <w:rsid w:val="009F66B1"/>
    <w:rsid w:val="00A02887"/>
    <w:rsid w:val="00A02E57"/>
    <w:rsid w:val="00A041CA"/>
    <w:rsid w:val="00A057C4"/>
    <w:rsid w:val="00A05A4D"/>
    <w:rsid w:val="00A05AB4"/>
    <w:rsid w:val="00A070D7"/>
    <w:rsid w:val="00A073B4"/>
    <w:rsid w:val="00A12E09"/>
    <w:rsid w:val="00A1747F"/>
    <w:rsid w:val="00A23DE3"/>
    <w:rsid w:val="00A25EB2"/>
    <w:rsid w:val="00A265E3"/>
    <w:rsid w:val="00A30AC2"/>
    <w:rsid w:val="00A37446"/>
    <w:rsid w:val="00A403AD"/>
    <w:rsid w:val="00A40E60"/>
    <w:rsid w:val="00A45588"/>
    <w:rsid w:val="00A4607A"/>
    <w:rsid w:val="00A46F14"/>
    <w:rsid w:val="00A529FA"/>
    <w:rsid w:val="00A52B09"/>
    <w:rsid w:val="00A53F9D"/>
    <w:rsid w:val="00A54730"/>
    <w:rsid w:val="00A54BD1"/>
    <w:rsid w:val="00A56096"/>
    <w:rsid w:val="00A56440"/>
    <w:rsid w:val="00A62A90"/>
    <w:rsid w:val="00A62E0B"/>
    <w:rsid w:val="00A63491"/>
    <w:rsid w:val="00A6553E"/>
    <w:rsid w:val="00A7029E"/>
    <w:rsid w:val="00A72488"/>
    <w:rsid w:val="00A7294C"/>
    <w:rsid w:val="00A74B98"/>
    <w:rsid w:val="00A75239"/>
    <w:rsid w:val="00A7623D"/>
    <w:rsid w:val="00A820F1"/>
    <w:rsid w:val="00A84DD3"/>
    <w:rsid w:val="00A84F93"/>
    <w:rsid w:val="00A8763D"/>
    <w:rsid w:val="00A961F0"/>
    <w:rsid w:val="00A9783D"/>
    <w:rsid w:val="00AA3077"/>
    <w:rsid w:val="00AA36BB"/>
    <w:rsid w:val="00AA6564"/>
    <w:rsid w:val="00AA6FCA"/>
    <w:rsid w:val="00AB067D"/>
    <w:rsid w:val="00AB2387"/>
    <w:rsid w:val="00AB3439"/>
    <w:rsid w:val="00AB346C"/>
    <w:rsid w:val="00AB37B5"/>
    <w:rsid w:val="00AB5A78"/>
    <w:rsid w:val="00AB671E"/>
    <w:rsid w:val="00AC333C"/>
    <w:rsid w:val="00AC37E0"/>
    <w:rsid w:val="00AC65C5"/>
    <w:rsid w:val="00AC7D27"/>
    <w:rsid w:val="00AD035C"/>
    <w:rsid w:val="00AD1EB6"/>
    <w:rsid w:val="00AD2EC9"/>
    <w:rsid w:val="00AD64A4"/>
    <w:rsid w:val="00AD6B3B"/>
    <w:rsid w:val="00AE018F"/>
    <w:rsid w:val="00AE0B67"/>
    <w:rsid w:val="00AE187B"/>
    <w:rsid w:val="00AE26F5"/>
    <w:rsid w:val="00AE33F8"/>
    <w:rsid w:val="00AE346D"/>
    <w:rsid w:val="00AE3537"/>
    <w:rsid w:val="00AE3F49"/>
    <w:rsid w:val="00AF6044"/>
    <w:rsid w:val="00B00B27"/>
    <w:rsid w:val="00B012D9"/>
    <w:rsid w:val="00B0184D"/>
    <w:rsid w:val="00B02B0A"/>
    <w:rsid w:val="00B046E5"/>
    <w:rsid w:val="00B046EA"/>
    <w:rsid w:val="00B04D6D"/>
    <w:rsid w:val="00B123A6"/>
    <w:rsid w:val="00B12D7F"/>
    <w:rsid w:val="00B14DDB"/>
    <w:rsid w:val="00B14E7A"/>
    <w:rsid w:val="00B154B8"/>
    <w:rsid w:val="00B17054"/>
    <w:rsid w:val="00B201CC"/>
    <w:rsid w:val="00B220F3"/>
    <w:rsid w:val="00B2296C"/>
    <w:rsid w:val="00B26B8D"/>
    <w:rsid w:val="00B27007"/>
    <w:rsid w:val="00B302AD"/>
    <w:rsid w:val="00B308C0"/>
    <w:rsid w:val="00B331E0"/>
    <w:rsid w:val="00B344A6"/>
    <w:rsid w:val="00B35F7A"/>
    <w:rsid w:val="00B36DD4"/>
    <w:rsid w:val="00B412B4"/>
    <w:rsid w:val="00B44A64"/>
    <w:rsid w:val="00B45A77"/>
    <w:rsid w:val="00B461D5"/>
    <w:rsid w:val="00B51698"/>
    <w:rsid w:val="00B51D71"/>
    <w:rsid w:val="00B53C2C"/>
    <w:rsid w:val="00B5440A"/>
    <w:rsid w:val="00B60C31"/>
    <w:rsid w:val="00B6146B"/>
    <w:rsid w:val="00B62C42"/>
    <w:rsid w:val="00B64733"/>
    <w:rsid w:val="00B64CA2"/>
    <w:rsid w:val="00B64DE3"/>
    <w:rsid w:val="00B6681F"/>
    <w:rsid w:val="00B749AA"/>
    <w:rsid w:val="00B75F3E"/>
    <w:rsid w:val="00B777B1"/>
    <w:rsid w:val="00B820A7"/>
    <w:rsid w:val="00B84521"/>
    <w:rsid w:val="00B848E4"/>
    <w:rsid w:val="00B87A2E"/>
    <w:rsid w:val="00B91EC7"/>
    <w:rsid w:val="00B961F7"/>
    <w:rsid w:val="00B97C9F"/>
    <w:rsid w:val="00BA0180"/>
    <w:rsid w:val="00BA1457"/>
    <w:rsid w:val="00BA3009"/>
    <w:rsid w:val="00BA576C"/>
    <w:rsid w:val="00BA6559"/>
    <w:rsid w:val="00BB080A"/>
    <w:rsid w:val="00BB37B9"/>
    <w:rsid w:val="00BB3C67"/>
    <w:rsid w:val="00BB3D08"/>
    <w:rsid w:val="00BB7EC3"/>
    <w:rsid w:val="00BC07E0"/>
    <w:rsid w:val="00BC5A68"/>
    <w:rsid w:val="00BC6962"/>
    <w:rsid w:val="00BC7AE6"/>
    <w:rsid w:val="00BE1951"/>
    <w:rsid w:val="00BE2960"/>
    <w:rsid w:val="00BE4A26"/>
    <w:rsid w:val="00BE76AB"/>
    <w:rsid w:val="00C01CF5"/>
    <w:rsid w:val="00C021AC"/>
    <w:rsid w:val="00C02581"/>
    <w:rsid w:val="00C0288A"/>
    <w:rsid w:val="00C03E04"/>
    <w:rsid w:val="00C0560F"/>
    <w:rsid w:val="00C0602F"/>
    <w:rsid w:val="00C073F3"/>
    <w:rsid w:val="00C11339"/>
    <w:rsid w:val="00C161F8"/>
    <w:rsid w:val="00C16A4A"/>
    <w:rsid w:val="00C200DD"/>
    <w:rsid w:val="00C23624"/>
    <w:rsid w:val="00C26F58"/>
    <w:rsid w:val="00C3252E"/>
    <w:rsid w:val="00C34EE6"/>
    <w:rsid w:val="00C373AB"/>
    <w:rsid w:val="00C37980"/>
    <w:rsid w:val="00C40B1F"/>
    <w:rsid w:val="00C4149E"/>
    <w:rsid w:val="00C45D23"/>
    <w:rsid w:val="00C46D98"/>
    <w:rsid w:val="00C47727"/>
    <w:rsid w:val="00C50747"/>
    <w:rsid w:val="00C522B3"/>
    <w:rsid w:val="00C55047"/>
    <w:rsid w:val="00C57455"/>
    <w:rsid w:val="00C6051B"/>
    <w:rsid w:val="00C61B6B"/>
    <w:rsid w:val="00C62EFC"/>
    <w:rsid w:val="00C6503F"/>
    <w:rsid w:val="00C662E9"/>
    <w:rsid w:val="00C67E4A"/>
    <w:rsid w:val="00C71CFC"/>
    <w:rsid w:val="00C72800"/>
    <w:rsid w:val="00C72A49"/>
    <w:rsid w:val="00C74028"/>
    <w:rsid w:val="00C742E6"/>
    <w:rsid w:val="00C75E37"/>
    <w:rsid w:val="00C818D1"/>
    <w:rsid w:val="00C81A70"/>
    <w:rsid w:val="00C849C1"/>
    <w:rsid w:val="00C90C4E"/>
    <w:rsid w:val="00C93A6F"/>
    <w:rsid w:val="00C96485"/>
    <w:rsid w:val="00C96BBC"/>
    <w:rsid w:val="00CA03C6"/>
    <w:rsid w:val="00CA1CB4"/>
    <w:rsid w:val="00CA2306"/>
    <w:rsid w:val="00CA2BE4"/>
    <w:rsid w:val="00CA3640"/>
    <w:rsid w:val="00CA5EBC"/>
    <w:rsid w:val="00CA69F1"/>
    <w:rsid w:val="00CA7799"/>
    <w:rsid w:val="00CB0FC2"/>
    <w:rsid w:val="00CB1845"/>
    <w:rsid w:val="00CB1FBD"/>
    <w:rsid w:val="00CB2350"/>
    <w:rsid w:val="00CB30FB"/>
    <w:rsid w:val="00CB5F9B"/>
    <w:rsid w:val="00CB6E5F"/>
    <w:rsid w:val="00CB74DA"/>
    <w:rsid w:val="00CC7C0D"/>
    <w:rsid w:val="00CD31B6"/>
    <w:rsid w:val="00CD50AB"/>
    <w:rsid w:val="00CD7729"/>
    <w:rsid w:val="00CE11E4"/>
    <w:rsid w:val="00CE43C1"/>
    <w:rsid w:val="00CE4E66"/>
    <w:rsid w:val="00CF042D"/>
    <w:rsid w:val="00CF2D0C"/>
    <w:rsid w:val="00CF3955"/>
    <w:rsid w:val="00D02605"/>
    <w:rsid w:val="00D12711"/>
    <w:rsid w:val="00D13214"/>
    <w:rsid w:val="00D1662F"/>
    <w:rsid w:val="00D17D03"/>
    <w:rsid w:val="00D204B7"/>
    <w:rsid w:val="00D2050E"/>
    <w:rsid w:val="00D27AC5"/>
    <w:rsid w:val="00D36C3E"/>
    <w:rsid w:val="00D37293"/>
    <w:rsid w:val="00D41C78"/>
    <w:rsid w:val="00D45B02"/>
    <w:rsid w:val="00D4635A"/>
    <w:rsid w:val="00D467EB"/>
    <w:rsid w:val="00D473EA"/>
    <w:rsid w:val="00D50B1A"/>
    <w:rsid w:val="00D512DE"/>
    <w:rsid w:val="00D523DA"/>
    <w:rsid w:val="00D535AE"/>
    <w:rsid w:val="00D56264"/>
    <w:rsid w:val="00D56566"/>
    <w:rsid w:val="00D57367"/>
    <w:rsid w:val="00D57A3A"/>
    <w:rsid w:val="00D61A37"/>
    <w:rsid w:val="00D64782"/>
    <w:rsid w:val="00D6604A"/>
    <w:rsid w:val="00D67278"/>
    <w:rsid w:val="00D67B8D"/>
    <w:rsid w:val="00D74196"/>
    <w:rsid w:val="00D7566D"/>
    <w:rsid w:val="00D76E20"/>
    <w:rsid w:val="00D76EF0"/>
    <w:rsid w:val="00D8125F"/>
    <w:rsid w:val="00D86D5E"/>
    <w:rsid w:val="00D90453"/>
    <w:rsid w:val="00D91117"/>
    <w:rsid w:val="00D91E2D"/>
    <w:rsid w:val="00D922B1"/>
    <w:rsid w:val="00D923CC"/>
    <w:rsid w:val="00DA29D8"/>
    <w:rsid w:val="00DA5F08"/>
    <w:rsid w:val="00DB055B"/>
    <w:rsid w:val="00DB150C"/>
    <w:rsid w:val="00DB22A5"/>
    <w:rsid w:val="00DB544B"/>
    <w:rsid w:val="00DB60D6"/>
    <w:rsid w:val="00DB7370"/>
    <w:rsid w:val="00DC139D"/>
    <w:rsid w:val="00DC1B9F"/>
    <w:rsid w:val="00DC2C8A"/>
    <w:rsid w:val="00DC4666"/>
    <w:rsid w:val="00DC4D2A"/>
    <w:rsid w:val="00DC571F"/>
    <w:rsid w:val="00DC6A1F"/>
    <w:rsid w:val="00DC71F3"/>
    <w:rsid w:val="00DD2477"/>
    <w:rsid w:val="00DD3F5E"/>
    <w:rsid w:val="00DD459B"/>
    <w:rsid w:val="00DD55DA"/>
    <w:rsid w:val="00DD5ADB"/>
    <w:rsid w:val="00DE019F"/>
    <w:rsid w:val="00DE0399"/>
    <w:rsid w:val="00DE0786"/>
    <w:rsid w:val="00DE271E"/>
    <w:rsid w:val="00DE569D"/>
    <w:rsid w:val="00DE6571"/>
    <w:rsid w:val="00DE7784"/>
    <w:rsid w:val="00DF0410"/>
    <w:rsid w:val="00DF39D8"/>
    <w:rsid w:val="00DF419A"/>
    <w:rsid w:val="00DF7F7A"/>
    <w:rsid w:val="00E01FDA"/>
    <w:rsid w:val="00E03C5A"/>
    <w:rsid w:val="00E04B7F"/>
    <w:rsid w:val="00E0531A"/>
    <w:rsid w:val="00E10342"/>
    <w:rsid w:val="00E117F3"/>
    <w:rsid w:val="00E13F41"/>
    <w:rsid w:val="00E154A0"/>
    <w:rsid w:val="00E15729"/>
    <w:rsid w:val="00E179CF"/>
    <w:rsid w:val="00E202A8"/>
    <w:rsid w:val="00E229C2"/>
    <w:rsid w:val="00E232D1"/>
    <w:rsid w:val="00E2459C"/>
    <w:rsid w:val="00E24C1A"/>
    <w:rsid w:val="00E255B3"/>
    <w:rsid w:val="00E2653F"/>
    <w:rsid w:val="00E32C35"/>
    <w:rsid w:val="00E369CE"/>
    <w:rsid w:val="00E405FB"/>
    <w:rsid w:val="00E417D3"/>
    <w:rsid w:val="00E41948"/>
    <w:rsid w:val="00E43A8C"/>
    <w:rsid w:val="00E45331"/>
    <w:rsid w:val="00E45A2F"/>
    <w:rsid w:val="00E46978"/>
    <w:rsid w:val="00E46DA5"/>
    <w:rsid w:val="00E46E90"/>
    <w:rsid w:val="00E50A52"/>
    <w:rsid w:val="00E50CAC"/>
    <w:rsid w:val="00E564DA"/>
    <w:rsid w:val="00E574F6"/>
    <w:rsid w:val="00E608F3"/>
    <w:rsid w:val="00E60D6A"/>
    <w:rsid w:val="00E60FEA"/>
    <w:rsid w:val="00E63E82"/>
    <w:rsid w:val="00E65FAA"/>
    <w:rsid w:val="00E673A2"/>
    <w:rsid w:val="00E75276"/>
    <w:rsid w:val="00E75460"/>
    <w:rsid w:val="00E777DA"/>
    <w:rsid w:val="00E7794D"/>
    <w:rsid w:val="00E77BC6"/>
    <w:rsid w:val="00E77DE7"/>
    <w:rsid w:val="00E83E68"/>
    <w:rsid w:val="00E84A3B"/>
    <w:rsid w:val="00E868ED"/>
    <w:rsid w:val="00E903F8"/>
    <w:rsid w:val="00E913BA"/>
    <w:rsid w:val="00E94F30"/>
    <w:rsid w:val="00E95B86"/>
    <w:rsid w:val="00E95F76"/>
    <w:rsid w:val="00EA4749"/>
    <w:rsid w:val="00EA7FE0"/>
    <w:rsid w:val="00EB362B"/>
    <w:rsid w:val="00EB483F"/>
    <w:rsid w:val="00EB56CD"/>
    <w:rsid w:val="00EC1538"/>
    <w:rsid w:val="00EC22AC"/>
    <w:rsid w:val="00EC2B26"/>
    <w:rsid w:val="00EC5BB8"/>
    <w:rsid w:val="00EC5F29"/>
    <w:rsid w:val="00ED1508"/>
    <w:rsid w:val="00ED324B"/>
    <w:rsid w:val="00EE171A"/>
    <w:rsid w:val="00EE2F00"/>
    <w:rsid w:val="00EE7052"/>
    <w:rsid w:val="00EF0BFF"/>
    <w:rsid w:val="00EF1911"/>
    <w:rsid w:val="00EF225C"/>
    <w:rsid w:val="00EF2790"/>
    <w:rsid w:val="00EF5E12"/>
    <w:rsid w:val="00EF6431"/>
    <w:rsid w:val="00EF661D"/>
    <w:rsid w:val="00EF748B"/>
    <w:rsid w:val="00F01066"/>
    <w:rsid w:val="00F051B9"/>
    <w:rsid w:val="00F13454"/>
    <w:rsid w:val="00F15E89"/>
    <w:rsid w:val="00F16D36"/>
    <w:rsid w:val="00F17FBE"/>
    <w:rsid w:val="00F2236C"/>
    <w:rsid w:val="00F2704F"/>
    <w:rsid w:val="00F2742F"/>
    <w:rsid w:val="00F31123"/>
    <w:rsid w:val="00F32E45"/>
    <w:rsid w:val="00F34A3F"/>
    <w:rsid w:val="00F3686B"/>
    <w:rsid w:val="00F36D40"/>
    <w:rsid w:val="00F37E9A"/>
    <w:rsid w:val="00F40E3D"/>
    <w:rsid w:val="00F4275D"/>
    <w:rsid w:val="00F448BC"/>
    <w:rsid w:val="00F450E2"/>
    <w:rsid w:val="00F459B3"/>
    <w:rsid w:val="00F469C0"/>
    <w:rsid w:val="00F51365"/>
    <w:rsid w:val="00F54707"/>
    <w:rsid w:val="00F56713"/>
    <w:rsid w:val="00F57317"/>
    <w:rsid w:val="00F615EE"/>
    <w:rsid w:val="00F625D4"/>
    <w:rsid w:val="00F62C19"/>
    <w:rsid w:val="00F63035"/>
    <w:rsid w:val="00F63953"/>
    <w:rsid w:val="00F64C0F"/>
    <w:rsid w:val="00F6596B"/>
    <w:rsid w:val="00F65E15"/>
    <w:rsid w:val="00F7261E"/>
    <w:rsid w:val="00F74E91"/>
    <w:rsid w:val="00F76CC9"/>
    <w:rsid w:val="00F77F91"/>
    <w:rsid w:val="00F80390"/>
    <w:rsid w:val="00F8262B"/>
    <w:rsid w:val="00F83DB4"/>
    <w:rsid w:val="00F84804"/>
    <w:rsid w:val="00F90174"/>
    <w:rsid w:val="00F92D39"/>
    <w:rsid w:val="00F92EBD"/>
    <w:rsid w:val="00F94A51"/>
    <w:rsid w:val="00F95414"/>
    <w:rsid w:val="00FA1BE4"/>
    <w:rsid w:val="00FA5456"/>
    <w:rsid w:val="00FA5B2A"/>
    <w:rsid w:val="00FA68D9"/>
    <w:rsid w:val="00FA6FB3"/>
    <w:rsid w:val="00FB2B20"/>
    <w:rsid w:val="00FB4EDC"/>
    <w:rsid w:val="00FC2702"/>
    <w:rsid w:val="00FC2BEC"/>
    <w:rsid w:val="00FC4451"/>
    <w:rsid w:val="00FC58B3"/>
    <w:rsid w:val="00FC65BB"/>
    <w:rsid w:val="00FD08CC"/>
    <w:rsid w:val="00FD12DC"/>
    <w:rsid w:val="00FD65AE"/>
    <w:rsid w:val="00FE0520"/>
    <w:rsid w:val="00FE33E1"/>
    <w:rsid w:val="00FE6ADA"/>
    <w:rsid w:val="00FF2C58"/>
    <w:rsid w:val="00FF34D1"/>
    <w:rsid w:val="00FF54F5"/>
    <w:rsid w:val="00FF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1212C2"/>
  <w15:docId w15:val="{88EFA557-3987-417B-B615-57C2D2FAF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snapToGrid w:val="0"/>
      <w:sz w:val="24"/>
      <w:szCs w:val="24"/>
      <w:lang w:val="en-GB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val="fr-FR"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A68D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val="fr-FR" w:eastAsia="en-US"/>
    </w:rPr>
  </w:style>
  <w:style w:type="paragraph" w:customStyle="1" w:styleId="JOBSTYLE">
    <w:name w:val="JOBSTYLE"/>
    <w:basedOn w:val="Normal"/>
    <w:pPr>
      <w:tabs>
        <w:tab w:val="left" w:pos="1134"/>
        <w:tab w:val="left" w:pos="6237"/>
      </w:tabs>
      <w:overflowPunct w:val="0"/>
      <w:autoSpaceDE w:val="0"/>
      <w:autoSpaceDN w:val="0"/>
      <w:adjustRightInd w:val="0"/>
      <w:snapToGrid/>
      <w:spacing w:line="960" w:lineRule="auto"/>
      <w:jc w:val="both"/>
      <w:textAlignment w:val="baseline"/>
    </w:pPr>
    <w:rPr>
      <w:rFonts w:eastAsia="Times New Roman"/>
      <w:snapToGrid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eastAsia="Times New Roman"/>
      <w:lang w:val="fr-FR" w:eastAsia="en-US"/>
    </w:rPr>
  </w:style>
  <w:style w:type="character" w:styleId="FootnoteReference">
    <w:name w:val="footnote reference"/>
    <w:aliases w:val="16 Point,Superscript 6 Point,BVI fnr,nota pié di pagina,ftref,Footnote Refernece,Footnote Reference Number,Footnotes refss,Footnote Reference1, BVI fnr,FO,footnote ref,(NECG) Footnote Reference,Ref,de nota al pie,Footnote,note bp"/>
    <w:basedOn w:val="DefaultParagraphFont"/>
    <w:link w:val="CarattereCharCarattereCarattereCharCarattereCharCarattereCharCharCharCharChar"/>
    <w:qFormat/>
    <w:rPr>
      <w:vertAlign w:val="superscript"/>
    </w:rPr>
  </w:style>
  <w:style w:type="paragraph" w:styleId="FootnoteText">
    <w:name w:val="footnote text"/>
    <w:basedOn w:val="Normal"/>
    <w:link w:val="FootnoteTextChar"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TIRETbul1cm">
    <w:name w:val="TIRET bul 1cm"/>
    <w:basedOn w:val="Normal"/>
    <w:pPr>
      <w:numPr>
        <w:numId w:val="12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paragraph" w:customStyle="1" w:styleId="Marge">
    <w:name w:val="Marge"/>
    <w:basedOn w:val="Par"/>
    <w:uiPriority w:val="99"/>
    <w:pPr>
      <w:ind w:firstLine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B7754"/>
    <w:rPr>
      <w:rFonts w:eastAsia="Times New Roman"/>
      <w:snapToGrid w:val="0"/>
      <w:sz w:val="24"/>
      <w:szCs w:val="24"/>
      <w:lang w:val="en-GB" w:eastAsia="en-US"/>
    </w:rPr>
  </w:style>
  <w:style w:type="table" w:styleId="TableGrid">
    <w:name w:val="Table Grid"/>
    <w:basedOn w:val="TableNormal"/>
    <w:rsid w:val="004B7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835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35997"/>
    <w:rPr>
      <w:rFonts w:ascii="Tahoma" w:hAnsi="Tahoma" w:cs="Tahoma"/>
      <w:snapToGrid w:val="0"/>
      <w:sz w:val="16"/>
      <w:szCs w:val="16"/>
      <w:lang w:val="en-GB"/>
    </w:rPr>
  </w:style>
  <w:style w:type="character" w:styleId="Hyperlink">
    <w:name w:val="Hyperlink"/>
    <w:basedOn w:val="DefaultParagraphFont"/>
    <w:rsid w:val="001A29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8F46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46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F4611"/>
    <w:rPr>
      <w:snapToGrid w:val="0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F4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F4611"/>
    <w:rPr>
      <w:b/>
      <w:bCs/>
      <w:snapToGrid w:val="0"/>
      <w:lang w:val="en-GB"/>
    </w:rPr>
  </w:style>
  <w:style w:type="paragraph" w:customStyle="1" w:styleId="Default">
    <w:name w:val="Default"/>
    <w:rsid w:val="00D76E20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48E4"/>
    <w:rPr>
      <w:color w:val="605E5C"/>
      <w:shd w:val="clear" w:color="auto" w:fill="E1DFDD"/>
    </w:rPr>
  </w:style>
  <w:style w:type="character" w:customStyle="1" w:styleId="Heading7Char">
    <w:name w:val="Heading 7 Char"/>
    <w:basedOn w:val="DefaultParagraphFont"/>
    <w:link w:val="Heading7"/>
    <w:semiHidden/>
    <w:rsid w:val="00FA68D9"/>
    <w:rPr>
      <w:rFonts w:asciiTheme="majorHAnsi" w:eastAsiaTheme="majorEastAsia" w:hAnsiTheme="majorHAnsi" w:cstheme="majorBidi"/>
      <w:i/>
      <w:iCs/>
      <w:snapToGrid w:val="0"/>
      <w:color w:val="243F60" w:themeColor="accent1" w:themeShade="7F"/>
      <w:sz w:val="24"/>
      <w:szCs w:val="24"/>
      <w:lang w:val="en-GB"/>
    </w:rPr>
  </w:style>
  <w:style w:type="paragraph" w:customStyle="1" w:styleId="CarattereCharCarattereCarattereCharCarattereCharCarattereCharCharCharCharChar">
    <w:name w:val="Carattere Char Carattere Carattere Char Carattere Char Carattere Char Char Char Char Char"/>
    <w:aliases w:val="Footnote Reference Char Char Char Char Char Char Char Char Char Char Char Char Char Char Char Char Char,footnote number Char Char"/>
    <w:basedOn w:val="Normal"/>
    <w:link w:val="FootnoteReference"/>
    <w:rsid w:val="007C4C1D"/>
    <w:pPr>
      <w:tabs>
        <w:tab w:val="clear" w:pos="567"/>
      </w:tabs>
      <w:snapToGrid/>
      <w:spacing w:before="120" w:after="160" w:line="240" w:lineRule="exact"/>
    </w:pPr>
    <w:rPr>
      <w:snapToGrid/>
      <w:sz w:val="20"/>
      <w:szCs w:val="20"/>
      <w:vertAlign w:val="superscript"/>
      <w:lang w:val="fr-FR"/>
    </w:rPr>
  </w:style>
  <w:style w:type="paragraph" w:styleId="ListParagraph">
    <w:name w:val="List Paragraph"/>
    <w:basedOn w:val="Normal"/>
    <w:link w:val="ListParagraphChar"/>
    <w:uiPriority w:val="34"/>
    <w:qFormat/>
    <w:rsid w:val="009C5BA0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653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B67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13493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547B41"/>
    <w:rPr>
      <w:snapToGrid w:val="0"/>
      <w:sz w:val="24"/>
      <w:szCs w:val="24"/>
      <w:lang w:val="en-GB"/>
    </w:rPr>
  </w:style>
  <w:style w:type="paragraph" w:customStyle="1" w:styleId="Style1">
    <w:name w:val="Style1"/>
    <w:basedOn w:val="ListParagraph"/>
    <w:link w:val="Style1Char"/>
    <w:qFormat/>
    <w:rsid w:val="00115326"/>
    <w:pPr>
      <w:numPr>
        <w:numId w:val="23"/>
      </w:numPr>
      <w:tabs>
        <w:tab w:val="clear" w:pos="567"/>
        <w:tab w:val="left" w:pos="709"/>
      </w:tabs>
      <w:snapToGrid/>
      <w:spacing w:after="240"/>
      <w:contextualSpacing w:val="0"/>
      <w:jc w:val="both"/>
    </w:pPr>
    <w:rPr>
      <w:rFonts w:ascii="Arial" w:eastAsia="Times New Roman" w:hAnsi="Arial" w:cs="Arial"/>
      <w:bCs/>
      <w:sz w:val="22"/>
      <w:szCs w:val="22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15326"/>
    <w:rPr>
      <w:snapToGrid w:val="0"/>
      <w:sz w:val="24"/>
      <w:szCs w:val="24"/>
      <w:lang w:val="en-GB"/>
    </w:rPr>
  </w:style>
  <w:style w:type="character" w:customStyle="1" w:styleId="Style1Char">
    <w:name w:val="Style1 Char"/>
    <w:basedOn w:val="ListParagraphChar"/>
    <w:link w:val="Style1"/>
    <w:rsid w:val="00115326"/>
    <w:rPr>
      <w:rFonts w:ascii="Arial" w:eastAsia="Times New Roman" w:hAnsi="Arial" w:cs="Arial"/>
      <w:bCs/>
      <w:snapToGrid w:val="0"/>
      <w:sz w:val="22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41C78"/>
    <w:rPr>
      <w:rFonts w:eastAsia="Times New Roman"/>
      <w:snapToGrid w:val="0"/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025564"/>
    <w:pPr>
      <w:tabs>
        <w:tab w:val="clear" w:pos="567"/>
      </w:tabs>
      <w:snapToGrid/>
      <w:spacing w:before="120"/>
      <w:jc w:val="both"/>
    </w:pPr>
    <w:rPr>
      <w:rFonts w:asciiTheme="minorHAnsi" w:eastAsia="Times New Roman" w:hAnsiTheme="minorHAnsi"/>
      <w:snapToGrid/>
      <w:szCs w:val="20"/>
      <w:lang w:eastAsia="fr-FR"/>
    </w:rPr>
  </w:style>
  <w:style w:type="character" w:customStyle="1" w:styleId="BodyTextChar">
    <w:name w:val="Body Text Char"/>
    <w:basedOn w:val="DefaultParagraphFont"/>
    <w:link w:val="BodyText"/>
    <w:rsid w:val="00025564"/>
    <w:rPr>
      <w:rFonts w:asciiTheme="minorHAnsi" w:eastAsia="Times New Roman" w:hAnsiTheme="minorHAnsi"/>
      <w:sz w:val="24"/>
      <w:lang w:val="en-GB" w:eastAsia="fr-FR"/>
    </w:rPr>
  </w:style>
  <w:style w:type="paragraph" w:customStyle="1" w:styleId="Point">
    <w:name w:val="Point"/>
    <w:basedOn w:val="Normal"/>
    <w:rsid w:val="00025564"/>
    <w:pPr>
      <w:numPr>
        <w:numId w:val="28"/>
      </w:numPr>
      <w:tabs>
        <w:tab w:val="clear" w:pos="567"/>
      </w:tabs>
      <w:snapToGrid/>
      <w:spacing w:before="80"/>
      <w:ind w:left="426" w:hanging="283"/>
      <w:jc w:val="both"/>
      <w:outlineLvl w:val="0"/>
    </w:pPr>
    <w:rPr>
      <w:rFonts w:asciiTheme="minorHAnsi" w:eastAsia="Times New Roman" w:hAnsiTheme="minorHAnsi"/>
      <w:snapToGrid/>
      <w:szCs w:val="20"/>
      <w:lang w:eastAsia="fr-FR"/>
    </w:rPr>
  </w:style>
  <w:style w:type="paragraph" w:customStyle="1" w:styleId="Titrealign">
    <w:name w:val="Titre aligné"/>
    <w:basedOn w:val="BodyText"/>
    <w:rsid w:val="00025564"/>
    <w:pPr>
      <w:spacing w:before="360"/>
      <w:jc w:val="left"/>
    </w:pPr>
    <w:rPr>
      <w:b/>
      <w:lang w:val="en-US"/>
    </w:rPr>
  </w:style>
  <w:style w:type="paragraph" w:customStyle="1" w:styleId="Titrecentr">
    <w:name w:val="Titre centré"/>
    <w:basedOn w:val="BodyText"/>
    <w:rsid w:val="00025564"/>
    <w:pPr>
      <w:jc w:val="center"/>
    </w:pPr>
    <w:rPr>
      <w:b/>
      <w:sz w:val="28"/>
    </w:rPr>
  </w:style>
  <w:style w:type="paragraph" w:customStyle="1" w:styleId="Tiret">
    <w:name w:val="Tiret"/>
    <w:basedOn w:val="Point"/>
    <w:rsid w:val="00025564"/>
    <w:pPr>
      <w:numPr>
        <w:numId w:val="29"/>
      </w:numPr>
      <w:tabs>
        <w:tab w:val="clear" w:pos="360"/>
      </w:tabs>
      <w:spacing w:before="0"/>
      <w:ind w:left="851" w:hanging="284"/>
      <w:outlineLvl w:val="1"/>
    </w:pPr>
  </w:style>
  <w:style w:type="character" w:styleId="PageNumber">
    <w:name w:val="page number"/>
    <w:basedOn w:val="DefaultParagraphFont"/>
    <w:rsid w:val="00025564"/>
  </w:style>
  <w:style w:type="character" w:customStyle="1" w:styleId="FootnoteTextChar">
    <w:name w:val="Footnote Text Char"/>
    <w:basedOn w:val="DefaultParagraphFont"/>
    <w:link w:val="FootnoteText"/>
    <w:rsid w:val="00025564"/>
    <w:rPr>
      <w:rFonts w:eastAsia="Times New Roman"/>
      <w:snapToGrid w:val="0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6555ED"/>
    <w:pPr>
      <w:tabs>
        <w:tab w:val="clear" w:pos="567"/>
      </w:tabs>
      <w:snapToGrid/>
      <w:spacing w:before="100" w:beforeAutospacing="1" w:after="100" w:afterAutospacing="1"/>
    </w:pPr>
    <w:rPr>
      <w:rFonts w:eastAsia="Times New Roman"/>
      <w:snapToGrid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4B529-46A8-41D4-826D-401AB0FEEA7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4391</Words>
  <Characters>29640</Characters>
  <Application>Microsoft Office Word</Application>
  <DocSecurity>0</DocSecurity>
  <Lines>247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Revised provisional agenda of the forty-seventh session of the Executive Council of the Intergovernmental Oceanographic Commission</vt:lpstr>
      <vt:lpstr>Revised provisional agenda of the forty-seventh session of the Executive Council of the Intergovernmental Oceanographic Commission</vt:lpstr>
    </vt:vector>
  </TitlesOfParts>
  <Company>UNESCO</Company>
  <LinksUpToDate>false</LinksUpToDate>
  <CharactersWithSpaces>33964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 provisional agenda of the forty-seventh session of the Executive Council of the Intergovernmental Oceanographic Commission</dc:title>
  <dc:subject>IOC/EC-XLVII/1 PROV. REV.</dc:subject>
  <dc:creator>UNESCO</dc:creator>
  <cp:keywords>1210.14E</cp:keywords>
  <cp:lastModifiedBy>Boned, Patrice</cp:lastModifiedBy>
  <cp:revision>3</cp:revision>
  <cp:lastPrinted>2022-05-02T09:16:00Z</cp:lastPrinted>
  <dcterms:created xsi:type="dcterms:W3CDTF">2025-04-29T16:39:00Z</dcterms:created>
  <dcterms:modified xsi:type="dcterms:W3CDTF">2025-05-23T08:21:00Z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 no">
    <vt:i4>85549</vt:i4>
  </property>
  <property fmtid="{D5CDD505-2E9C-101B-9397-08002B2CF9AE}" pid="3" name="JobDMS">
    <vt:r8>1210.14</vt:r8>
  </property>
  <property fmtid="{D5CDD505-2E9C-101B-9397-08002B2CF9AE}" pid="4" name="Language">
    <vt:lpwstr>E</vt:lpwstr>
  </property>
</Properties>
</file>