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BA42" w14:textId="77777777" w:rsidR="005A7A15" w:rsidRPr="00362F00" w:rsidRDefault="005A7A15" w:rsidP="005A7A15">
      <w:pPr>
        <w:pStyle w:val="Heading4"/>
        <w:jc w:val="both"/>
        <w:rPr>
          <w:rFonts w:ascii="Arial" w:hAnsi="Arial" w:cs="Arial"/>
          <w:color w:val="auto"/>
        </w:rPr>
      </w:pPr>
      <w:r w:rsidRPr="00362F00">
        <w:rPr>
          <w:rFonts w:ascii="Arial" w:hAnsi="Arial" w:cs="Arial"/>
          <w:color w:val="auto"/>
        </w:rPr>
        <w:t>Purpose and Strategic Context</w:t>
      </w:r>
    </w:p>
    <w:p w14:paraId="20DB33B8" w14:textId="77777777" w:rsidR="005A7A15" w:rsidRPr="005A7A15" w:rsidRDefault="005A7A15" w:rsidP="005A7A15">
      <w:pPr>
        <w:pStyle w:val="NormalWeb"/>
        <w:jc w:val="both"/>
        <w:rPr>
          <w:rFonts w:ascii="Arial" w:hAnsi="Arial" w:cs="Arial"/>
          <w:sz w:val="22"/>
          <w:szCs w:val="22"/>
        </w:rPr>
      </w:pPr>
      <w:r w:rsidRPr="005A7A15">
        <w:rPr>
          <w:rFonts w:ascii="Arial" w:hAnsi="Arial" w:cs="Arial"/>
          <w:sz w:val="22"/>
          <w:szCs w:val="22"/>
        </w:rPr>
        <w:t xml:space="preserve">This agenda item provides a high-level platform for IOCAFRICA partners to share strategic updates on their ocean-related work, with a focus on strengthening collaboration and advancing shared regional priorities. Held as a "tour de table," this session will enable partners to deliver </w:t>
      </w:r>
      <w:r w:rsidRPr="005A7A15">
        <w:rPr>
          <w:rStyle w:val="Strong"/>
          <w:rFonts w:ascii="Arial" w:eastAsiaTheme="majorEastAsia" w:hAnsi="Arial" w:cs="Arial"/>
          <w:sz w:val="22"/>
          <w:szCs w:val="22"/>
        </w:rPr>
        <w:t>focused 5–</w:t>
      </w:r>
      <w:proofErr w:type="gramStart"/>
      <w:r w:rsidRPr="005A7A15">
        <w:rPr>
          <w:rStyle w:val="Strong"/>
          <w:rFonts w:ascii="Arial" w:eastAsiaTheme="majorEastAsia" w:hAnsi="Arial" w:cs="Arial"/>
          <w:sz w:val="22"/>
          <w:szCs w:val="22"/>
        </w:rPr>
        <w:t>7 minute</w:t>
      </w:r>
      <w:proofErr w:type="gramEnd"/>
      <w:r w:rsidRPr="005A7A15">
        <w:rPr>
          <w:rStyle w:val="Strong"/>
          <w:rFonts w:ascii="Arial" w:eastAsiaTheme="majorEastAsia" w:hAnsi="Arial" w:cs="Arial"/>
          <w:sz w:val="22"/>
          <w:szCs w:val="22"/>
        </w:rPr>
        <w:t xml:space="preserve"> interventions</w:t>
      </w:r>
      <w:r w:rsidRPr="005A7A15">
        <w:rPr>
          <w:rFonts w:ascii="Arial" w:hAnsi="Arial" w:cs="Arial"/>
          <w:sz w:val="22"/>
          <w:szCs w:val="22"/>
        </w:rPr>
        <w:t xml:space="preserve"> that inform IOCAFRICA Member States of ongoing and emerging initiatives, foster alignment with the </w:t>
      </w:r>
      <w:r w:rsidRPr="005A7A15">
        <w:rPr>
          <w:rStyle w:val="Strong"/>
          <w:rFonts w:ascii="Arial" w:eastAsiaTheme="majorEastAsia" w:hAnsi="Arial" w:cs="Arial"/>
          <w:sz w:val="22"/>
          <w:szCs w:val="22"/>
        </w:rPr>
        <w:t>Ocean Decade Africa Roadmap</w:t>
      </w:r>
      <w:r w:rsidRPr="005A7A15">
        <w:rPr>
          <w:rFonts w:ascii="Arial" w:hAnsi="Arial" w:cs="Arial"/>
          <w:sz w:val="22"/>
          <w:szCs w:val="22"/>
        </w:rPr>
        <w:t xml:space="preserve">, the </w:t>
      </w:r>
      <w:r w:rsidRPr="005A7A15">
        <w:rPr>
          <w:rStyle w:val="Strong"/>
          <w:rFonts w:ascii="Arial" w:eastAsiaTheme="majorEastAsia" w:hAnsi="Arial" w:cs="Arial"/>
          <w:sz w:val="22"/>
          <w:szCs w:val="22"/>
        </w:rPr>
        <w:t>IOC Medium-Term Strategy (2022–2029)</w:t>
      </w:r>
      <w:r w:rsidRPr="005A7A15">
        <w:rPr>
          <w:rFonts w:ascii="Arial" w:hAnsi="Arial" w:cs="Arial"/>
          <w:sz w:val="22"/>
          <w:szCs w:val="22"/>
        </w:rPr>
        <w:t xml:space="preserve">, and the </w:t>
      </w:r>
      <w:r w:rsidRPr="005A7A15">
        <w:rPr>
          <w:rStyle w:val="Strong"/>
          <w:rFonts w:ascii="Arial" w:eastAsiaTheme="majorEastAsia" w:hAnsi="Arial" w:cs="Arial"/>
          <w:sz w:val="22"/>
          <w:szCs w:val="22"/>
        </w:rPr>
        <w:t>African Union Blue Economy Strategy</w:t>
      </w:r>
      <w:r w:rsidRPr="005A7A15">
        <w:rPr>
          <w:rFonts w:ascii="Arial" w:hAnsi="Arial" w:cs="Arial"/>
          <w:sz w:val="22"/>
          <w:szCs w:val="22"/>
        </w:rPr>
        <w:t>, and identify concrete opportunities for joint action.</w:t>
      </w:r>
    </w:p>
    <w:p w14:paraId="556049D9" w14:textId="31AF84BB" w:rsidR="005A7A15" w:rsidRPr="005A7A15" w:rsidRDefault="005A7A15" w:rsidP="005A4BA5">
      <w:pPr>
        <w:pStyle w:val="Heading4"/>
        <w:jc w:val="both"/>
        <w:rPr>
          <w:rFonts w:ascii="Arial" w:eastAsia="Times New Roman" w:hAnsi="Arial" w:cs="Arial"/>
          <w:i w:val="0"/>
          <w:iCs w:val="0"/>
          <w:color w:val="auto"/>
          <w:lang w:val="en-US" w:eastAsia="en-US"/>
        </w:rPr>
      </w:pPr>
      <w:r w:rsidRPr="005A7A15">
        <w:rPr>
          <w:rFonts w:ascii="Arial" w:eastAsia="Times New Roman" w:hAnsi="Arial" w:cs="Arial"/>
          <w:i w:val="0"/>
          <w:iCs w:val="0"/>
          <w:color w:val="auto"/>
          <w:lang w:val="en-US" w:eastAsia="en-US"/>
        </w:rPr>
        <w:t>This session is particularly important because it provides a unique opportunity to break silos and build a shared understanding of who is doing what in the African ocean space. The pace of development in the blue economy is accelerating across the continent, with a wide range of partners, institutions, and regional economic communities (RECs) launching ocean-related initiatives. However, many of these efforts are taking place in isolation from each other, resulting in duplication, inefficiencies, and missed opportunities for synergies.</w:t>
      </w:r>
      <w:r w:rsidR="005A4BA5">
        <w:rPr>
          <w:rFonts w:ascii="Arial" w:eastAsia="Times New Roman" w:hAnsi="Arial" w:cs="Arial"/>
          <w:i w:val="0"/>
          <w:iCs w:val="0"/>
          <w:color w:val="auto"/>
          <w:lang w:val="en-US" w:eastAsia="en-US"/>
        </w:rPr>
        <w:t xml:space="preserve"> </w:t>
      </w:r>
      <w:r w:rsidRPr="005A7A15">
        <w:rPr>
          <w:rFonts w:ascii="Arial" w:eastAsia="Times New Roman" w:hAnsi="Arial" w:cs="Arial"/>
          <w:i w:val="0"/>
          <w:iCs w:val="0"/>
          <w:color w:val="auto"/>
          <w:lang w:val="en-US" w:eastAsia="en-US"/>
        </w:rPr>
        <w:t>At the same time, ocean science in Africa is not advancing at the same pace as the blue economy. This growing mismatch presents a serious challenge: without a strong scientific foundation, blue economy initiatives may fail to deliver long-term environmental and socioeconomic benefits, or worse, could lead to resource overexploitation and ecological degradation. As the continent increasingly turns to the ocean for food security, climate resilience, and economic growth, the need for robust, policy-relevant, and accessible ocean science is more urgent than ever.</w:t>
      </w:r>
    </w:p>
    <w:p w14:paraId="2D800AA5" w14:textId="77777777" w:rsidR="005A4BA5" w:rsidRDefault="005A4BA5" w:rsidP="005A7A15">
      <w:pPr>
        <w:pStyle w:val="Heading4"/>
        <w:spacing w:before="0" w:after="0"/>
        <w:jc w:val="both"/>
        <w:rPr>
          <w:rFonts w:ascii="Arial" w:eastAsia="Times New Roman" w:hAnsi="Arial" w:cs="Arial"/>
          <w:i w:val="0"/>
          <w:iCs w:val="0"/>
          <w:color w:val="auto"/>
          <w:lang w:val="en-US" w:eastAsia="en-US"/>
        </w:rPr>
      </w:pPr>
    </w:p>
    <w:p w14:paraId="568804A9" w14:textId="11BD7D63" w:rsidR="005A7A15" w:rsidRDefault="005A7A15" w:rsidP="005A7A15">
      <w:pPr>
        <w:pStyle w:val="Heading4"/>
        <w:spacing w:before="0" w:after="0"/>
        <w:jc w:val="both"/>
        <w:rPr>
          <w:rFonts w:ascii="Arial" w:eastAsia="Times New Roman" w:hAnsi="Arial" w:cs="Arial"/>
          <w:i w:val="0"/>
          <w:iCs w:val="0"/>
          <w:color w:val="auto"/>
          <w:lang w:val="en-US" w:eastAsia="en-US"/>
        </w:rPr>
      </w:pPr>
      <w:r w:rsidRPr="005A7A15">
        <w:rPr>
          <w:rFonts w:ascii="Arial" w:eastAsia="Times New Roman" w:hAnsi="Arial" w:cs="Arial"/>
          <w:i w:val="0"/>
          <w:iCs w:val="0"/>
          <w:color w:val="auto"/>
          <w:lang w:val="en-US" w:eastAsia="en-US"/>
        </w:rPr>
        <w:t xml:space="preserve">This session is therefore a critical platform for fostering dialogue on strategic alignment, reducing fragmentation, and promoting coordinated programming. It will help to clarify entry points for collaboration, enable knowledge sharing, and ensure that science, governance, and investment streams are moving in tandem. In an era where the stakes for sustainable ocean governance are exceptionally high, this </w:t>
      </w:r>
      <w:proofErr w:type="gramStart"/>
      <w:r w:rsidRPr="005A7A15">
        <w:rPr>
          <w:rFonts w:ascii="Arial" w:eastAsia="Times New Roman" w:hAnsi="Arial" w:cs="Arial"/>
          <w:i w:val="0"/>
          <w:iCs w:val="0"/>
          <w:color w:val="auto"/>
          <w:lang w:val="en-US" w:eastAsia="en-US"/>
        </w:rPr>
        <w:t>tour</w:t>
      </w:r>
      <w:proofErr w:type="gramEnd"/>
      <w:r w:rsidRPr="005A7A15">
        <w:rPr>
          <w:rFonts w:ascii="Arial" w:eastAsia="Times New Roman" w:hAnsi="Arial" w:cs="Arial"/>
          <w:i w:val="0"/>
          <w:iCs w:val="0"/>
          <w:color w:val="auto"/>
          <w:lang w:val="en-US" w:eastAsia="en-US"/>
        </w:rPr>
        <w:t xml:space="preserve"> de table can unlock new synergies and help inform the design of joint initiatives that reflect both regional priorities and global frameworks.</w:t>
      </w:r>
    </w:p>
    <w:p w14:paraId="2137A75A" w14:textId="77777777" w:rsidR="005A7A15" w:rsidRPr="005A7A15" w:rsidRDefault="005A7A15" w:rsidP="005A7A15">
      <w:pPr>
        <w:rPr>
          <w:lang w:val="en-US" w:eastAsia="en-US"/>
        </w:rPr>
      </w:pPr>
    </w:p>
    <w:p w14:paraId="1C54D0A2" w14:textId="77777777" w:rsidR="005A4BA5" w:rsidRDefault="005A7A15" w:rsidP="005A7A15">
      <w:pPr>
        <w:pStyle w:val="Heading4"/>
        <w:jc w:val="both"/>
        <w:rPr>
          <w:rFonts w:ascii="Arial" w:eastAsia="Times New Roman" w:hAnsi="Arial" w:cs="Arial"/>
          <w:i w:val="0"/>
          <w:iCs w:val="0"/>
          <w:color w:val="auto"/>
          <w:lang w:val="en-US" w:eastAsia="en-US"/>
        </w:rPr>
      </w:pPr>
      <w:r w:rsidRPr="005A7A15">
        <w:rPr>
          <w:rFonts w:ascii="Arial" w:eastAsia="Times New Roman" w:hAnsi="Arial" w:cs="Arial"/>
          <w:i w:val="0"/>
          <w:iCs w:val="0"/>
          <w:color w:val="auto"/>
          <w:lang w:val="en-US" w:eastAsia="en-US"/>
        </w:rPr>
        <w:lastRenderedPageBreak/>
        <w:t>Ultimately, the session will support IOCAFRICA in strengthening its role as a coordination and integration hub—helping Member States, RECs, and partners co-design impactful, evidence-based, and inclusive solutions for ocean science, climate resilience, and the sustainable blue economy across Africa.</w:t>
      </w:r>
    </w:p>
    <w:p w14:paraId="758213F3" w14:textId="3583CCCE" w:rsidR="005A7A15" w:rsidRPr="00362F00" w:rsidRDefault="005A7A15" w:rsidP="005A7A15">
      <w:pPr>
        <w:pStyle w:val="Heading4"/>
        <w:jc w:val="both"/>
        <w:rPr>
          <w:rFonts w:ascii="Arial" w:hAnsi="Arial" w:cs="Arial"/>
          <w:color w:val="auto"/>
        </w:rPr>
      </w:pPr>
      <w:r w:rsidRPr="00362F00">
        <w:rPr>
          <w:rFonts w:ascii="Arial" w:hAnsi="Arial" w:cs="Arial"/>
          <w:color w:val="auto"/>
        </w:rPr>
        <w:t>Objectives of the Session</w:t>
      </w:r>
    </w:p>
    <w:p w14:paraId="1A445395" w14:textId="77777777" w:rsidR="005A7A15" w:rsidRPr="005A7A15" w:rsidRDefault="005A7A15" w:rsidP="005A7A15">
      <w:pPr>
        <w:pStyle w:val="NormalWeb"/>
        <w:numPr>
          <w:ilvl w:val="0"/>
          <w:numId w:val="10"/>
        </w:numPr>
        <w:jc w:val="both"/>
        <w:rPr>
          <w:rFonts w:ascii="Arial" w:hAnsi="Arial" w:cs="Arial"/>
          <w:sz w:val="22"/>
          <w:szCs w:val="22"/>
        </w:rPr>
      </w:pPr>
      <w:r w:rsidRPr="005A7A15">
        <w:rPr>
          <w:rFonts w:ascii="Arial" w:hAnsi="Arial" w:cs="Arial"/>
          <w:sz w:val="22"/>
          <w:szCs w:val="22"/>
        </w:rPr>
        <w:t xml:space="preserve">To update IOCAFRICA Member States on key ocean science, governance, and blue economy initiatives led by partners in </w:t>
      </w:r>
      <w:proofErr w:type="gramStart"/>
      <w:r w:rsidRPr="005A7A15">
        <w:rPr>
          <w:rFonts w:ascii="Arial" w:hAnsi="Arial" w:cs="Arial"/>
          <w:sz w:val="22"/>
          <w:szCs w:val="22"/>
        </w:rPr>
        <w:t>Africa;</w:t>
      </w:r>
      <w:proofErr w:type="gramEnd"/>
    </w:p>
    <w:p w14:paraId="4A4729CF" w14:textId="77777777" w:rsidR="005A7A15" w:rsidRPr="005A7A15" w:rsidRDefault="005A7A15" w:rsidP="005A7A15">
      <w:pPr>
        <w:pStyle w:val="NormalWeb"/>
        <w:numPr>
          <w:ilvl w:val="0"/>
          <w:numId w:val="10"/>
        </w:numPr>
        <w:jc w:val="both"/>
        <w:rPr>
          <w:rFonts w:ascii="Arial" w:hAnsi="Arial" w:cs="Arial"/>
          <w:sz w:val="22"/>
          <w:szCs w:val="22"/>
        </w:rPr>
      </w:pPr>
      <w:r w:rsidRPr="005A7A15">
        <w:rPr>
          <w:rFonts w:ascii="Arial" w:hAnsi="Arial" w:cs="Arial"/>
          <w:sz w:val="22"/>
          <w:szCs w:val="22"/>
        </w:rPr>
        <w:t xml:space="preserve">To identify strategic opportunities for joint programming, technical collaboration, data sharing, and co-investment in Africa’s marine and coastal </w:t>
      </w:r>
      <w:proofErr w:type="gramStart"/>
      <w:r w:rsidRPr="005A7A15">
        <w:rPr>
          <w:rFonts w:ascii="Arial" w:hAnsi="Arial" w:cs="Arial"/>
          <w:sz w:val="22"/>
          <w:szCs w:val="22"/>
        </w:rPr>
        <w:t>agenda;</w:t>
      </w:r>
      <w:proofErr w:type="gramEnd"/>
    </w:p>
    <w:p w14:paraId="271BCA42" w14:textId="77777777" w:rsidR="005A7A15" w:rsidRPr="005A7A15" w:rsidRDefault="005A7A15" w:rsidP="005A7A15">
      <w:pPr>
        <w:pStyle w:val="NormalWeb"/>
        <w:numPr>
          <w:ilvl w:val="0"/>
          <w:numId w:val="10"/>
        </w:numPr>
        <w:jc w:val="both"/>
        <w:rPr>
          <w:rFonts w:ascii="Arial" w:hAnsi="Arial" w:cs="Arial"/>
          <w:sz w:val="22"/>
          <w:szCs w:val="22"/>
        </w:rPr>
      </w:pPr>
      <w:r w:rsidRPr="005A7A15">
        <w:rPr>
          <w:rFonts w:ascii="Arial" w:hAnsi="Arial" w:cs="Arial"/>
          <w:sz w:val="22"/>
          <w:szCs w:val="22"/>
        </w:rPr>
        <w:t>To enhance policy coherence and operational synergies across intergovernmental, research, and civil society actors engaged in ocean-related work in the region.</w:t>
      </w:r>
    </w:p>
    <w:p w14:paraId="702B1A91" w14:textId="77777777" w:rsidR="005A7A15" w:rsidRPr="00362F00" w:rsidRDefault="005A7A15" w:rsidP="005A7A15">
      <w:pPr>
        <w:pStyle w:val="Heading4"/>
        <w:jc w:val="both"/>
        <w:rPr>
          <w:rFonts w:ascii="Arial" w:hAnsi="Arial" w:cs="Arial"/>
          <w:color w:val="auto"/>
        </w:rPr>
      </w:pPr>
      <w:r w:rsidRPr="00362F00">
        <w:rPr>
          <w:rFonts w:ascii="Arial" w:hAnsi="Arial" w:cs="Arial"/>
          <w:color w:val="auto"/>
        </w:rPr>
        <w:t>Suggested Structure for Partner Interventions (5–7 minutes each)</w:t>
      </w:r>
    </w:p>
    <w:p w14:paraId="40A72FA7" w14:textId="77777777" w:rsidR="005A7A15" w:rsidRPr="005A7A15" w:rsidRDefault="005A7A15" w:rsidP="005A7A15">
      <w:pPr>
        <w:pStyle w:val="NormalWeb"/>
        <w:jc w:val="both"/>
        <w:rPr>
          <w:rFonts w:ascii="Arial" w:hAnsi="Arial" w:cs="Arial"/>
          <w:sz w:val="22"/>
          <w:szCs w:val="22"/>
        </w:rPr>
      </w:pPr>
      <w:r w:rsidRPr="005A7A15">
        <w:rPr>
          <w:rFonts w:ascii="Arial" w:hAnsi="Arial" w:cs="Arial"/>
          <w:sz w:val="22"/>
          <w:szCs w:val="22"/>
        </w:rPr>
        <w:t>Partners are encouraged to tailor their remarks around three key guiding prompts:</w:t>
      </w:r>
    </w:p>
    <w:p w14:paraId="68DBE09F" w14:textId="77777777" w:rsidR="005A7A15" w:rsidRPr="005A7A15" w:rsidRDefault="005A7A15" w:rsidP="005A7A15">
      <w:pPr>
        <w:pStyle w:val="NormalWeb"/>
        <w:numPr>
          <w:ilvl w:val="0"/>
          <w:numId w:val="11"/>
        </w:numPr>
        <w:rPr>
          <w:rFonts w:ascii="Arial" w:hAnsi="Arial" w:cs="Arial"/>
          <w:sz w:val="22"/>
          <w:szCs w:val="22"/>
        </w:rPr>
      </w:pPr>
      <w:r w:rsidRPr="005A7A15">
        <w:rPr>
          <w:rStyle w:val="Strong"/>
          <w:rFonts w:ascii="Arial" w:eastAsiaTheme="majorEastAsia" w:hAnsi="Arial" w:cs="Arial"/>
          <w:sz w:val="22"/>
          <w:szCs w:val="22"/>
        </w:rPr>
        <w:t>Strategic Highlights</w:t>
      </w:r>
      <w:r w:rsidRPr="005A7A15">
        <w:rPr>
          <w:rFonts w:ascii="Arial" w:hAnsi="Arial" w:cs="Arial"/>
          <w:sz w:val="22"/>
          <w:szCs w:val="22"/>
        </w:rPr>
        <w:br/>
        <w:t>What is new or innovative in your ocean-related work in Africa? Share recent breakthroughs, flagship projects, or institutional shifts that are shaping your ocean agenda.</w:t>
      </w:r>
    </w:p>
    <w:p w14:paraId="5645347D" w14:textId="77777777" w:rsidR="005A7A15" w:rsidRPr="005A7A15" w:rsidRDefault="005A7A15" w:rsidP="005A7A15">
      <w:pPr>
        <w:pStyle w:val="NormalWeb"/>
        <w:numPr>
          <w:ilvl w:val="0"/>
          <w:numId w:val="11"/>
        </w:numPr>
        <w:rPr>
          <w:rFonts w:ascii="Arial" w:hAnsi="Arial" w:cs="Arial"/>
          <w:sz w:val="22"/>
          <w:szCs w:val="22"/>
        </w:rPr>
      </w:pPr>
      <w:r w:rsidRPr="005A7A15">
        <w:rPr>
          <w:rStyle w:val="Strong"/>
          <w:rFonts w:ascii="Arial" w:eastAsiaTheme="majorEastAsia" w:hAnsi="Arial" w:cs="Arial"/>
          <w:sz w:val="22"/>
          <w:szCs w:val="22"/>
        </w:rPr>
        <w:t>Challenges and Collaboration Opportunities</w:t>
      </w:r>
      <w:r w:rsidRPr="005A7A15">
        <w:rPr>
          <w:rFonts w:ascii="Arial" w:hAnsi="Arial" w:cs="Arial"/>
          <w:sz w:val="22"/>
          <w:szCs w:val="22"/>
        </w:rPr>
        <w:br/>
        <w:t>What key challenges are you encountering in delivering ocean-related activities, and what new opportunities are emerging for collaboration with IOCAFRICA? Consider data, capacity, governance, or policy alignment gaps.</w:t>
      </w:r>
    </w:p>
    <w:p w14:paraId="37FB7B7F" w14:textId="77777777" w:rsidR="005A7A15" w:rsidRPr="005A7A15" w:rsidRDefault="005A7A15" w:rsidP="005A7A15">
      <w:pPr>
        <w:pStyle w:val="NormalWeb"/>
        <w:numPr>
          <w:ilvl w:val="0"/>
          <w:numId w:val="11"/>
        </w:numPr>
        <w:rPr>
          <w:rFonts w:ascii="Arial" w:hAnsi="Arial" w:cs="Arial"/>
          <w:sz w:val="22"/>
          <w:szCs w:val="22"/>
        </w:rPr>
      </w:pPr>
      <w:proofErr w:type="gramStart"/>
      <w:r w:rsidRPr="005A7A15">
        <w:rPr>
          <w:rStyle w:val="Strong"/>
          <w:rFonts w:ascii="Arial" w:eastAsiaTheme="majorEastAsia" w:hAnsi="Arial" w:cs="Arial"/>
          <w:sz w:val="22"/>
          <w:szCs w:val="22"/>
        </w:rPr>
        <w:t>Future Outlook</w:t>
      </w:r>
      <w:proofErr w:type="gramEnd"/>
      <w:r w:rsidRPr="005A7A15">
        <w:rPr>
          <w:rStyle w:val="Strong"/>
          <w:rFonts w:ascii="Arial" w:eastAsiaTheme="majorEastAsia" w:hAnsi="Arial" w:cs="Arial"/>
          <w:sz w:val="22"/>
          <w:szCs w:val="22"/>
        </w:rPr>
        <w:t xml:space="preserve"> and Partnership Modalities</w:t>
      </w:r>
      <w:r w:rsidRPr="005A7A15">
        <w:rPr>
          <w:rFonts w:ascii="Arial" w:hAnsi="Arial" w:cs="Arial"/>
          <w:sz w:val="22"/>
          <w:szCs w:val="22"/>
        </w:rPr>
        <w:br/>
        <w:t>How can your organization collaborate with IOCAFRICA in concrete ways over the coming two years? Think of co-designed projects, shared platforms, technical assistance, capacity building, or regional reporting.</w:t>
      </w:r>
    </w:p>
    <w:p w14:paraId="45BD9A0B" w14:textId="77777777" w:rsidR="005A7A15" w:rsidRPr="00362F00" w:rsidRDefault="005A7A15" w:rsidP="005A7A15">
      <w:pPr>
        <w:pStyle w:val="Heading4"/>
        <w:jc w:val="both"/>
        <w:rPr>
          <w:rFonts w:ascii="Arial" w:hAnsi="Arial" w:cs="Arial"/>
          <w:color w:val="auto"/>
        </w:rPr>
      </w:pPr>
      <w:r w:rsidRPr="00362F00">
        <w:rPr>
          <w:rFonts w:ascii="Arial" w:hAnsi="Arial" w:cs="Arial"/>
          <w:color w:val="auto"/>
        </w:rPr>
        <w:t>Expected Output</w:t>
      </w:r>
    </w:p>
    <w:p w14:paraId="15CB68D9" w14:textId="77777777" w:rsidR="005A7A15" w:rsidRPr="005A7A15" w:rsidRDefault="005A7A15" w:rsidP="005A7A15">
      <w:pPr>
        <w:pStyle w:val="NormalWeb"/>
        <w:jc w:val="both"/>
        <w:rPr>
          <w:rFonts w:ascii="Arial" w:hAnsi="Arial" w:cs="Arial"/>
          <w:sz w:val="22"/>
          <w:szCs w:val="22"/>
        </w:rPr>
      </w:pPr>
      <w:r w:rsidRPr="005A7A15">
        <w:rPr>
          <w:rFonts w:ascii="Arial" w:hAnsi="Arial" w:cs="Arial"/>
          <w:sz w:val="22"/>
          <w:szCs w:val="22"/>
        </w:rPr>
        <w:t xml:space="preserve">A consolidated summary of key highlights and collaboration areas will be captured in the meeting report under Agenda Item 3.4.2. These insights will inform the planning of IOCAFRICA’s 2025–2027 work </w:t>
      </w:r>
      <w:proofErr w:type="spellStart"/>
      <w:r w:rsidRPr="005A7A15">
        <w:rPr>
          <w:rFonts w:ascii="Arial" w:hAnsi="Arial" w:cs="Arial"/>
          <w:sz w:val="22"/>
          <w:szCs w:val="22"/>
        </w:rPr>
        <w:t>programme</w:t>
      </w:r>
      <w:proofErr w:type="spellEnd"/>
      <w:r w:rsidRPr="005A7A15">
        <w:rPr>
          <w:rFonts w:ascii="Arial" w:hAnsi="Arial" w:cs="Arial"/>
          <w:sz w:val="22"/>
          <w:szCs w:val="22"/>
        </w:rPr>
        <w:t xml:space="preserve"> and its strategic engagement with regional and global partners.</w:t>
      </w:r>
    </w:p>
    <w:p w14:paraId="3781FFEF" w14:textId="77777777" w:rsidR="005A7A15" w:rsidRPr="005A7A15" w:rsidRDefault="005A7A15" w:rsidP="005A7A15">
      <w:pPr>
        <w:pStyle w:val="NormalWeb"/>
        <w:jc w:val="both"/>
        <w:rPr>
          <w:rFonts w:ascii="Arial" w:hAnsi="Arial" w:cs="Arial"/>
          <w:sz w:val="22"/>
          <w:szCs w:val="22"/>
        </w:rPr>
      </w:pPr>
      <w:r w:rsidRPr="005A7A15">
        <w:rPr>
          <w:rFonts w:ascii="Arial" w:hAnsi="Arial" w:cs="Arial"/>
          <w:sz w:val="22"/>
          <w:szCs w:val="22"/>
        </w:rPr>
        <w:t>Where appropriate, the IOCAFRICA Secretariat may follow up bilaterally with partners to operationalize identified areas of collaboration.</w:t>
      </w:r>
    </w:p>
    <w:p w14:paraId="11444905" w14:textId="77777777" w:rsidR="005A7A15" w:rsidRPr="00362F00" w:rsidRDefault="005A7A15" w:rsidP="005A7A15">
      <w:pPr>
        <w:pStyle w:val="Heading4"/>
        <w:jc w:val="both"/>
        <w:rPr>
          <w:rFonts w:ascii="Arial" w:hAnsi="Arial" w:cs="Arial"/>
          <w:color w:val="auto"/>
        </w:rPr>
      </w:pPr>
      <w:r w:rsidRPr="00362F00">
        <w:rPr>
          <w:rFonts w:ascii="Arial" w:hAnsi="Arial" w:cs="Arial"/>
          <w:color w:val="auto"/>
        </w:rPr>
        <w:t>Moderator’s Note</w:t>
      </w:r>
    </w:p>
    <w:p w14:paraId="03B20C74" w14:textId="77777777" w:rsidR="005A7A15" w:rsidRPr="005A7A15" w:rsidRDefault="005A7A15" w:rsidP="005A7A15">
      <w:pPr>
        <w:pStyle w:val="NormalWeb"/>
        <w:jc w:val="both"/>
        <w:rPr>
          <w:rFonts w:ascii="Arial" w:hAnsi="Arial" w:cs="Arial"/>
          <w:sz w:val="22"/>
          <w:szCs w:val="22"/>
        </w:rPr>
      </w:pPr>
      <w:r w:rsidRPr="005A7A15">
        <w:rPr>
          <w:rFonts w:ascii="Arial" w:hAnsi="Arial" w:cs="Arial"/>
          <w:sz w:val="22"/>
          <w:szCs w:val="22"/>
        </w:rPr>
        <w:t>The Chair or designated moderator will:</w:t>
      </w:r>
    </w:p>
    <w:p w14:paraId="60946421" w14:textId="77777777" w:rsidR="005A7A15" w:rsidRPr="005A7A15" w:rsidRDefault="005A7A15" w:rsidP="005A7A15">
      <w:pPr>
        <w:pStyle w:val="NormalWeb"/>
        <w:numPr>
          <w:ilvl w:val="0"/>
          <w:numId w:val="12"/>
        </w:numPr>
        <w:jc w:val="both"/>
        <w:rPr>
          <w:rFonts w:ascii="Arial" w:hAnsi="Arial" w:cs="Arial"/>
          <w:sz w:val="22"/>
          <w:szCs w:val="22"/>
        </w:rPr>
      </w:pPr>
      <w:r w:rsidRPr="005A7A15">
        <w:rPr>
          <w:rFonts w:ascii="Arial" w:hAnsi="Arial" w:cs="Arial"/>
          <w:sz w:val="22"/>
          <w:szCs w:val="22"/>
        </w:rPr>
        <w:t xml:space="preserve">Invite speakers in a pre-agreed sequence or alphabetical </w:t>
      </w:r>
      <w:proofErr w:type="gramStart"/>
      <w:r w:rsidRPr="005A7A15">
        <w:rPr>
          <w:rFonts w:ascii="Arial" w:hAnsi="Arial" w:cs="Arial"/>
          <w:sz w:val="22"/>
          <w:szCs w:val="22"/>
        </w:rPr>
        <w:t>order;</w:t>
      </w:r>
      <w:proofErr w:type="gramEnd"/>
    </w:p>
    <w:p w14:paraId="37D2235A" w14:textId="77777777" w:rsidR="005A7A15" w:rsidRPr="005A7A15" w:rsidRDefault="005A7A15" w:rsidP="005A7A15">
      <w:pPr>
        <w:pStyle w:val="NormalWeb"/>
        <w:numPr>
          <w:ilvl w:val="0"/>
          <w:numId w:val="12"/>
        </w:numPr>
        <w:jc w:val="both"/>
        <w:rPr>
          <w:rFonts w:ascii="Arial" w:hAnsi="Arial" w:cs="Arial"/>
          <w:sz w:val="22"/>
          <w:szCs w:val="22"/>
        </w:rPr>
      </w:pPr>
      <w:r w:rsidRPr="005A7A15">
        <w:rPr>
          <w:rFonts w:ascii="Arial" w:hAnsi="Arial" w:cs="Arial"/>
          <w:sz w:val="22"/>
          <w:szCs w:val="22"/>
        </w:rPr>
        <w:t xml:space="preserve">Request each partner to limit remarks to 5–7 </w:t>
      </w:r>
      <w:proofErr w:type="gramStart"/>
      <w:r w:rsidRPr="005A7A15">
        <w:rPr>
          <w:rFonts w:ascii="Arial" w:hAnsi="Arial" w:cs="Arial"/>
          <w:sz w:val="22"/>
          <w:szCs w:val="22"/>
        </w:rPr>
        <w:t>minutes;</w:t>
      </w:r>
      <w:proofErr w:type="gramEnd"/>
    </w:p>
    <w:p w14:paraId="13A2F39D" w14:textId="77777777" w:rsidR="005A7A15" w:rsidRPr="005A7A15" w:rsidRDefault="005A7A15" w:rsidP="005A7A15">
      <w:pPr>
        <w:pStyle w:val="NormalWeb"/>
        <w:numPr>
          <w:ilvl w:val="0"/>
          <w:numId w:val="12"/>
        </w:numPr>
        <w:jc w:val="both"/>
        <w:rPr>
          <w:rFonts w:ascii="Arial" w:hAnsi="Arial" w:cs="Arial"/>
          <w:sz w:val="22"/>
          <w:szCs w:val="22"/>
        </w:rPr>
      </w:pPr>
      <w:r w:rsidRPr="005A7A15">
        <w:rPr>
          <w:rFonts w:ascii="Arial" w:hAnsi="Arial" w:cs="Arial"/>
          <w:sz w:val="22"/>
          <w:szCs w:val="22"/>
        </w:rPr>
        <w:t xml:space="preserve">Summarize key takeaways at the end of the </w:t>
      </w:r>
      <w:proofErr w:type="gramStart"/>
      <w:r w:rsidRPr="005A7A15">
        <w:rPr>
          <w:rFonts w:ascii="Arial" w:hAnsi="Arial" w:cs="Arial"/>
          <w:sz w:val="22"/>
          <w:szCs w:val="22"/>
        </w:rPr>
        <w:t>roundtable;</w:t>
      </w:r>
      <w:proofErr w:type="gramEnd"/>
    </w:p>
    <w:p w14:paraId="6D687F30" w14:textId="77777777" w:rsidR="005A7A15" w:rsidRPr="005A7A15" w:rsidRDefault="005A7A15" w:rsidP="005A7A15">
      <w:pPr>
        <w:pStyle w:val="NormalWeb"/>
        <w:numPr>
          <w:ilvl w:val="0"/>
          <w:numId w:val="12"/>
        </w:numPr>
        <w:jc w:val="both"/>
        <w:rPr>
          <w:rFonts w:ascii="Arial" w:hAnsi="Arial" w:cs="Arial"/>
          <w:sz w:val="22"/>
          <w:szCs w:val="22"/>
        </w:rPr>
      </w:pPr>
      <w:r w:rsidRPr="005A7A15">
        <w:rPr>
          <w:rFonts w:ascii="Arial" w:hAnsi="Arial" w:cs="Arial"/>
          <w:sz w:val="22"/>
          <w:szCs w:val="22"/>
        </w:rPr>
        <w:t>Invite additional comments or responses from Member States if time allows.</w:t>
      </w:r>
    </w:p>
    <w:p w14:paraId="5CE43445" w14:textId="77777777" w:rsidR="005A7A15" w:rsidRPr="00362F00" w:rsidRDefault="005A7A15" w:rsidP="005A7A15">
      <w:pPr>
        <w:pStyle w:val="Heading4"/>
        <w:jc w:val="both"/>
        <w:rPr>
          <w:rFonts w:ascii="Arial" w:hAnsi="Arial" w:cs="Arial"/>
          <w:color w:val="auto"/>
        </w:rPr>
      </w:pPr>
      <w:r w:rsidRPr="00362F00">
        <w:rPr>
          <w:rFonts w:ascii="Arial" w:hAnsi="Arial" w:cs="Arial"/>
          <w:color w:val="auto"/>
        </w:rPr>
        <w:t>Suggested Participants</w:t>
      </w:r>
    </w:p>
    <w:p w14:paraId="39B62132" w14:textId="77777777" w:rsidR="005A7A15" w:rsidRPr="005A7A15" w:rsidRDefault="005A7A15" w:rsidP="005A7A15">
      <w:pPr>
        <w:pStyle w:val="NormalWeb"/>
        <w:jc w:val="both"/>
        <w:rPr>
          <w:rFonts w:ascii="Arial" w:hAnsi="Arial" w:cs="Arial"/>
          <w:sz w:val="22"/>
          <w:szCs w:val="22"/>
        </w:rPr>
      </w:pPr>
      <w:r w:rsidRPr="005A7A15">
        <w:rPr>
          <w:rFonts w:ascii="Arial" w:hAnsi="Arial" w:cs="Arial"/>
          <w:sz w:val="22"/>
          <w:szCs w:val="22"/>
        </w:rPr>
        <w:t>This session may include (but is not limited to) representatives from:</w:t>
      </w:r>
    </w:p>
    <w:p w14:paraId="1B2444BF" w14:textId="2FA38841" w:rsidR="005A7A15" w:rsidRPr="005A7A15" w:rsidRDefault="005A7A15" w:rsidP="005A7A15">
      <w:pPr>
        <w:pStyle w:val="NormalWeb"/>
        <w:numPr>
          <w:ilvl w:val="0"/>
          <w:numId w:val="13"/>
        </w:numPr>
        <w:jc w:val="both"/>
        <w:rPr>
          <w:rFonts w:ascii="Arial" w:hAnsi="Arial" w:cs="Arial"/>
          <w:sz w:val="22"/>
          <w:szCs w:val="22"/>
        </w:rPr>
      </w:pPr>
      <w:r w:rsidRPr="005A7A15">
        <w:rPr>
          <w:rFonts w:ascii="Arial" w:hAnsi="Arial" w:cs="Arial"/>
          <w:sz w:val="22"/>
          <w:szCs w:val="22"/>
        </w:rPr>
        <w:lastRenderedPageBreak/>
        <w:t>African Union Commission (Department of Agriculture, Rural Development, Blue Economy, and Sustainable Environment)</w:t>
      </w:r>
      <w:r w:rsidR="005A4BA5">
        <w:rPr>
          <w:rFonts w:ascii="Arial" w:hAnsi="Arial" w:cs="Arial"/>
          <w:sz w:val="22"/>
          <w:szCs w:val="22"/>
        </w:rPr>
        <w:t>, Regional Economic Communities (RECs)</w:t>
      </w:r>
    </w:p>
    <w:p w14:paraId="596E1519" w14:textId="71DADB25" w:rsidR="005A7A15" w:rsidRPr="005A7A15" w:rsidRDefault="005A4BA5" w:rsidP="005A7A15">
      <w:pPr>
        <w:pStyle w:val="NormalWeb"/>
        <w:numPr>
          <w:ilvl w:val="0"/>
          <w:numId w:val="13"/>
        </w:numPr>
        <w:jc w:val="both"/>
        <w:rPr>
          <w:rFonts w:ascii="Arial" w:hAnsi="Arial" w:cs="Arial"/>
          <w:sz w:val="22"/>
          <w:szCs w:val="22"/>
        </w:rPr>
      </w:pPr>
      <w:r>
        <w:rPr>
          <w:rFonts w:ascii="Arial" w:hAnsi="Arial" w:cs="Arial"/>
          <w:sz w:val="22"/>
          <w:szCs w:val="22"/>
        </w:rPr>
        <w:t>UN agencies</w:t>
      </w:r>
    </w:p>
    <w:p w14:paraId="6F2C4562" w14:textId="77777777" w:rsidR="005A7A15" w:rsidRPr="005A7A15" w:rsidRDefault="005A7A15" w:rsidP="005A7A15">
      <w:pPr>
        <w:pStyle w:val="NormalWeb"/>
        <w:numPr>
          <w:ilvl w:val="0"/>
          <w:numId w:val="13"/>
        </w:numPr>
        <w:jc w:val="both"/>
        <w:rPr>
          <w:rFonts w:ascii="Arial" w:hAnsi="Arial" w:cs="Arial"/>
          <w:sz w:val="22"/>
          <w:szCs w:val="22"/>
        </w:rPr>
      </w:pPr>
      <w:r w:rsidRPr="005A7A15">
        <w:rPr>
          <w:rFonts w:ascii="Arial" w:hAnsi="Arial" w:cs="Arial"/>
          <w:sz w:val="22"/>
          <w:szCs w:val="22"/>
        </w:rPr>
        <w:t>Regional Seas Conventions (Abidjan and Nairobi Conventions)</w:t>
      </w:r>
    </w:p>
    <w:p w14:paraId="106EB09F" w14:textId="77777777" w:rsidR="005A7A15" w:rsidRPr="005A7A15" w:rsidRDefault="005A7A15" w:rsidP="005A7A15">
      <w:pPr>
        <w:pStyle w:val="NormalWeb"/>
        <w:numPr>
          <w:ilvl w:val="0"/>
          <w:numId w:val="13"/>
        </w:numPr>
        <w:jc w:val="both"/>
        <w:rPr>
          <w:rFonts w:ascii="Arial" w:hAnsi="Arial" w:cs="Arial"/>
          <w:sz w:val="22"/>
          <w:szCs w:val="22"/>
        </w:rPr>
      </w:pPr>
      <w:r w:rsidRPr="005A7A15">
        <w:rPr>
          <w:rFonts w:ascii="Arial" w:hAnsi="Arial" w:cs="Arial"/>
          <w:sz w:val="22"/>
          <w:szCs w:val="22"/>
        </w:rPr>
        <w:t xml:space="preserve">Large Marine Ecosystem (LME) </w:t>
      </w:r>
      <w:proofErr w:type="spellStart"/>
      <w:r w:rsidRPr="005A7A15">
        <w:rPr>
          <w:rFonts w:ascii="Arial" w:hAnsi="Arial" w:cs="Arial"/>
          <w:sz w:val="22"/>
          <w:szCs w:val="22"/>
        </w:rPr>
        <w:t>programmes</w:t>
      </w:r>
      <w:proofErr w:type="spellEnd"/>
      <w:r w:rsidRPr="005A7A15">
        <w:rPr>
          <w:rFonts w:ascii="Arial" w:hAnsi="Arial" w:cs="Arial"/>
          <w:sz w:val="22"/>
          <w:szCs w:val="22"/>
        </w:rPr>
        <w:t xml:space="preserve"> (e.g. BCC, CCLME, ASCLME)</w:t>
      </w:r>
    </w:p>
    <w:p w14:paraId="017A8C85" w14:textId="77777777" w:rsidR="005A7A15" w:rsidRPr="005A7A15" w:rsidRDefault="005A7A15" w:rsidP="005A7A15">
      <w:pPr>
        <w:pStyle w:val="NormalWeb"/>
        <w:numPr>
          <w:ilvl w:val="0"/>
          <w:numId w:val="13"/>
        </w:numPr>
        <w:jc w:val="both"/>
        <w:rPr>
          <w:rFonts w:ascii="Arial" w:hAnsi="Arial" w:cs="Arial"/>
          <w:sz w:val="22"/>
          <w:szCs w:val="22"/>
        </w:rPr>
      </w:pPr>
      <w:r w:rsidRPr="005A7A15">
        <w:rPr>
          <w:rFonts w:ascii="Arial" w:hAnsi="Arial" w:cs="Arial"/>
          <w:sz w:val="22"/>
          <w:szCs w:val="22"/>
        </w:rPr>
        <w:t>Development cooperation agencies and international donors</w:t>
      </w:r>
    </w:p>
    <w:p w14:paraId="556D8C1A" w14:textId="77777777" w:rsidR="005A7A15" w:rsidRPr="005A7A15" w:rsidRDefault="005A7A15" w:rsidP="005A7A15">
      <w:pPr>
        <w:pStyle w:val="NormalWeb"/>
        <w:numPr>
          <w:ilvl w:val="0"/>
          <w:numId w:val="13"/>
        </w:numPr>
        <w:jc w:val="both"/>
        <w:rPr>
          <w:rFonts w:ascii="Arial" w:hAnsi="Arial" w:cs="Arial"/>
          <w:sz w:val="22"/>
          <w:szCs w:val="22"/>
        </w:rPr>
      </w:pPr>
      <w:r w:rsidRPr="005A7A15">
        <w:rPr>
          <w:rFonts w:ascii="Arial" w:hAnsi="Arial" w:cs="Arial"/>
          <w:sz w:val="22"/>
          <w:szCs w:val="22"/>
        </w:rPr>
        <w:t xml:space="preserve">Leading marine research </w:t>
      </w:r>
      <w:proofErr w:type="spellStart"/>
      <w:r w:rsidRPr="005A7A15">
        <w:rPr>
          <w:rFonts w:ascii="Arial" w:hAnsi="Arial" w:cs="Arial"/>
          <w:sz w:val="22"/>
          <w:szCs w:val="22"/>
        </w:rPr>
        <w:t>centres</w:t>
      </w:r>
      <w:proofErr w:type="spellEnd"/>
      <w:r w:rsidRPr="005A7A15">
        <w:rPr>
          <w:rFonts w:ascii="Arial" w:hAnsi="Arial" w:cs="Arial"/>
          <w:sz w:val="22"/>
          <w:szCs w:val="22"/>
        </w:rPr>
        <w:t>, academic networks, and NGOs</w:t>
      </w:r>
    </w:p>
    <w:p w14:paraId="66A4ADB7" w14:textId="77777777" w:rsidR="005A7A15" w:rsidRPr="005A7A15" w:rsidRDefault="005A7A15" w:rsidP="005A7A15">
      <w:pPr>
        <w:pStyle w:val="NormalWeb"/>
        <w:numPr>
          <w:ilvl w:val="0"/>
          <w:numId w:val="13"/>
        </w:numPr>
        <w:jc w:val="both"/>
        <w:rPr>
          <w:rFonts w:ascii="Arial" w:hAnsi="Arial" w:cs="Arial"/>
          <w:sz w:val="22"/>
          <w:szCs w:val="22"/>
        </w:rPr>
      </w:pPr>
      <w:r w:rsidRPr="005A7A15">
        <w:rPr>
          <w:rFonts w:ascii="Arial" w:hAnsi="Arial" w:cs="Arial"/>
          <w:sz w:val="22"/>
          <w:szCs w:val="22"/>
        </w:rPr>
        <w:t>Global and regional Ocean Decade coordination mechanisms</w:t>
      </w:r>
    </w:p>
    <w:p w14:paraId="5AFA9478" w14:textId="77777777" w:rsidR="00FC5854" w:rsidRPr="005A7A15" w:rsidRDefault="00FC5854" w:rsidP="005A7A15"/>
    <w:sectPr w:rsidR="00FC5854" w:rsidRPr="005A7A15" w:rsidSect="005A7A1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2D254" w14:textId="77777777" w:rsidR="004E589C" w:rsidRDefault="004E589C" w:rsidP="005A7A15">
      <w:pPr>
        <w:spacing w:after="0" w:line="240" w:lineRule="auto"/>
      </w:pPr>
      <w:r>
        <w:separator/>
      </w:r>
    </w:p>
  </w:endnote>
  <w:endnote w:type="continuationSeparator" w:id="0">
    <w:p w14:paraId="1B01A032" w14:textId="77777777" w:rsidR="004E589C" w:rsidRDefault="004E589C" w:rsidP="005A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8061" w14:textId="77777777" w:rsidR="00F229D8" w:rsidRDefault="00F22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641A" w14:textId="77777777" w:rsidR="004B33CE" w:rsidRDefault="004B33CE">
    <w:pPr>
      <w:pStyle w:val="Footer"/>
      <w:jc w:val="center"/>
    </w:pPr>
  </w:p>
  <w:p w14:paraId="2B5709B2" w14:textId="77777777" w:rsidR="004B33CE" w:rsidRDefault="004B3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5F9E" w14:textId="77777777" w:rsidR="00F229D8" w:rsidRDefault="00F22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C3E9" w14:textId="77777777" w:rsidR="004E589C" w:rsidRDefault="004E589C" w:rsidP="005A7A15">
      <w:pPr>
        <w:spacing w:after="0" w:line="240" w:lineRule="auto"/>
      </w:pPr>
      <w:r>
        <w:separator/>
      </w:r>
    </w:p>
  </w:footnote>
  <w:footnote w:type="continuationSeparator" w:id="0">
    <w:p w14:paraId="1747160E" w14:textId="77777777" w:rsidR="004E589C" w:rsidRDefault="004E589C" w:rsidP="005A7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E6B1" w14:textId="77777777" w:rsidR="004B33CE" w:rsidRPr="0097089C" w:rsidRDefault="00000000">
    <w:pPr>
      <w:pStyle w:val="Header"/>
      <w:rPr>
        <w:rFonts w:ascii="Arial" w:hAnsi="Arial" w:cs="Arial"/>
        <w:sz w:val="22"/>
        <w:szCs w:val="22"/>
      </w:rPr>
    </w:pPr>
    <w:r w:rsidRPr="0097089C">
      <w:rPr>
        <w:rFonts w:ascii="Arial" w:hAnsi="Arial" w:cs="Arial"/>
        <w:sz w:val="22"/>
        <w:szCs w:val="22"/>
      </w:rPr>
      <w:t>IOC</w:t>
    </w:r>
    <w:r>
      <w:rPr>
        <w:rFonts w:ascii="Arial" w:hAnsi="Arial" w:cs="Arial"/>
        <w:sz w:val="22"/>
        <w:szCs w:val="22"/>
      </w:rPr>
      <w:t>/A</w:t>
    </w:r>
    <w:r w:rsidRPr="0097089C">
      <w:rPr>
        <w:rFonts w:ascii="Arial" w:hAnsi="Arial" w:cs="Arial"/>
        <w:sz w:val="22"/>
        <w:szCs w:val="22"/>
      </w:rPr>
      <w:t>-32/4.</w:t>
    </w:r>
    <w:proofErr w:type="gramStart"/>
    <w:r>
      <w:rPr>
        <w:rFonts w:ascii="Arial" w:hAnsi="Arial" w:cs="Arial"/>
        <w:sz w:val="22"/>
        <w:szCs w:val="22"/>
      </w:rPr>
      <w:t>7</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32A0" w14:textId="6DA2A21D" w:rsidR="004B33CE" w:rsidRPr="0033641F" w:rsidRDefault="00000000" w:rsidP="0097089C">
    <w:pPr>
      <w:pStyle w:val="Header"/>
      <w:jc w:val="right"/>
      <w:rPr>
        <w:rFonts w:ascii="Arial" w:hAnsi="Arial" w:cs="Arial"/>
        <w:sz w:val="22"/>
        <w:szCs w:val="22"/>
      </w:rPr>
    </w:pPr>
    <w:r w:rsidRPr="0033641F">
      <w:rPr>
        <w:rFonts w:ascii="Arial" w:hAnsi="Arial" w:cs="Arial"/>
        <w:sz w:val="22"/>
        <w:szCs w:val="22"/>
      </w:rPr>
      <w:t>IOC</w:t>
    </w:r>
    <w:r>
      <w:rPr>
        <w:rFonts w:ascii="Arial" w:hAnsi="Arial" w:cs="Arial"/>
        <w:sz w:val="22"/>
        <w:szCs w:val="22"/>
      </w:rPr>
      <w:t>AFRICA</w:t>
    </w:r>
    <w:r w:rsidRPr="0033641F">
      <w:rPr>
        <w:rFonts w:ascii="Arial" w:hAnsi="Arial" w:cs="Arial"/>
        <w:sz w:val="22"/>
        <w:szCs w:val="22"/>
      </w:rPr>
      <w:t>-</w:t>
    </w:r>
    <w:r>
      <w:rPr>
        <w:rFonts w:ascii="Arial" w:hAnsi="Arial" w:cs="Arial"/>
        <w:sz w:val="22"/>
        <w:szCs w:val="22"/>
      </w:rPr>
      <w:t>VIII/</w:t>
    </w:r>
    <w:r w:rsidR="00F229D8">
      <w:rPr>
        <w:rFonts w:ascii="Arial" w:hAnsi="Arial" w:cs="Arial"/>
        <w:sz w:val="22"/>
        <w:szCs w:val="22"/>
      </w:rPr>
      <w:t>3.4.</w:t>
    </w:r>
    <w:proofErr w:type="gramStart"/>
    <w:r w:rsidR="00F229D8">
      <w:rPr>
        <w:rFonts w:ascii="Arial" w:hAnsi="Arial" w:cs="Arial"/>
        <w:sz w:val="22"/>
        <w:szCs w:val="22"/>
      </w:rPr>
      <w:t>2</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0DC81DE3" w14:textId="77777777" w:rsidR="004B33CE" w:rsidRDefault="004B33CE"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A42F" w14:textId="60276DC0" w:rsidR="004B33CE" w:rsidRPr="007C710A" w:rsidRDefault="00000000" w:rsidP="00FE6E5E">
    <w:pPr>
      <w:pStyle w:val="Marge"/>
      <w:tabs>
        <w:tab w:val="left" w:pos="5670"/>
        <w:tab w:val="left" w:pos="7560"/>
      </w:tabs>
      <w:spacing w:after="0"/>
      <w:rPr>
        <w:rFonts w:cs="Arial"/>
        <w:b/>
        <w:szCs w:val="22"/>
      </w:rPr>
    </w:pPr>
    <w:r w:rsidRPr="007C710A">
      <w:rPr>
        <w:rFonts w:cs="Arial"/>
        <w:szCs w:val="22"/>
      </w:rPr>
      <w:t>Restricted Distribution</w:t>
    </w:r>
    <w:r>
      <w:rPr>
        <w:rFonts w:cs="Arial"/>
        <w:szCs w:val="22"/>
      </w:rPr>
      <w:t xml:space="preserve">                                               </w:t>
    </w:r>
    <w:r w:rsidRPr="00655F5E">
      <w:rPr>
        <w:rFonts w:cs="Arial"/>
        <w:b/>
        <w:sz w:val="36"/>
        <w:szCs w:val="36"/>
      </w:rPr>
      <w:t>IOC</w:t>
    </w:r>
    <w:r>
      <w:rPr>
        <w:rFonts w:cs="Arial"/>
        <w:b/>
        <w:sz w:val="36"/>
        <w:szCs w:val="36"/>
      </w:rPr>
      <w:t>AFRICA-VIII/</w:t>
    </w:r>
    <w:r w:rsidR="005A4BA5">
      <w:rPr>
        <w:rFonts w:cs="Arial"/>
        <w:b/>
        <w:sz w:val="36"/>
        <w:szCs w:val="36"/>
      </w:rPr>
      <w:t>3.</w:t>
    </w:r>
    <w:r>
      <w:rPr>
        <w:rFonts w:cs="Arial"/>
        <w:b/>
        <w:sz w:val="36"/>
        <w:szCs w:val="36"/>
      </w:rPr>
      <w:t>4</w:t>
    </w:r>
    <w:r w:rsidRPr="00655F5E">
      <w:rPr>
        <w:rFonts w:cs="Arial"/>
        <w:b/>
        <w:sz w:val="36"/>
        <w:szCs w:val="36"/>
      </w:rPr>
      <w:t>.</w:t>
    </w:r>
    <w:proofErr w:type="gramStart"/>
    <w:r w:rsidR="005A4BA5">
      <w:rPr>
        <w:rFonts w:cs="Arial"/>
        <w:b/>
        <w:sz w:val="36"/>
        <w:szCs w:val="36"/>
      </w:rPr>
      <w:t>2.</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60F48A12" w14:textId="77777777" w:rsidR="004B33CE" w:rsidRPr="002D5222" w:rsidRDefault="00000000" w:rsidP="002D5222">
    <w:pPr>
      <w:tabs>
        <w:tab w:val="left" w:pos="5670"/>
        <w:tab w:val="left" w:pos="7560"/>
      </w:tabs>
      <w:spacing w:after="0" w:line="240" w:lineRule="auto"/>
      <w:jc w:val="both"/>
      <w:rPr>
        <w:rFonts w:asciiTheme="minorBidi" w:hAnsiTheme="minorBidi"/>
      </w:rPr>
    </w:pPr>
    <w:r>
      <w:rPr>
        <w:noProof/>
      </w:rPr>
      <w:drawing>
        <wp:anchor distT="0" distB="0" distL="114300" distR="114300" simplePos="0" relativeHeight="251659264" behindDoc="0" locked="0" layoutInCell="1" allowOverlap="1" wp14:anchorId="64C7BA5C" wp14:editId="5D45491E">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Pr>
        <w:rFonts w:asciiTheme="minorBidi" w:hAnsiTheme="minorBidi"/>
      </w:rPr>
      <w:t>Nairobi</w:t>
    </w:r>
    <w:r w:rsidRPr="002D5222">
      <w:rPr>
        <w:rFonts w:asciiTheme="minorBidi" w:hAnsiTheme="minorBidi"/>
      </w:rPr>
      <w:t xml:space="preserve">, </w:t>
    </w:r>
    <w:r>
      <w:rPr>
        <w:rFonts w:asciiTheme="minorBidi" w:hAnsiTheme="minorBidi"/>
      </w:rPr>
      <w:t>05</w:t>
    </w:r>
    <w:r w:rsidRPr="002D5222">
      <w:rPr>
        <w:rFonts w:asciiTheme="minorBidi" w:hAnsiTheme="minorBidi"/>
      </w:rPr>
      <w:t xml:space="preserve"> </w:t>
    </w:r>
    <w:r>
      <w:rPr>
        <w:rFonts w:asciiTheme="minorBidi" w:hAnsiTheme="minorBidi"/>
      </w:rPr>
      <w:t>Feb.</w:t>
    </w:r>
    <w:r w:rsidRPr="002D5222">
      <w:rPr>
        <w:rFonts w:asciiTheme="minorBidi" w:hAnsiTheme="minorBidi"/>
      </w:rPr>
      <w:t xml:space="preserve"> 202</w:t>
    </w:r>
    <w:r>
      <w:rPr>
        <w:rFonts w:asciiTheme="minorBidi" w:hAnsiTheme="minorBidi"/>
      </w:rPr>
      <w:t>5</w:t>
    </w:r>
  </w:p>
  <w:p w14:paraId="2061BD11" w14:textId="77777777" w:rsidR="004B33CE" w:rsidRPr="002D5222" w:rsidRDefault="00000000" w:rsidP="002D5222">
    <w:pPr>
      <w:tabs>
        <w:tab w:val="left" w:pos="5670"/>
        <w:tab w:val="left" w:pos="7560"/>
      </w:tabs>
      <w:spacing w:after="0" w:line="240" w:lineRule="auto"/>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609EF790" w14:textId="77777777" w:rsidR="004B33CE" w:rsidRPr="002D5222" w:rsidRDefault="004B33CE"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4D8C269A" w14:textId="77777777" w:rsidR="004B33CE" w:rsidRPr="002D5222" w:rsidRDefault="004B33CE"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14B1D33D" w14:textId="77777777" w:rsidR="004B33CE" w:rsidRPr="002D5222" w:rsidRDefault="004B33CE"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5019737" w14:textId="77777777" w:rsidR="004B33CE" w:rsidRPr="002D5222" w:rsidRDefault="004B33CE"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912DA78" w14:textId="77777777" w:rsidR="004B33CE" w:rsidRDefault="00000000"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EF3FAE">
      <w:rPr>
        <w:rFonts w:asciiTheme="minorBidi" w:hAnsiTheme="minorBidi"/>
        <w:b/>
      </w:rPr>
      <w:t xml:space="preserve">IOC Sub Commission for Africa &amp; the Adjacent Island States </w:t>
    </w:r>
  </w:p>
  <w:p w14:paraId="5353FDFE" w14:textId="77777777" w:rsidR="004B33CE" w:rsidRPr="002D5222" w:rsidRDefault="00000000"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EF3FAE">
      <w:rPr>
        <w:rFonts w:asciiTheme="minorBidi" w:hAnsiTheme="minorBidi"/>
        <w:b/>
      </w:rPr>
      <w:t>(IOCAFRICA)</w:t>
    </w:r>
  </w:p>
  <w:p w14:paraId="5843CF4A" w14:textId="77777777" w:rsidR="004B33CE" w:rsidRPr="002D5222" w:rsidRDefault="004B33CE"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3C7437CE" w14:textId="77777777" w:rsidR="004B33CE" w:rsidRPr="002D5222" w:rsidRDefault="00000000"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518D9F38" w14:textId="77777777" w:rsidR="004B33CE" w:rsidRPr="002D5222" w:rsidRDefault="00000000"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412208D3" w14:textId="77777777" w:rsidR="004B33CE" w:rsidRPr="002D5222" w:rsidRDefault="004B33CE"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51B96C8E" w14:textId="77777777" w:rsidR="004B33CE" w:rsidRPr="002D5222" w:rsidRDefault="004B33CE" w:rsidP="002D5222">
    <w:pPr>
      <w:spacing w:after="0" w:line="240" w:lineRule="auto"/>
      <w:jc w:val="center"/>
      <w:rPr>
        <w:rFonts w:asciiTheme="minorBidi" w:hAnsiTheme="minorBidi"/>
      </w:rPr>
    </w:pPr>
  </w:p>
  <w:p w14:paraId="51865EA0" w14:textId="77777777" w:rsidR="004B33CE" w:rsidRPr="002D5222" w:rsidRDefault="00000000" w:rsidP="00CF3130">
    <w:pPr>
      <w:tabs>
        <w:tab w:val="left" w:pos="5500"/>
      </w:tabs>
      <w:spacing w:after="0" w:line="240" w:lineRule="auto"/>
      <w:rPr>
        <w:rFonts w:cs="Arial"/>
      </w:rPr>
    </w:pPr>
    <w:r>
      <w:rPr>
        <w:rFonts w:cs="Arial"/>
      </w:rPr>
      <w:tab/>
    </w:r>
  </w:p>
  <w:p w14:paraId="2AE8EE34" w14:textId="57A526BF" w:rsidR="004B33CE" w:rsidRPr="00BE3E22" w:rsidRDefault="00000000" w:rsidP="00BE3E22">
    <w:pPr>
      <w:keepNext/>
      <w:pBdr>
        <w:top w:val="nil"/>
        <w:left w:val="nil"/>
        <w:bottom w:val="nil"/>
        <w:right w:val="nil"/>
        <w:between w:val="nil"/>
      </w:pBdr>
      <w:tabs>
        <w:tab w:val="right" w:pos="9540"/>
      </w:tabs>
      <w:rPr>
        <w:color w:val="000000"/>
        <w:u w:val="single"/>
      </w:rPr>
    </w:pPr>
    <w:r>
      <w:rPr>
        <w:color w:val="000000"/>
        <w:sz w:val="24"/>
        <w:u w:val="single"/>
      </w:rPr>
      <w:t xml:space="preserve">Item </w:t>
    </w:r>
    <w:r w:rsidR="005A7A15">
      <w:rPr>
        <w:b/>
        <w:bCs/>
        <w:color w:val="000000"/>
        <w:sz w:val="24"/>
        <w:u w:val="single"/>
      </w:rPr>
      <w:t>3.4.2</w:t>
    </w:r>
    <w:r>
      <w:rPr>
        <w:color w:val="000000"/>
        <w:sz w:val="24"/>
        <w:u w:val="single"/>
      </w:rPr>
      <w:t xml:space="preserve"> of the Provisional Agenda</w:t>
    </w:r>
  </w:p>
  <w:p w14:paraId="4506FEB5" w14:textId="77777777" w:rsidR="004B33CE" w:rsidRPr="002D5222" w:rsidRDefault="004B33CE" w:rsidP="002D5222">
    <w:pPr>
      <w:spacing w:after="0" w:line="240" w:lineRule="auto"/>
      <w:rPr>
        <w:rFonts w:cs="Arial"/>
      </w:rPr>
    </w:pPr>
  </w:p>
  <w:p w14:paraId="386639F9" w14:textId="77777777" w:rsidR="004B33CE" w:rsidRPr="002D5222" w:rsidRDefault="004B33CE" w:rsidP="002D5222">
    <w:pPr>
      <w:spacing w:after="0" w:line="240" w:lineRule="auto"/>
      <w:rPr>
        <w:rFonts w:cs="Arial"/>
      </w:rPr>
    </w:pPr>
  </w:p>
  <w:p w14:paraId="44CAE597" w14:textId="732AF9EA" w:rsidR="004B33CE" w:rsidRDefault="005A7A15" w:rsidP="005A7A15">
    <w:pPr>
      <w:pStyle w:val="Header"/>
      <w:jc w:val="center"/>
    </w:pPr>
    <w:r w:rsidRPr="005A7A15">
      <w:rPr>
        <w:rFonts w:ascii="Arial" w:hAnsi="Arial" w:cs="Arial"/>
        <w:b/>
        <w:bCs/>
        <w:caps/>
        <w:color w:val="000000" w:themeColor="text1"/>
        <w:sz w:val="22"/>
        <w:szCs w:val="22"/>
      </w:rPr>
      <w:t>Partners' Report on Ocean Science, Management, and the Blue Economy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28"/>
    <w:multiLevelType w:val="hybridMultilevel"/>
    <w:tmpl w:val="FC7A5C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D52900"/>
    <w:multiLevelType w:val="multilevel"/>
    <w:tmpl w:val="4ABA2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D7357"/>
    <w:multiLevelType w:val="hybridMultilevel"/>
    <w:tmpl w:val="5EF8C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22897"/>
    <w:multiLevelType w:val="multilevel"/>
    <w:tmpl w:val="D47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E27E1"/>
    <w:multiLevelType w:val="hybridMultilevel"/>
    <w:tmpl w:val="52F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745BD"/>
    <w:multiLevelType w:val="multilevel"/>
    <w:tmpl w:val="406C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73092E"/>
    <w:multiLevelType w:val="hybridMultilevel"/>
    <w:tmpl w:val="D4F8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886469"/>
    <w:multiLevelType w:val="multilevel"/>
    <w:tmpl w:val="DDA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9631283">
    <w:abstractNumId w:val="5"/>
  </w:num>
  <w:num w:numId="2" w16cid:durableId="1679234672">
    <w:abstractNumId w:val="0"/>
  </w:num>
  <w:num w:numId="3" w16cid:durableId="1810972657">
    <w:abstractNumId w:val="8"/>
  </w:num>
  <w:num w:numId="4" w16cid:durableId="934627816">
    <w:abstractNumId w:val="2"/>
  </w:num>
  <w:num w:numId="5" w16cid:durableId="1596941373">
    <w:abstractNumId w:val="6"/>
  </w:num>
  <w:num w:numId="6" w16cid:durableId="1908149070">
    <w:abstractNumId w:val="11"/>
  </w:num>
  <w:num w:numId="7" w16cid:durableId="50888082">
    <w:abstractNumId w:val="3"/>
  </w:num>
  <w:num w:numId="8" w16cid:durableId="2086488000">
    <w:abstractNumId w:val="9"/>
  </w:num>
  <w:num w:numId="9" w16cid:durableId="1551455284">
    <w:abstractNumId w:val="12"/>
  </w:num>
  <w:num w:numId="10" w16cid:durableId="985938110">
    <w:abstractNumId w:val="10"/>
  </w:num>
  <w:num w:numId="11" w16cid:durableId="2007320341">
    <w:abstractNumId w:val="1"/>
  </w:num>
  <w:num w:numId="12" w16cid:durableId="1524053609">
    <w:abstractNumId w:val="7"/>
  </w:num>
  <w:num w:numId="13" w16cid:durableId="512191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15"/>
    <w:rsid w:val="00362F00"/>
    <w:rsid w:val="00425844"/>
    <w:rsid w:val="004B33CE"/>
    <w:rsid w:val="004E589C"/>
    <w:rsid w:val="00596D4C"/>
    <w:rsid w:val="005A4BA5"/>
    <w:rsid w:val="005A7A15"/>
    <w:rsid w:val="00801313"/>
    <w:rsid w:val="00CE305E"/>
    <w:rsid w:val="00EE119E"/>
    <w:rsid w:val="00F229D8"/>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1B47F"/>
  <w15:chartTrackingRefBased/>
  <w15:docId w15:val="{D40D6FD6-9E5D-4303-AF2F-6AF2C528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15"/>
    <w:rPr>
      <w:rFonts w:eastAsiaTheme="minorEastAsia"/>
      <w:kern w:val="0"/>
      <w:lang w:val="en-GB" w:eastAsia="zh-CN"/>
      <w14:ligatures w14:val="none"/>
    </w:rPr>
  </w:style>
  <w:style w:type="paragraph" w:styleId="Heading1">
    <w:name w:val="heading 1"/>
    <w:basedOn w:val="Normal"/>
    <w:next w:val="Normal"/>
    <w:link w:val="Heading1Char"/>
    <w:uiPriority w:val="9"/>
    <w:qFormat/>
    <w:rsid w:val="005A7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A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7A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A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A1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A7A1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A7A1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5A7A1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A7A1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A7A1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A7A1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A7A1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A7A1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A7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A1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A7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A1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A7A15"/>
    <w:pPr>
      <w:spacing w:before="160"/>
      <w:jc w:val="center"/>
    </w:pPr>
    <w:rPr>
      <w:i/>
      <w:iCs/>
      <w:color w:val="404040" w:themeColor="text1" w:themeTint="BF"/>
    </w:rPr>
  </w:style>
  <w:style w:type="character" w:customStyle="1" w:styleId="QuoteChar">
    <w:name w:val="Quote Char"/>
    <w:basedOn w:val="DefaultParagraphFont"/>
    <w:link w:val="Quote"/>
    <w:uiPriority w:val="29"/>
    <w:rsid w:val="005A7A15"/>
    <w:rPr>
      <w:i/>
      <w:iCs/>
      <w:color w:val="404040" w:themeColor="text1" w:themeTint="BF"/>
      <w:lang w:val="en-GB"/>
    </w:rPr>
  </w:style>
  <w:style w:type="paragraph" w:styleId="ListParagraph">
    <w:name w:val="List Paragraph"/>
    <w:basedOn w:val="Normal"/>
    <w:link w:val="ListParagraphChar"/>
    <w:uiPriority w:val="34"/>
    <w:qFormat/>
    <w:rsid w:val="005A7A15"/>
    <w:pPr>
      <w:ind w:left="720"/>
      <w:contextualSpacing/>
    </w:pPr>
  </w:style>
  <w:style w:type="character" w:styleId="IntenseEmphasis">
    <w:name w:val="Intense Emphasis"/>
    <w:basedOn w:val="DefaultParagraphFont"/>
    <w:uiPriority w:val="21"/>
    <w:qFormat/>
    <w:rsid w:val="005A7A15"/>
    <w:rPr>
      <w:i/>
      <w:iCs/>
      <w:color w:val="0F4761" w:themeColor="accent1" w:themeShade="BF"/>
    </w:rPr>
  </w:style>
  <w:style w:type="paragraph" w:styleId="IntenseQuote">
    <w:name w:val="Intense Quote"/>
    <w:basedOn w:val="Normal"/>
    <w:next w:val="Normal"/>
    <w:link w:val="IntenseQuoteChar"/>
    <w:uiPriority w:val="30"/>
    <w:qFormat/>
    <w:rsid w:val="005A7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A15"/>
    <w:rPr>
      <w:i/>
      <w:iCs/>
      <w:color w:val="0F4761" w:themeColor="accent1" w:themeShade="BF"/>
      <w:lang w:val="en-GB"/>
    </w:rPr>
  </w:style>
  <w:style w:type="character" w:styleId="IntenseReference">
    <w:name w:val="Intense Reference"/>
    <w:basedOn w:val="DefaultParagraphFont"/>
    <w:uiPriority w:val="32"/>
    <w:qFormat/>
    <w:rsid w:val="005A7A15"/>
    <w:rPr>
      <w:b/>
      <w:bCs/>
      <w:smallCaps/>
      <w:color w:val="0F4761" w:themeColor="accent1" w:themeShade="BF"/>
      <w:spacing w:val="5"/>
    </w:rPr>
  </w:style>
  <w:style w:type="paragraph" w:styleId="Header">
    <w:name w:val="header"/>
    <w:basedOn w:val="Normal"/>
    <w:link w:val="HeaderChar"/>
    <w:uiPriority w:val="99"/>
    <w:rsid w:val="005A7A15"/>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5A7A15"/>
    <w:rPr>
      <w:rFonts w:ascii="Times New Roman" w:eastAsia="Times New Roman" w:hAnsi="Times New Roman" w:cs="Times New Roman"/>
      <w:snapToGrid w:val="0"/>
      <w:kern w:val="0"/>
      <w:sz w:val="24"/>
      <w:szCs w:val="24"/>
      <w:lang w:val="en-GB"/>
      <w14:ligatures w14:val="none"/>
    </w:rPr>
  </w:style>
  <w:style w:type="paragraph" w:customStyle="1" w:styleId="Marge">
    <w:name w:val="Marge"/>
    <w:basedOn w:val="Normal"/>
    <w:link w:val="MargeChar"/>
    <w:uiPriority w:val="99"/>
    <w:rsid w:val="005A7A15"/>
    <w:pPr>
      <w:tabs>
        <w:tab w:val="left" w:pos="567"/>
      </w:tabs>
      <w:snapToGrid w:val="0"/>
      <w:spacing w:after="240" w:line="240" w:lineRule="auto"/>
      <w:jc w:val="both"/>
    </w:pPr>
    <w:rPr>
      <w:rFonts w:ascii="Arial" w:eastAsia="Times New Roman" w:hAnsi="Arial" w:cs="Times New Roman"/>
      <w:snapToGrid w:val="0"/>
      <w:szCs w:val="24"/>
      <w:lang w:eastAsia="en-US"/>
    </w:rPr>
  </w:style>
  <w:style w:type="character" w:customStyle="1" w:styleId="MargeChar">
    <w:name w:val="Marge Char"/>
    <w:basedOn w:val="DefaultParagraphFont"/>
    <w:link w:val="Marge"/>
    <w:uiPriority w:val="99"/>
    <w:rsid w:val="005A7A15"/>
    <w:rPr>
      <w:rFonts w:ascii="Arial" w:eastAsia="Times New Roman" w:hAnsi="Arial" w:cs="Times New Roman"/>
      <w:snapToGrid w:val="0"/>
      <w:kern w:val="0"/>
      <w:szCs w:val="24"/>
      <w:lang w:val="en-GB"/>
      <w14:ligatures w14:val="none"/>
    </w:rPr>
  </w:style>
  <w:style w:type="character" w:customStyle="1" w:styleId="ListParagraphChar">
    <w:name w:val="List Paragraph Char"/>
    <w:link w:val="ListParagraph"/>
    <w:uiPriority w:val="34"/>
    <w:locked/>
    <w:rsid w:val="005A7A15"/>
    <w:rPr>
      <w:lang w:val="en-GB"/>
    </w:rPr>
  </w:style>
  <w:style w:type="paragraph" w:styleId="Footer">
    <w:name w:val="footer"/>
    <w:basedOn w:val="Normal"/>
    <w:link w:val="FooterChar"/>
    <w:uiPriority w:val="99"/>
    <w:unhideWhenUsed/>
    <w:rsid w:val="005A7A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7A15"/>
    <w:rPr>
      <w:rFonts w:eastAsiaTheme="minorEastAsia"/>
      <w:kern w:val="0"/>
      <w:lang w:val="en-GB" w:eastAsia="zh-CN"/>
      <w14:ligatures w14:val="none"/>
    </w:rPr>
  </w:style>
  <w:style w:type="table" w:styleId="TableGrid">
    <w:name w:val="Table Grid"/>
    <w:basedOn w:val="TableNormal"/>
    <w:rsid w:val="005A7A15"/>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7A1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5A7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722</Words>
  <Characters>4473</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3</cp:revision>
  <dcterms:created xsi:type="dcterms:W3CDTF">2025-04-21T06:06:00Z</dcterms:created>
  <dcterms:modified xsi:type="dcterms:W3CDTF">2025-04-28T06:00:00Z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aac7b113-f2b7-4ee6-9a85-bf6d36bd93b4</vt:lpwstr>
  </property>
</Properties>
</file>