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3C02D" w14:textId="77777777" w:rsidR="009F5F54" w:rsidRDefault="009F5F54" w:rsidP="00726C76">
      <w:r w:rsidRPr="007D2AFC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9F5F54" w:rsidRPr="00C72E78" w14:paraId="7AD1A8FE" w14:textId="77777777" w:rsidTr="00B13356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E04ED1" w14:textId="77777777" w:rsidR="009F5F54" w:rsidRPr="00ED2332" w:rsidRDefault="009F5F54" w:rsidP="00726C76">
            <w:pPr>
              <w:pStyle w:val="Marge"/>
              <w:jc w:val="center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ED2332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Резюме</w:t>
            </w:r>
          </w:p>
          <w:p w14:paraId="173CAB47" w14:textId="33C561FB" w:rsidR="009F5F54" w:rsidRPr="00ED2332" w:rsidRDefault="009F5F54" w:rsidP="00B63AF7">
            <w:pPr>
              <w:pStyle w:val="Marge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В своем решении A-32/Реш.4.7 Ассамблея МОК на своей 32-й сессии приняла к сведению представленную в документе </w:t>
            </w:r>
            <w:r w:rsidR="00C72E78">
              <w:fldChar w:fldCharType="begin"/>
            </w:r>
            <w:r w:rsidR="00C72E78">
              <w:instrText>HYPERLINK</w:instrText>
            </w:r>
            <w:r w:rsidR="00C72E78" w:rsidRPr="00C72E78">
              <w:rPr>
                <w:lang w:val="ru-RU"/>
              </w:rPr>
              <w:instrText xml:space="preserve"> "</w:instrText>
            </w:r>
            <w:r w:rsidR="00C72E78">
              <w:instrText>https</w:instrText>
            </w:r>
            <w:r w:rsidR="00C72E78" w:rsidRPr="00C72E78">
              <w:rPr>
                <w:lang w:val="ru-RU"/>
              </w:rPr>
              <w:instrText>://</w:instrText>
            </w:r>
            <w:r w:rsidR="00C72E78">
              <w:instrText>oceanexpert</w:instrText>
            </w:r>
            <w:r w:rsidR="00C72E78" w:rsidRPr="00C72E78">
              <w:rPr>
                <w:lang w:val="ru-RU"/>
              </w:rPr>
              <w:instrText>.</w:instrText>
            </w:r>
            <w:r w:rsidR="00C72E78">
              <w:instrText>org</w:instrText>
            </w:r>
            <w:r w:rsidR="00C72E78" w:rsidRPr="00C72E78">
              <w:rPr>
                <w:lang w:val="ru-RU"/>
              </w:rPr>
              <w:instrText>/</w:instrText>
            </w:r>
            <w:r w:rsidR="00C72E78">
              <w:instrText>document</w:instrText>
            </w:r>
            <w:r w:rsidR="00C72E78" w:rsidRPr="00C72E78">
              <w:rPr>
                <w:lang w:val="ru-RU"/>
              </w:rPr>
              <w:instrText>/32672"</w:instrText>
            </w:r>
            <w:r w:rsidR="00C72E78">
              <w:fldChar w:fldCharType="separate"/>
            </w:r>
            <w:r w:rsidRPr="00ED2332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IOC/A-32/4.7.Doc(1)</w:t>
            </w:r>
            <w:r w:rsidR="00C72E78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fldChar w:fldCharType="end"/>
            </w: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информацию о сфере охвата и процессе разработки общей стратегии МОК по устойчивому планированию и управлению в сфере океана на период 2024-2030 гг. и просила Секретариат собрать материалы государств-членов, программ и технических органов МОК, а также других соответствующих заинтересованных сторон и представить Исполнительному совету МОК на его 57-й сессии пересмотренный документ. </w:t>
            </w:r>
          </w:p>
          <w:p w14:paraId="51EB9413" w14:textId="14CC7C50" w:rsidR="006E161F" w:rsidRPr="00ED2332" w:rsidRDefault="009F5F54" w:rsidP="00B63AF7">
            <w:pPr>
              <w:pStyle w:val="Marge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Настоящий документ был подготовлен на основе документа IOC/A</w:t>
            </w:r>
            <w:r w:rsidR="001B4384" w:rsidRPr="00B63AF7">
              <w:rPr>
                <w:rFonts w:asciiTheme="minorBidi" w:hAnsiTheme="minorBidi" w:cstheme="minorBidi"/>
                <w:sz w:val="22"/>
                <w:szCs w:val="22"/>
                <w:lang w:val="ru-RU"/>
              </w:rPr>
              <w:noBreakHyphen/>
            </w: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32/4.7.Doc(1), который был дополнен с помощью материалов, собранных в ответ на циркулярное письмо МОК </w:t>
            </w:r>
            <w:r w:rsidR="00C72E78">
              <w:fldChar w:fldCharType="begin"/>
            </w:r>
            <w:r w:rsidR="00C72E78">
              <w:instrText>HYPERLINK</w:instrText>
            </w:r>
            <w:r w:rsidR="00C72E78" w:rsidRPr="00C72E78">
              <w:rPr>
                <w:lang w:val="ru-RU"/>
              </w:rPr>
              <w:instrText xml:space="preserve"> "</w:instrText>
            </w:r>
            <w:r w:rsidR="00C72E78">
              <w:instrText>https</w:instrText>
            </w:r>
            <w:r w:rsidR="00C72E78" w:rsidRPr="00C72E78">
              <w:rPr>
                <w:lang w:val="ru-RU"/>
              </w:rPr>
              <w:instrText>://</w:instrText>
            </w:r>
            <w:r w:rsidR="00C72E78">
              <w:instrText>oceanexpert</w:instrText>
            </w:r>
            <w:r w:rsidR="00C72E78" w:rsidRPr="00C72E78">
              <w:rPr>
                <w:lang w:val="ru-RU"/>
              </w:rPr>
              <w:instrText>.</w:instrText>
            </w:r>
            <w:r w:rsidR="00C72E78">
              <w:instrText>org</w:instrText>
            </w:r>
            <w:r w:rsidR="00C72E78" w:rsidRPr="00C72E78">
              <w:rPr>
                <w:lang w:val="ru-RU"/>
              </w:rPr>
              <w:instrText>/</w:instrText>
            </w:r>
            <w:r w:rsidR="00C72E78">
              <w:instrText>document</w:instrText>
            </w:r>
            <w:r w:rsidR="00C72E78" w:rsidRPr="00C72E78">
              <w:rPr>
                <w:lang w:val="ru-RU"/>
              </w:rPr>
              <w:instrText>/33359"</w:instrText>
            </w:r>
            <w:r w:rsidR="00C72E78">
              <w:fldChar w:fldCharType="separate"/>
            </w:r>
            <w:r w:rsidRPr="00ED2332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t>№ 2968</w:t>
            </w:r>
            <w:r w:rsidR="00C72E78">
              <w:rPr>
                <w:rStyle w:val="Hyperlink"/>
                <w:rFonts w:asciiTheme="minorBidi" w:hAnsiTheme="minorBidi" w:cstheme="minorBidi"/>
                <w:sz w:val="22"/>
                <w:szCs w:val="22"/>
                <w:lang w:val="ru-RU"/>
              </w:rPr>
              <w:fldChar w:fldCharType="end"/>
            </w: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и в рамках опроса, разработанного и проведенного с тем, чтобы лучше понимать текущее положение дел в области устойчивого планирования и управления в сфере океана и определить потребности заинтересованных сторон в технической и научной поддержке. Полученные материалы были обобщены в документе IOC/INF-1537 и добавлении к нему. </w:t>
            </w:r>
          </w:p>
          <w:p w14:paraId="1B14B711" w14:textId="35B86B51" w:rsidR="00440828" w:rsidRPr="00ED2332" w:rsidRDefault="006E161F" w:rsidP="00B63AF7">
            <w:pPr>
              <w:pStyle w:val="Marge"/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В мае 2024 г. были организованы два онлайновых консультативных совещания для сбора дополнительных замечаний </w:t>
            </w:r>
            <w:r w:rsidR="005B5843"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государств</w:t>
            </w:r>
            <w:r w:rsidR="00B63AF7" w:rsidRPr="00B63AF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B63AF7">
              <w:rPr>
                <w:rFonts w:asciiTheme="minorBidi" w:hAnsiTheme="minorBidi" w:cstheme="minorBidi"/>
                <w:sz w:val="22"/>
                <w:szCs w:val="22"/>
                <w:lang w:val="ru-RU"/>
              </w:rPr>
              <w:t>–</w:t>
            </w:r>
            <w:r w:rsidR="00B63AF7" w:rsidRPr="00B63AF7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</w:t>
            </w:r>
            <w:r w:rsidR="005B5843"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членов</w:t>
            </w: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МОК по настоящему документу. Стратегия предусматривает создание рабочей группы МОК по устойчивому планированию и управлению в сфере океана для руководства ее осуществлением.</w:t>
            </w:r>
          </w:p>
          <w:p w14:paraId="46CE7E57" w14:textId="503C68A1" w:rsidR="009F5F54" w:rsidRPr="00ED2332" w:rsidRDefault="009F5F54" w:rsidP="00B63AF7">
            <w:pPr>
              <w:pStyle w:val="Marge"/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</w:pPr>
            <w:r w:rsidRPr="00ED2332">
              <w:rPr>
                <w:rFonts w:asciiTheme="minorBidi" w:hAnsiTheme="minorBidi" w:cstheme="minorBidi"/>
                <w:sz w:val="22"/>
                <w:szCs w:val="22"/>
                <w:u w:val="single"/>
                <w:lang w:val="ru-RU"/>
              </w:rPr>
              <w:t>Предлагаемое решение</w:t>
            </w: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 xml:space="preserve"> приводится в документе о принятых и предлагаемых мерах (документ IOC/EC-57/AP </w:t>
            </w:r>
            <w:proofErr w:type="spellStart"/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>Prov.Rev</w:t>
            </w:r>
            <w:proofErr w:type="spellEnd"/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>.) под номером EC</w:t>
            </w:r>
            <w:r w:rsidR="00B63AF7" w:rsidRPr="00B63AF7">
              <w:rPr>
                <w:rFonts w:asciiTheme="minorBidi" w:hAnsiTheme="minorBidi" w:cstheme="minorBidi"/>
                <w:sz w:val="22"/>
                <w:szCs w:val="22"/>
                <w:lang w:val="ru-RU"/>
              </w:rPr>
              <w:noBreakHyphen/>
            </w:r>
            <w:r w:rsidRPr="00ED2332">
              <w:rPr>
                <w:rFonts w:asciiTheme="minorBidi" w:hAnsiTheme="minorBidi" w:cstheme="minorBidi"/>
                <w:sz w:val="22"/>
                <w:szCs w:val="22"/>
                <w:lang w:val="ru-RU"/>
              </w:rPr>
              <w:t>57/Реш.4.3.</w:t>
            </w:r>
          </w:p>
        </w:tc>
      </w:tr>
    </w:tbl>
    <w:p w14:paraId="709888C1" w14:textId="565F539F" w:rsidR="009F5F54" w:rsidRPr="00ED2332" w:rsidRDefault="009F5F54" w:rsidP="00726C76">
      <w:pPr>
        <w:rPr>
          <w:rFonts w:asciiTheme="minorBidi" w:hAnsiTheme="minorBidi" w:cstheme="minorBidi"/>
          <w:sz w:val="22"/>
          <w:szCs w:val="22"/>
          <w:lang w:val="ru-RU"/>
        </w:rPr>
      </w:pPr>
    </w:p>
    <w:p w14:paraId="394C2F24" w14:textId="05D54E6B" w:rsidR="00D87AC4" w:rsidRDefault="00D87AC4" w:rsidP="00726C76">
      <w:pPr>
        <w:pStyle w:val="Heading2"/>
        <w:snapToGrid w:val="0"/>
        <w:spacing w:before="0" w:after="240"/>
        <w:rPr>
          <w:lang w:val="ru-RU"/>
        </w:rPr>
        <w:sectPr w:rsidR="00D87AC4" w:rsidSect="00D87AC4">
          <w:headerReference w:type="even" r:id="rId11"/>
          <w:headerReference w:type="default" r:id="rId12"/>
          <w:headerReference w:type="first" r:id="rId13"/>
          <w:type w:val="oddPage"/>
          <w:pgSz w:w="11900" w:h="16840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  <w:bookmarkStart w:id="1" w:name="_Toc130909576"/>
    </w:p>
    <w:bookmarkEnd w:id="1"/>
    <w:p w14:paraId="5DED30B3" w14:textId="77777777" w:rsidR="00C54645" w:rsidRPr="00ED2332" w:rsidRDefault="00C54645" w:rsidP="005829CD">
      <w:pPr>
        <w:keepNext/>
        <w:keepLines/>
        <w:pBdr>
          <w:top w:val="nil"/>
          <w:left w:val="nil"/>
          <w:bottom w:val="single" w:sz="4" w:space="1" w:color="auto"/>
          <w:right w:val="nil"/>
          <w:between w:val="nil"/>
        </w:pBdr>
        <w:spacing w:before="480" w:after="360"/>
        <w:jc w:val="center"/>
        <w:rPr>
          <w:rFonts w:ascii="Arial" w:eastAsia="Georgia" w:hAnsi="Arial" w:cs="Arial"/>
          <w:color w:val="000000"/>
          <w:sz w:val="22"/>
          <w:szCs w:val="22"/>
        </w:rPr>
      </w:pPr>
      <w:r w:rsidRPr="00ED2332">
        <w:rPr>
          <w:rFonts w:ascii="Arial" w:hAnsi="Arial" w:cs="Arial"/>
          <w:sz w:val="22"/>
          <w:szCs w:val="22"/>
          <w:lang w:val="ru-RU"/>
        </w:rPr>
        <w:lastRenderedPageBreak/>
        <w:t>Содержание</w:t>
      </w:r>
    </w:p>
    <w:bookmarkStart w:id="2" w:name="_heading=h.3znysh7" w:colFirst="0" w:colLast="0" w:displacedByCustomXml="next"/>
    <w:bookmarkEnd w:id="2" w:displacedByCustomXml="next"/>
    <w:bookmarkStart w:id="3" w:name="_heading=h.d9g27omy57kv" w:colFirst="0" w:colLast="0" w:displacedByCustomXml="next"/>
    <w:bookmarkEnd w:id="3" w:displacedByCustomXml="next"/>
    <w:sdt>
      <w:sdtPr>
        <w:rPr>
          <w:rFonts w:ascii="Arial" w:hAnsi="Arial" w:cs="Arial"/>
          <w:sz w:val="22"/>
          <w:szCs w:val="22"/>
        </w:rPr>
        <w:id w:val="192892637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6FB649" w14:textId="097A3D84" w:rsidR="005B5843" w:rsidRPr="00ED2332" w:rsidRDefault="00B46C66" w:rsidP="005829CD">
          <w:pPr>
            <w:pStyle w:val="TOC2"/>
            <w:tabs>
              <w:tab w:val="left" w:pos="851"/>
              <w:tab w:val="right" w:leader="dot" w:pos="9072"/>
            </w:tabs>
            <w:ind w:left="238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val="en-US" w:eastAsia="en-US"/>
              <w14:ligatures w14:val="standardContextual"/>
            </w:rPr>
          </w:pPr>
          <w:r w:rsidRPr="00ED2332">
            <w:rPr>
              <w:rFonts w:ascii="Arial" w:eastAsiaTheme="majorEastAsia" w:hAnsi="Arial" w:cs="Arial"/>
              <w:color w:val="2F5496" w:themeColor="accent1" w:themeShade="BF"/>
              <w:sz w:val="22"/>
              <w:szCs w:val="22"/>
              <w:lang w:val="en-US" w:eastAsia="en-US"/>
            </w:rPr>
            <w:fldChar w:fldCharType="begin"/>
          </w:r>
          <w:r w:rsidRPr="00ED2332">
            <w:rPr>
              <w:rFonts w:ascii="Arial" w:hAnsi="Arial" w:cs="Arial"/>
              <w:sz w:val="22"/>
              <w:szCs w:val="22"/>
            </w:rPr>
            <w:instrText xml:space="preserve"> TOC \o "1-3" \h \z \u </w:instrText>
          </w:r>
          <w:r w:rsidRPr="00ED2332">
            <w:rPr>
              <w:rFonts w:ascii="Arial" w:eastAsiaTheme="majorEastAsia" w:hAnsi="Arial" w:cs="Arial"/>
              <w:color w:val="2F5496" w:themeColor="accent1" w:themeShade="BF"/>
              <w:sz w:val="22"/>
              <w:szCs w:val="22"/>
              <w:lang w:val="en-US" w:eastAsia="en-US"/>
            </w:rPr>
            <w:fldChar w:fldCharType="separate"/>
          </w:r>
          <w:hyperlink w:anchor="_Toc168996880" w:history="1"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</w:rPr>
              <w:t>I.</w:t>
            </w:r>
            <w:r w:rsidR="005B5843" w:rsidRPr="00ED2332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ab/>
            </w:r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  <w:lang w:val="ru-RU"/>
              </w:rPr>
              <w:t>Введение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_Toc168996880 \h </w:instrTex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72E78">
              <w:rPr>
                <w:rFonts w:ascii="Arial" w:hAnsi="Arial" w:cs="Arial"/>
                <w:noProof/>
                <w:webHidden/>
                <w:sz w:val="22"/>
                <w:szCs w:val="22"/>
              </w:rPr>
              <w:t>1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B0DA58" w14:textId="7FC479E0" w:rsidR="005B5843" w:rsidRPr="00ED2332" w:rsidRDefault="005829CD" w:rsidP="005829CD">
          <w:pPr>
            <w:pStyle w:val="TOC2"/>
            <w:tabs>
              <w:tab w:val="left" w:pos="851"/>
              <w:tab w:val="right" w:leader="dot" w:pos="9072"/>
            </w:tabs>
            <w:ind w:left="238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val="en-US" w:eastAsia="en-US"/>
              <w14:ligatures w14:val="standardContextu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ab/>
          </w:r>
          <w:hyperlink w:anchor="_Toc168996881" w:history="1">
            <w:r w:rsidR="005B5843" w:rsidRPr="00ED2332">
              <w:rPr>
                <w:rStyle w:val="Hyperlink"/>
                <w:rFonts w:ascii="Arial" w:hAnsi="Arial" w:cs="Arial"/>
                <w:noProof/>
                <w:sz w:val="22"/>
                <w:szCs w:val="22"/>
                <w:lang w:val="ru-RU"/>
              </w:rPr>
              <w:t>Устойчивое планирование и управление в сфере океана в МОК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_Toc168996881 \h </w:instrTex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72E78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EB55B48" w14:textId="0BA43CA6" w:rsidR="005B5843" w:rsidRPr="00ED2332" w:rsidRDefault="00C72E78" w:rsidP="005829CD">
          <w:pPr>
            <w:pStyle w:val="TOC2"/>
            <w:tabs>
              <w:tab w:val="left" w:pos="851"/>
              <w:tab w:val="right" w:leader="dot" w:pos="9072"/>
            </w:tabs>
            <w:ind w:left="238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val="en-US" w:eastAsia="en-US"/>
              <w14:ligatures w14:val="standardContextual"/>
            </w:rPr>
          </w:pPr>
          <w:hyperlink w:anchor="_Toc168996882" w:history="1"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</w:rPr>
              <w:t>II.</w:t>
            </w:r>
            <w:r w:rsidR="005B5843" w:rsidRPr="00ED2332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ab/>
            </w:r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  <w:lang w:val="ru-RU"/>
              </w:rPr>
              <w:t>Миссия и цели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_Toc168996882 \h </w:instrTex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E7B8F8E" w14:textId="357D5AD6" w:rsidR="005B5843" w:rsidRPr="00ED2332" w:rsidRDefault="00C72E78" w:rsidP="005829CD">
          <w:pPr>
            <w:pStyle w:val="TOC2"/>
            <w:tabs>
              <w:tab w:val="left" w:pos="851"/>
              <w:tab w:val="right" w:leader="dot" w:pos="9072"/>
            </w:tabs>
            <w:ind w:left="238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val="en-US" w:eastAsia="en-US"/>
              <w14:ligatures w14:val="standardContextual"/>
            </w:rPr>
          </w:pPr>
          <w:hyperlink w:anchor="_Toc168996883" w:history="1"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</w:rPr>
              <w:t>III.</w:t>
            </w:r>
            <w:r w:rsidR="005B5843" w:rsidRPr="00ED2332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ab/>
            </w:r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  <w:lang w:val="ru-RU"/>
              </w:rPr>
              <w:t>Ожидаемые результаты и направления деятельности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_Toc168996883 \h </w:instrTex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3F0F7B" w14:textId="540F2780" w:rsidR="005B5843" w:rsidRPr="00ED2332" w:rsidRDefault="00C72E78" w:rsidP="005829CD">
          <w:pPr>
            <w:pStyle w:val="TOC2"/>
            <w:tabs>
              <w:tab w:val="left" w:pos="851"/>
              <w:tab w:val="right" w:leader="dot" w:pos="9072"/>
            </w:tabs>
            <w:ind w:left="238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val="en-US" w:eastAsia="en-US"/>
              <w14:ligatures w14:val="standardContextual"/>
            </w:rPr>
          </w:pPr>
          <w:hyperlink w:anchor="_Toc168996884" w:history="1"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</w:rPr>
              <w:t>IV.</w:t>
            </w:r>
            <w:r w:rsidR="005B5843" w:rsidRPr="00ED2332">
              <w:rPr>
                <w:rFonts w:ascii="Arial" w:eastAsiaTheme="minorEastAsia" w:hAnsi="Arial" w:cs="Arial"/>
                <w:noProof/>
                <w:kern w:val="2"/>
                <w:sz w:val="22"/>
                <w:szCs w:val="22"/>
                <w:lang w:val="en-US" w:eastAsia="en-US"/>
                <w14:ligatures w14:val="standardContextual"/>
              </w:rPr>
              <w:tab/>
            </w:r>
            <w:r w:rsidR="005B5843" w:rsidRPr="00ED2332">
              <w:rPr>
                <w:rStyle w:val="Hyperlink"/>
                <w:rFonts w:ascii="Arial" w:hAnsi="Arial" w:cs="Arial"/>
                <w:b/>
                <w:bCs/>
                <w:noProof/>
                <w:sz w:val="22"/>
                <w:szCs w:val="22"/>
                <w:lang w:val="ru-RU"/>
              </w:rPr>
              <w:t>Осуществление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_Toc168996884 \h </w:instrTex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2"/>
                <w:szCs w:val="22"/>
              </w:rPr>
              <w:t>10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F41B3CD" w14:textId="0285E0C9" w:rsidR="005B5843" w:rsidRPr="00ED2332" w:rsidRDefault="005829CD" w:rsidP="005829CD">
          <w:pPr>
            <w:pStyle w:val="TOC2"/>
            <w:tabs>
              <w:tab w:val="left" w:pos="851"/>
              <w:tab w:val="right" w:leader="dot" w:pos="9072"/>
            </w:tabs>
            <w:ind w:left="238"/>
            <w:rPr>
              <w:rFonts w:ascii="Arial" w:eastAsiaTheme="minorEastAsia" w:hAnsi="Arial" w:cs="Arial"/>
              <w:noProof/>
              <w:kern w:val="2"/>
              <w:sz w:val="22"/>
              <w:szCs w:val="22"/>
              <w:lang w:val="en-US" w:eastAsia="en-US"/>
              <w14:ligatures w14:val="standardContextual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tab/>
          </w:r>
          <w:hyperlink w:anchor="_Toc168996885" w:history="1">
            <w:r w:rsidR="005B5843" w:rsidRPr="00ED2332">
              <w:rPr>
                <w:rStyle w:val="Hyperlink"/>
                <w:rFonts w:ascii="Arial" w:hAnsi="Arial" w:cs="Arial"/>
                <w:noProof/>
                <w:sz w:val="22"/>
                <w:szCs w:val="22"/>
                <w:lang w:val="ru-RU"/>
              </w:rPr>
              <w:t>Руководство осуществлением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_Toc168996885 \h </w:instrTex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C72E78">
              <w:rPr>
                <w:rFonts w:ascii="Arial" w:hAnsi="Arial" w:cs="Arial"/>
                <w:noProof/>
                <w:webHidden/>
                <w:sz w:val="22"/>
                <w:szCs w:val="22"/>
              </w:rPr>
              <w:t>12</w:t>
            </w:r>
            <w:r w:rsidR="005B5843" w:rsidRPr="00ED233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83D6ED" w14:textId="469BC2AC" w:rsidR="00B46C66" w:rsidRPr="00ED2332" w:rsidRDefault="00B46C66" w:rsidP="00726C76">
          <w:pPr>
            <w:rPr>
              <w:rFonts w:ascii="Arial" w:hAnsi="Arial" w:cs="Arial"/>
              <w:sz w:val="22"/>
              <w:szCs w:val="22"/>
            </w:rPr>
          </w:pPr>
          <w:r w:rsidRPr="00ED2332">
            <w:rPr>
              <w:rFonts w:ascii="Arial" w:hAnsi="Arial" w:cs="Arial"/>
              <w:b/>
              <w:bCs/>
              <w:noProof/>
              <w:sz w:val="22"/>
              <w:szCs w:val="22"/>
            </w:rPr>
            <w:fldChar w:fldCharType="end"/>
          </w:r>
        </w:p>
      </w:sdtContent>
    </w:sdt>
    <w:p w14:paraId="7E3CEB6E" w14:textId="0220C537" w:rsidR="00C54645" w:rsidRPr="00ED2332" w:rsidRDefault="00C54645" w:rsidP="00726C76">
      <w:pPr>
        <w:rPr>
          <w:rFonts w:ascii="Arial" w:hAnsi="Arial" w:cs="Arial"/>
          <w:sz w:val="22"/>
          <w:szCs w:val="22"/>
        </w:rPr>
      </w:pPr>
    </w:p>
    <w:p w14:paraId="3E3A71F9" w14:textId="633330A1" w:rsidR="00C54645" w:rsidRPr="00ED2332" w:rsidRDefault="00C54645" w:rsidP="00726C76">
      <w:pPr>
        <w:rPr>
          <w:rFonts w:ascii="Arial" w:hAnsi="Arial" w:cs="Arial"/>
          <w:sz w:val="22"/>
          <w:szCs w:val="22"/>
        </w:rPr>
      </w:pPr>
    </w:p>
    <w:p w14:paraId="4EC971E7" w14:textId="21239265" w:rsidR="00C54645" w:rsidRPr="00ED2332" w:rsidRDefault="00C54645" w:rsidP="00726C76">
      <w:pPr>
        <w:rPr>
          <w:rFonts w:ascii="Arial" w:hAnsi="Arial" w:cs="Arial"/>
          <w:sz w:val="22"/>
          <w:szCs w:val="22"/>
        </w:rPr>
      </w:pPr>
    </w:p>
    <w:p w14:paraId="6CB4009C" w14:textId="50884B4B" w:rsidR="00C54645" w:rsidRPr="00ED2332" w:rsidRDefault="00C54645" w:rsidP="00726C76">
      <w:pPr>
        <w:rPr>
          <w:rFonts w:ascii="Arial" w:hAnsi="Arial" w:cs="Arial"/>
          <w:sz w:val="22"/>
          <w:szCs w:val="22"/>
        </w:rPr>
      </w:pPr>
    </w:p>
    <w:p w14:paraId="17BD685F" w14:textId="5859BC1B" w:rsidR="00C54645" w:rsidRPr="00ED2332" w:rsidRDefault="00C54645" w:rsidP="00726C76">
      <w:pPr>
        <w:rPr>
          <w:rFonts w:ascii="Arial" w:hAnsi="Arial" w:cs="Arial"/>
          <w:sz w:val="22"/>
          <w:szCs w:val="22"/>
        </w:rPr>
      </w:pPr>
    </w:p>
    <w:p w14:paraId="32A31D54" w14:textId="632E0B60" w:rsidR="00D87AC4" w:rsidRDefault="00D87AC4" w:rsidP="00726C76">
      <w:pPr>
        <w:rPr>
          <w:rFonts w:ascii="Arial" w:hAnsi="Arial"/>
          <w:b/>
          <w:bCs/>
          <w:sz w:val="22"/>
          <w:szCs w:val="22"/>
        </w:rPr>
        <w:sectPr w:rsidR="00D87AC4" w:rsidSect="00D87AC4">
          <w:headerReference w:type="first" r:id="rId14"/>
          <w:type w:val="oddPage"/>
          <w:pgSz w:w="11900" w:h="16840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1824831" w14:textId="7AB3CBA2" w:rsidR="00C54645" w:rsidRPr="00ED2332" w:rsidRDefault="00C54645" w:rsidP="00726C76">
      <w:pPr>
        <w:pStyle w:val="Heading2"/>
        <w:numPr>
          <w:ilvl w:val="0"/>
          <w:numId w:val="42"/>
        </w:numPr>
        <w:spacing w:before="0" w:after="240"/>
        <w:ind w:left="0" w:firstLine="0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bookmarkStart w:id="4" w:name="_Toc168996880"/>
      <w:r w:rsidRPr="00ED2332">
        <w:rPr>
          <w:rFonts w:asciiTheme="minorBidi" w:hAnsiTheme="minorBidi" w:cstheme="minorBidi"/>
          <w:b/>
          <w:bCs/>
          <w:color w:val="auto"/>
          <w:sz w:val="22"/>
          <w:szCs w:val="22"/>
          <w:lang w:val="ru-RU"/>
        </w:rPr>
        <w:lastRenderedPageBreak/>
        <w:t>Введение</w:t>
      </w:r>
      <w:bookmarkEnd w:id="4"/>
    </w:p>
    <w:p w14:paraId="2600BD97" w14:textId="426CDB53" w:rsidR="00CD5142" w:rsidRPr="00ED2332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ED2332">
        <w:rPr>
          <w:rFonts w:asciiTheme="minorBidi" w:hAnsiTheme="minorBidi" w:cstheme="minorBidi"/>
          <w:sz w:val="22"/>
          <w:szCs w:val="22"/>
          <w:lang w:val="ru-RU"/>
        </w:rPr>
        <w:t>Мировой океан имеет жизненно важное значение как для мировой экономики, так и для здоровья нашей планеты. Эта взаимосвязь наглядно свидетельствует о настоятельной необходимости устойчивого планирования и управления в сфере океана в ходе адаптации к динамичному характеру изменения климата, а также для обеспечения жизнеспособности экологических, социальных и экономических систем в будущем. Интеграция методов устойчивого планирования и управления в сфере океана в процессы разработки политики и принятия решений не только способствует сохранению жизненно важных функций океана, но и повышению его экономической жизнеспособности в будущем.</w:t>
      </w:r>
    </w:p>
    <w:p w14:paraId="74512ED5" w14:textId="7BF2EE48" w:rsidR="004C580B" w:rsidRPr="00ED2332" w:rsidRDefault="004C580B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ED2332">
        <w:rPr>
          <w:rFonts w:asciiTheme="minorBidi" w:hAnsiTheme="minorBidi" w:cstheme="minorBidi"/>
          <w:sz w:val="22"/>
          <w:szCs w:val="22"/>
          <w:lang w:val="ru-RU"/>
        </w:rPr>
        <w:t>Признание важности комплексного подхода к управлению в сфере океана нашло отражение в различных международных обязательствах, принятых как в рамках МОК, так и на других уровнях, например, в целях в области устойчивого развития ООН (в частности в цели</w:t>
      </w:r>
      <w:r w:rsidR="00D87AC4">
        <w:rPr>
          <w:rFonts w:asciiTheme="minorBidi" w:hAnsiTheme="minorBidi" w:cstheme="minorBidi"/>
          <w:sz w:val="22"/>
          <w:szCs w:val="22"/>
          <w:lang w:val="en-US"/>
        </w:rPr>
        <w:t> </w:t>
      </w:r>
      <w:r w:rsidRPr="00ED2332">
        <w:rPr>
          <w:rFonts w:asciiTheme="minorBidi" w:hAnsiTheme="minorBidi" w:cstheme="minorBidi"/>
          <w:sz w:val="22"/>
          <w:szCs w:val="22"/>
          <w:lang w:val="ru-RU"/>
        </w:rPr>
        <w:t>14), Соглашении на базе Конвенции Организации Объединенных Наций по морскому праву о сохранении и устойчивом использовании морского биологического разнообразия в районах за пределами действия национальной юрисдикции, Десятилетии ООН, посвященном науке об океане в интересах устойчивого развития (Десятилетии океана), Рамочной конвенции ООН об изменении климата (РКИК ООН) и ее Парижском соглашении, Группе высокого уровня по вопросам устойчивой экономики океана (Группе по океану), а также Лиссабонской декларации Конференции ООН по океану. Кроме того, с учетом все большей опоры международных обязательств, связанных с управлением в сфере океана, на научные исследования, МОК располагает всеми возможностями для того, чтобы использовать свою глобальную лидирующую роль и положение для содействия странам в выполнении национальных обязательств на основе своего обширного опыта в сфере науки, данных и технологий. Эта роль также подчеркивается в уставной миссии МОК, определенной в статье 2.1 Устава Комиссии:</w:t>
      </w:r>
      <w:bookmarkStart w:id="5" w:name="_Hlk168064855"/>
      <w:bookmarkEnd w:id="5"/>
    </w:p>
    <w:p w14:paraId="44C627F1" w14:textId="1E03FC5A" w:rsidR="00C54645" w:rsidRPr="00ED2332" w:rsidRDefault="00C54645" w:rsidP="00726C76">
      <w:pPr>
        <w:spacing w:after="240"/>
        <w:ind w:left="567" w:right="700"/>
        <w:jc w:val="both"/>
        <w:rPr>
          <w:rFonts w:asciiTheme="minorBidi" w:hAnsiTheme="minorBidi" w:cstheme="minorBidi"/>
          <w:i/>
          <w:iCs/>
          <w:sz w:val="22"/>
          <w:szCs w:val="22"/>
          <w:lang w:val="ru-RU"/>
        </w:rPr>
      </w:pPr>
      <w:r w:rsidRPr="00ED2332">
        <w:rPr>
          <w:rFonts w:asciiTheme="minorBidi" w:hAnsiTheme="minorBidi" w:cstheme="minorBidi"/>
          <w:i/>
          <w:iCs/>
          <w:sz w:val="22"/>
          <w:szCs w:val="22"/>
          <w:lang w:val="ru-RU"/>
        </w:rPr>
        <w:t>«содействие международному сотрудничеству и координация программ, касающихся исследований, служб и укрепления потенциала в интересах расширения знаний о природе и ресурсах океана и прибрежных районов, а также использования этих знаний для совершенствования управления, обеспечения устойчивого развития, охраны морской среды и облегчения процессов принятия решений ее государствами-членами».</w:t>
      </w:r>
    </w:p>
    <w:p w14:paraId="00F72577" w14:textId="37D1A8AA" w:rsidR="00C54645" w:rsidRPr="00ED2332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ED2332">
        <w:rPr>
          <w:rFonts w:asciiTheme="minorBidi" w:hAnsiTheme="minorBidi" w:cstheme="minorBidi"/>
          <w:sz w:val="22"/>
          <w:szCs w:val="22"/>
          <w:lang w:val="ru-RU"/>
        </w:rPr>
        <w:t>В сентябре 2021 г. департамент внутреннего надзора ЮНЕСКО опубликовал документ под названием «Оценка стратегического позиционирования Межправительственной океанографической комиссии ЮНЕСКО» (именуемый далее «</w:t>
      </w:r>
      <w:r w:rsidR="00C72E78">
        <w:fldChar w:fldCharType="begin"/>
      </w:r>
      <w:r w:rsidR="00C72E78">
        <w:instrText>HYPERLINK</w:instrText>
      </w:r>
      <w:r w:rsidR="00C72E78" w:rsidRPr="00C72E78">
        <w:rPr>
          <w:lang w:val="ru-RU"/>
        </w:rPr>
        <w:instrText xml:space="preserve"> "</w:instrText>
      </w:r>
      <w:r w:rsidR="00C72E78">
        <w:instrText>https</w:instrText>
      </w:r>
      <w:r w:rsidR="00C72E78" w:rsidRPr="00C72E78">
        <w:rPr>
          <w:lang w:val="ru-RU"/>
        </w:rPr>
        <w:instrText>://</w:instrText>
      </w:r>
      <w:r w:rsidR="00C72E78">
        <w:instrText>unesdoc</w:instrText>
      </w:r>
      <w:r w:rsidR="00C72E78" w:rsidRPr="00C72E78">
        <w:rPr>
          <w:lang w:val="ru-RU"/>
        </w:rPr>
        <w:instrText>.</w:instrText>
      </w:r>
      <w:r w:rsidR="00C72E78">
        <w:instrText>unesco</w:instrText>
      </w:r>
      <w:r w:rsidR="00C72E78" w:rsidRPr="00C72E78">
        <w:rPr>
          <w:lang w:val="ru-RU"/>
        </w:rPr>
        <w:instrText>.</w:instrText>
      </w:r>
      <w:r w:rsidR="00C72E78">
        <w:instrText>org</w:instrText>
      </w:r>
      <w:r w:rsidR="00C72E78" w:rsidRPr="00C72E78">
        <w:rPr>
          <w:lang w:val="ru-RU"/>
        </w:rPr>
        <w:instrText>/</w:instrText>
      </w:r>
      <w:r w:rsidR="00C72E78">
        <w:instrText>ark</w:instrText>
      </w:r>
      <w:r w:rsidR="00C72E78" w:rsidRPr="00C72E78">
        <w:rPr>
          <w:lang w:val="ru-RU"/>
        </w:rPr>
        <w:instrText>:/48223/</w:instrText>
      </w:r>
      <w:r w:rsidR="00C72E78">
        <w:instrText>pf</w:instrText>
      </w:r>
      <w:r w:rsidR="00C72E78" w:rsidRPr="00C72E78">
        <w:rPr>
          <w:lang w:val="ru-RU"/>
        </w:rPr>
        <w:instrText>0000379054.</w:instrText>
      </w:r>
      <w:r w:rsidR="00C72E78">
        <w:instrText>locale</w:instrText>
      </w:r>
      <w:r w:rsidR="00C72E78" w:rsidRPr="00C72E78">
        <w:rPr>
          <w:lang w:val="ru-RU"/>
        </w:rPr>
        <w:instrText>=</w:instrText>
      </w:r>
      <w:r w:rsidR="00C72E78">
        <w:instrText>en</w:instrText>
      </w:r>
      <w:r w:rsidR="00C72E78" w:rsidRPr="00C72E78">
        <w:rPr>
          <w:lang w:val="ru-RU"/>
        </w:rPr>
        <w:instrText>"</w:instrText>
      </w:r>
      <w:r w:rsidR="00C72E78">
        <w:fldChar w:fldCharType="separate"/>
      </w:r>
      <w:r w:rsidRPr="00ED2332">
        <w:rPr>
          <w:rStyle w:val="Hyperlink"/>
          <w:rFonts w:asciiTheme="minorBidi" w:hAnsiTheme="minorBidi" w:cstheme="minorBidi"/>
          <w:sz w:val="22"/>
          <w:szCs w:val="22"/>
          <w:lang w:val="ru-RU"/>
        </w:rPr>
        <w:t>Доклад об оценке</w:t>
      </w:r>
      <w:r w:rsidR="00C72E78">
        <w:rPr>
          <w:rStyle w:val="Hyperlink"/>
          <w:rFonts w:asciiTheme="minorBidi" w:hAnsiTheme="minorBidi" w:cstheme="minorBidi"/>
          <w:sz w:val="22"/>
          <w:szCs w:val="22"/>
          <w:lang w:val="ru-RU"/>
        </w:rPr>
        <w:fldChar w:fldCharType="end"/>
      </w:r>
      <w:r w:rsidRPr="00ED2332">
        <w:rPr>
          <w:rFonts w:asciiTheme="minorBidi" w:hAnsiTheme="minorBidi" w:cstheme="minorBidi"/>
          <w:sz w:val="22"/>
          <w:szCs w:val="22"/>
          <w:lang w:val="ru-RU"/>
        </w:rPr>
        <w:t xml:space="preserve">»). Доклад об оценке включал набор из шести рекомендаций и предлагаемых мер. В нем подчеркивалось растущее значение деятельности МОК в обеспечении устойчивого управления в сфере океана, а также центральная роль, которую должна играть Комиссия. </w:t>
      </w:r>
    </w:p>
    <w:p w14:paraId="246502B3" w14:textId="612369C9" w:rsidR="00C54645" w:rsidRPr="00D87AC4" w:rsidRDefault="006B0313" w:rsidP="00726C76">
      <w:pPr>
        <w:spacing w:after="240"/>
        <w:ind w:left="567" w:right="69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ED2332">
        <w:rPr>
          <w:rFonts w:asciiTheme="minorBidi" w:hAnsiTheme="minorBidi" w:cstheme="minorBidi"/>
          <w:i/>
          <w:iCs/>
          <w:sz w:val="22"/>
          <w:szCs w:val="22"/>
          <w:lang w:val="ru-RU"/>
        </w:rPr>
        <w:t>«В контексте реализации Повестки-2030 г. роль МОК ЮНЕСКО становится еще более важной.</w:t>
      </w:r>
      <w:r w:rsidRPr="00ED2332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ED2332">
        <w:rPr>
          <w:rFonts w:asciiTheme="minorBidi" w:hAnsiTheme="minorBidi" w:cstheme="minorBidi"/>
          <w:i/>
          <w:iCs/>
          <w:sz w:val="22"/>
          <w:szCs w:val="22"/>
          <w:lang w:val="ru-RU"/>
        </w:rPr>
        <w:t>В этой связи Десятилетие океана предоставляет МОК ЮНЕСКО возможность подтвердить в глазах членов сети «ООН-океаны», ответственных за разработку политики лиц, и всего международного сообщества глобал</w:t>
      </w:r>
      <w:r w:rsidRPr="00D87AC4">
        <w:rPr>
          <w:rFonts w:asciiTheme="minorBidi" w:hAnsiTheme="minorBidi" w:cstheme="minorBidi"/>
          <w:i/>
          <w:iCs/>
          <w:sz w:val="22"/>
          <w:szCs w:val="22"/>
          <w:lang w:val="ru-RU"/>
        </w:rPr>
        <w:t>ьные лидирующие позиции и важную роль Комиссии в обеспечении более устойчивого управления в сфере океана».</w:t>
      </w:r>
    </w:p>
    <w:p w14:paraId="522556E8" w14:textId="123F9952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Общая стратегия МОК по устойчивому планированию и управлению в сфере океана на 2024-2030 гг. (именуемая далее </w:t>
      </w:r>
      <w:r w:rsidR="00D87AC4" w:rsidRPr="00D87AC4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стратегия</w:t>
      </w:r>
      <w:r w:rsidR="00D87AC4" w:rsidRPr="00D87AC4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) также согласуется с утвержденными целями высокого уровня и функциями МОК (см. рис. 1). Утвержденные цели высокого уровня и функции МОК взаимосвязаны в рамках стратегии, что позволяет применять всеобъемлющий и эффективный подход к устойчивому планированию и управлению в сфере океана с опорой на самую достоверную научную информацию. Благодаря этой увязке стратегия опирается на доказанные преимущества МОК, усиливая при этом общее воздействие деятельности Комиссии и расширяя ее глобальный охват. </w:t>
      </w:r>
    </w:p>
    <w:p w14:paraId="206DB1DE" w14:textId="77777777" w:rsidR="00C54645" w:rsidRPr="00C26816" w:rsidRDefault="00C54645" w:rsidP="00726C76">
      <w:pPr>
        <w:rPr>
          <w:rFonts w:asciiTheme="minorBidi" w:hAnsiTheme="minorBidi" w:cstheme="minorBidi"/>
          <w:sz w:val="22"/>
          <w:szCs w:val="22"/>
          <w:lang w:val="ru-RU"/>
        </w:rPr>
      </w:pPr>
    </w:p>
    <w:tbl>
      <w:tblPr>
        <w:tblW w:w="8723" w:type="dxa"/>
        <w:tblInd w:w="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7403"/>
      </w:tblGrid>
      <w:tr w:rsidR="00D87AC4" w:rsidRPr="00C72E78" w14:paraId="05052120" w14:textId="77777777" w:rsidTr="0035470D">
        <w:trPr>
          <w:trHeight w:val="343"/>
        </w:trPr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96F7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Цели высокого уровня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2676E73" w14:textId="51D87D5A" w:rsidR="00D87AC4" w:rsidRPr="00C26816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Жизнеспособность и устойчивое функционирование океанических экосистемных услуг</w:t>
            </w:r>
          </w:p>
        </w:tc>
      </w:tr>
      <w:tr w:rsidR="00D87AC4" w:rsidRPr="00C72E78" w14:paraId="6AAEA3A9" w14:textId="77777777" w:rsidTr="0035470D">
        <w:trPr>
          <w:trHeight w:val="383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4791B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236C84A" w14:textId="794DD410" w:rsidR="00D87AC4" w:rsidRPr="00C26816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Эффективность систем предупреждения о цунами и других связанных с океаном опасных явлениях, а также обеспечение готовности к ним</w:t>
            </w:r>
          </w:p>
        </w:tc>
      </w:tr>
      <w:tr w:rsidR="00D87AC4" w:rsidRPr="00C72E78" w14:paraId="40E77CD1" w14:textId="77777777" w:rsidTr="0035470D">
        <w:trPr>
          <w:trHeight w:val="343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6FFF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2DA6F29" w14:textId="39CD5902" w:rsidR="00D87AC4" w:rsidRPr="00C26816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Устойчивость к изменению климата и содействие смягчению последствий его изменения</w:t>
            </w:r>
          </w:p>
        </w:tc>
      </w:tr>
      <w:tr w:rsidR="00D87AC4" w:rsidRPr="00C72E78" w14:paraId="4575ACA5" w14:textId="77777777" w:rsidTr="0035470D">
        <w:trPr>
          <w:trHeight w:val="286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C40C2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A3D1C5B" w14:textId="15DC6A7C" w:rsidR="00D87AC4" w:rsidRPr="00C26816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Предоставление научно обоснованных услуг в интересах устойчивого развития экономики океана</w:t>
            </w:r>
          </w:p>
        </w:tc>
      </w:tr>
      <w:tr w:rsidR="00D87AC4" w:rsidRPr="00C72E78" w14:paraId="3FE6E23B" w14:textId="77777777" w:rsidTr="0035470D">
        <w:trPr>
          <w:trHeight w:val="345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D0AC2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12" w:space="0" w:color="000000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842A5FE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Прогнозирование возникновения новых связанных с океаном проблем</w:t>
            </w:r>
          </w:p>
        </w:tc>
      </w:tr>
      <w:tr w:rsidR="00D87AC4" w:rsidRPr="00C72E78" w14:paraId="1F16EE6F" w14:textId="77777777" w:rsidTr="0035470D">
        <w:trPr>
          <w:trHeight w:val="400"/>
        </w:trPr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CCED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Функции</w:t>
            </w:r>
          </w:p>
        </w:tc>
        <w:tc>
          <w:tcPr>
            <w:tcW w:w="7403" w:type="dxa"/>
            <w:tcBorders>
              <w:top w:val="single" w:sz="12" w:space="0" w:color="000000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699F4B41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Океанографические исследования: содействие океанографическим исследованиям в целях углубления знаний о происходящих в океане и прибрежной зоне процессах и об антропогенном воздействии на них</w:t>
            </w:r>
          </w:p>
        </w:tc>
      </w:tr>
      <w:tr w:rsidR="00D87AC4" w:rsidRPr="00C72E78" w14:paraId="1A2A4CC1" w14:textId="77777777" w:rsidTr="0035470D">
        <w:trPr>
          <w:trHeight w:val="400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5C86D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37A6EEF7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Системы наблюдения/управление данными: обеспечение деятельности, укрепление и интеграция глобальных систем наблюдения за океаном, а также систем перспективного анализа данных и информации</w:t>
            </w:r>
          </w:p>
        </w:tc>
      </w:tr>
      <w:tr w:rsidR="00D87AC4" w:rsidRPr="00C72E78" w14:paraId="77806AFF" w14:textId="77777777" w:rsidTr="0035470D">
        <w:trPr>
          <w:trHeight w:val="400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F457A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1A95075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Раннее предупреждение и службы: развитие систем и услуг раннего предупреждения и подготовка к рискам цунами и связанных с океаном опасных явлений</w:t>
            </w:r>
          </w:p>
        </w:tc>
      </w:tr>
      <w:tr w:rsidR="00D87AC4" w:rsidRPr="00C72E78" w14:paraId="20558373" w14:textId="77777777" w:rsidTr="0035470D">
        <w:trPr>
          <w:trHeight w:val="400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B851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CCC2AF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Оценка и предоставление информации для разработки политики: поддержка оценки и предоставление информации путем обеспечения взаимосвязи науки и политики</w:t>
            </w:r>
          </w:p>
        </w:tc>
      </w:tr>
      <w:tr w:rsidR="00D87AC4" w:rsidRPr="00C72E78" w14:paraId="1E0C23B4" w14:textId="77777777" w:rsidTr="0035470D">
        <w:trPr>
          <w:trHeight w:val="400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9E62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2BE8D3A5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Устойчивое управление и руководство: повышение эффективности управления океаном путем совместного использования базы знаний и расширения регионального сотрудничества</w:t>
            </w:r>
          </w:p>
        </w:tc>
      </w:tr>
      <w:tr w:rsidR="00D87AC4" w:rsidRPr="00C72E78" w14:paraId="555E230E" w14:textId="77777777" w:rsidTr="0035470D">
        <w:trPr>
          <w:trHeight w:val="400"/>
        </w:trPr>
        <w:tc>
          <w:tcPr>
            <w:tcW w:w="132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28429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</w:p>
        </w:tc>
        <w:tc>
          <w:tcPr>
            <w:tcW w:w="7403" w:type="dxa"/>
            <w:tcBorders>
              <w:top w:val="single" w:sz="8" w:space="0" w:color="434343"/>
              <w:left w:val="single" w:sz="8" w:space="0" w:color="FFFFFF"/>
              <w:bottom w:val="single" w:sz="8" w:space="0" w:color="434343"/>
              <w:right w:val="single" w:sz="8" w:space="0" w:color="FFFFFF"/>
            </w:tcBorders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B54F596" w14:textId="77777777" w:rsidR="00D87AC4" w:rsidRPr="00D87AC4" w:rsidRDefault="00D87AC4" w:rsidP="00726C76">
            <w:pPr>
              <w:rPr>
                <w:rFonts w:asciiTheme="minorBidi" w:hAnsiTheme="minorBidi" w:cstheme="minorBidi"/>
                <w:sz w:val="22"/>
                <w:szCs w:val="22"/>
                <w:lang w:val="ru-RU"/>
              </w:rPr>
            </w:pPr>
            <w:r w:rsidRPr="00D87AC4">
              <w:rPr>
                <w:rFonts w:asciiTheme="minorBidi" w:hAnsiTheme="minorBidi" w:cstheme="minorBidi"/>
                <w:sz w:val="22"/>
                <w:szCs w:val="22"/>
                <w:lang w:val="ru-RU"/>
              </w:rPr>
              <w:t>Развитие потенциала: сквозная функция развития институционального потенциала для выполнения всех вышеизложенных функций</w:t>
            </w:r>
          </w:p>
        </w:tc>
      </w:tr>
    </w:tbl>
    <w:p w14:paraId="2B4D4A98" w14:textId="33FED284" w:rsidR="00C54645" w:rsidRPr="00D87AC4" w:rsidRDefault="00C54645" w:rsidP="0091228D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Bidi" w:hAnsiTheme="minorBidi" w:cstheme="minorBidi"/>
          <w:sz w:val="22"/>
          <w:szCs w:val="22"/>
          <w:lang w:val="ru-RU"/>
        </w:rPr>
      </w:pPr>
      <w:bookmarkStart w:id="6" w:name="_heading=h.tyjcwt" w:colFirst="0" w:colLast="0"/>
      <w:bookmarkEnd w:id="6"/>
      <w:r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Диаграмма 1.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Цели высокого уровня и функции МОК (</w:t>
      </w:r>
      <w:r w:rsidR="00C72E78">
        <w:fldChar w:fldCharType="begin"/>
      </w:r>
      <w:r w:rsidR="00C72E78">
        <w:instrText>HYPERLINK</w:instrText>
      </w:r>
      <w:r w:rsidR="00C72E78" w:rsidRPr="00C72E78">
        <w:rPr>
          <w:lang w:val="ru-RU"/>
        </w:rPr>
        <w:instrText xml:space="preserve"> "</w:instrText>
      </w:r>
      <w:r w:rsidR="00C72E78">
        <w:instrText>https</w:instrText>
      </w:r>
      <w:r w:rsidR="00C72E78" w:rsidRPr="00C72E78">
        <w:rPr>
          <w:lang w:val="ru-RU"/>
        </w:rPr>
        <w:instrText>://</w:instrText>
      </w:r>
      <w:r w:rsidR="00C72E78">
        <w:instrText>unesdoc</w:instrText>
      </w:r>
      <w:r w:rsidR="00C72E78" w:rsidRPr="00C72E78">
        <w:rPr>
          <w:lang w:val="ru-RU"/>
        </w:rPr>
        <w:instrText>.</w:instrText>
      </w:r>
      <w:r w:rsidR="00C72E78">
        <w:instrText>unesco</w:instrText>
      </w:r>
      <w:r w:rsidR="00C72E78" w:rsidRPr="00C72E78">
        <w:rPr>
          <w:lang w:val="ru-RU"/>
        </w:rPr>
        <w:instrText>.</w:instrText>
      </w:r>
      <w:r w:rsidR="00C72E78">
        <w:instrText>org</w:instrText>
      </w:r>
      <w:r w:rsidR="00C72E78" w:rsidRPr="00C72E78">
        <w:rPr>
          <w:lang w:val="ru-RU"/>
        </w:rPr>
        <w:instrText>/</w:instrText>
      </w:r>
      <w:r w:rsidR="00C72E78">
        <w:instrText>ark</w:instrText>
      </w:r>
      <w:r w:rsidR="00C72E78" w:rsidRPr="00C72E78">
        <w:rPr>
          <w:lang w:val="ru-RU"/>
        </w:rPr>
        <w:instrText>:/48223/</w:instrText>
      </w:r>
      <w:r w:rsidR="00C72E78">
        <w:instrText>pf</w:instrText>
      </w:r>
      <w:r w:rsidR="00C72E78" w:rsidRPr="00C72E78">
        <w:rPr>
          <w:lang w:val="ru-RU"/>
        </w:rPr>
        <w:instrText>0000381388"</w:instrText>
      </w:r>
      <w:r w:rsidR="00C72E78">
        <w:fldChar w:fldCharType="separate"/>
      </w:r>
      <w:r w:rsidRPr="00D87AC4">
        <w:rPr>
          <w:rStyle w:val="Hyperlink"/>
          <w:rFonts w:asciiTheme="minorBidi" w:hAnsiTheme="minorBidi" w:cstheme="minorBidi"/>
          <w:sz w:val="22"/>
          <w:szCs w:val="22"/>
          <w:lang w:val="ru-RU"/>
        </w:rPr>
        <w:t>среднесрочная стратегия МОК на 2022-2029 гг.</w:t>
      </w:r>
      <w:r w:rsidR="00C72E78">
        <w:rPr>
          <w:rStyle w:val="Hyperlink"/>
          <w:rFonts w:asciiTheme="minorBidi" w:hAnsiTheme="minorBidi" w:cstheme="minorBidi"/>
          <w:sz w:val="22"/>
          <w:szCs w:val="22"/>
          <w:lang w:val="ru-RU"/>
        </w:rPr>
        <w:fldChar w:fldCharType="end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)</w:t>
      </w:r>
    </w:p>
    <w:p w14:paraId="4F3384DB" w14:textId="6CDC39E1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Кроме того, важной задачей МОК является содействие в проведении Десятилетия океана и соответствующая организационная поддержка. Семь итоговых результатов Десятилетия океана (см. ниже) наглядно свидетельствуют о необходимости всеобъемлющей стратегии по планированию и управлению в сфере океана для достижения этих целей.</w:t>
      </w:r>
    </w:p>
    <w:p w14:paraId="067CA505" w14:textId="77777777" w:rsidR="00C54645" w:rsidRPr="00D87AC4" w:rsidRDefault="00C54645" w:rsidP="006C57B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Чистый океан, в котором выявляются, купируются или устраняются источники загрязнения.</w:t>
      </w:r>
    </w:p>
    <w:p w14:paraId="76D37406" w14:textId="77777777" w:rsidR="00C54645" w:rsidRPr="00D87AC4" w:rsidRDefault="00C54645" w:rsidP="006C57B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Экологически благополучный и жизнеспособный океан с изученными и разумно используемыми морскими экосистемами.</w:t>
      </w:r>
    </w:p>
    <w:p w14:paraId="291707C3" w14:textId="77777777" w:rsidR="00C54645" w:rsidRPr="00D87AC4" w:rsidRDefault="00C54645" w:rsidP="006C57B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Продуктивный океан, содействующий устойчивому обеспечению продовольствием и стабильному развитию морской экономики.</w:t>
      </w:r>
    </w:p>
    <w:p w14:paraId="739187CC" w14:textId="77777777" w:rsidR="00C54645" w:rsidRPr="00D87AC4" w:rsidRDefault="00C54645" w:rsidP="005D38B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lastRenderedPageBreak/>
        <w:t>Предсказуемый океан: осведомление общества о происходящих в его состоянии изменениях и создание условий для реагирования на них.</w:t>
      </w:r>
    </w:p>
    <w:p w14:paraId="311393A6" w14:textId="77777777" w:rsidR="00C54645" w:rsidRPr="00D87AC4" w:rsidRDefault="00C54645" w:rsidP="005D38B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Безопасный океан: защита жизней людей и источников их дохода от связанных с океаном опасных явлений.</w:t>
      </w:r>
    </w:p>
    <w:p w14:paraId="57140891" w14:textId="4763F371" w:rsidR="00C54645" w:rsidRPr="00D87AC4" w:rsidRDefault="00C54645" w:rsidP="005D38B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Доступный океан: открытый и равный доступ к данным, информации, технологиям и инновационным разработкам. </w:t>
      </w:r>
    </w:p>
    <w:p w14:paraId="36998488" w14:textId="3D3675B7" w:rsidR="00C54645" w:rsidRPr="00D87AC4" w:rsidRDefault="00C54645" w:rsidP="005D38B8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Океан, который мотивирует и обеспечивает взаимодействие: общество понимает и ценит роль океана в обеспечении благополучия человека и устойчивого развития.</w:t>
      </w:r>
    </w:p>
    <w:p w14:paraId="3A7E37CA" w14:textId="05EB793D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С учетом этих обязательств и целей МОК принятие настоящей стратегии является своевременным и настоятельно необходимым. Стратегия будет обеспечивать дальнейшую поддержку основных ценностей МОК, а наука и исследования будут служить фундаментом, на котором строится политика и процессы принятия решений. Она будет разработана на основе богатого наследия МОК, которая уже обладает обширным опытом внедрения ключевых принципов устойчивого планирования и управления в сфере океана. Стратегия также позволит МОК вносить более системный вклад в разрабатываемую Программу Десятилетия по устойчивому планированию в сфере океана, которая была представлена на посвященной Десятилетию океана конференции 2024 г. в Барселоне.</w:t>
      </w:r>
    </w:p>
    <w:p w14:paraId="172F06D1" w14:textId="5CDBB8C3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Для достижения этой цели будет, как и ранее, обеспечена тесная взаимосвязь функций стратегии с существующими и текущими программами МОК и их развитие. Речь идет о таких программах и проектах, как МПП Глобал, Глобальная система наблюдений за океаном (ГСНО) и Международный обмен океанографическими данными и информацией (МООД), а также о ряде инициатив в рамках программ по океанографии и цунами. Стратегия будет служить руководящей основой для работы МОК в рамках ее различных программ (см. таблицу 2, в которой представлен потенциальный вклад программ МОК в достижение целей стратегии) и способствовать проведению наблюдений, сбору данных и управлению ими, функционированию служб раннего оповещения, проведению оценок и разработке инновационных инструментов, информационных продуктов и инициатив по развитию потенциала, отвечающих потребностям сообщества специалистов по устойчивому планированию в сфере океана. </w:t>
      </w:r>
    </w:p>
    <w:p w14:paraId="02254FE1" w14:textId="77777777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Соединяя имеющиеся научные знания с практическими методами управления, стратегия стремится преодолеть разрыв между ними и обеспечить отражение научной деятельности МОК в реальных решениях по устойчивому управлению нашим океаном. Для этого настоящая стратегия использует целостный подход, в рамках которого различные инструменты и инициативы позволят государствам-членам и заинтересованным сторонам получать научные выводы и практические ресурсы, необходимые для эффективного решения сложных проблем, связанных с управлением в сфере океана.</w:t>
      </w:r>
    </w:p>
    <w:p w14:paraId="6C7616F2" w14:textId="71B1C5BB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В стратегии учитываются разнообразные и взаимосвязанные факторы развития на глобальном, региональном и национальном уровнях. Обладая надежной репутацией в этой области, МОК может обеспечить согласованный и скоординированный подход для содействия государствам-членам в достижении их целей в области устойчивого развития, создании условий для сохранения и устойчивого использования морских ресурсов и повышении эффективности управления в сфере океана.</w:t>
      </w:r>
    </w:p>
    <w:p w14:paraId="095B2234" w14:textId="756EBA9B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Используя свои знания и опыт при поддержке государств-членов, МОК может достичь в рамках этой стратегии следующих целей:</w:t>
      </w:r>
    </w:p>
    <w:p w14:paraId="083BD8AB" w14:textId="20ABCF46" w:rsidR="00C54645" w:rsidRPr="00D87AC4" w:rsidRDefault="00C54645" w:rsidP="00726C7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более широкая интеграция и обеспечение всестороннего учета практических методик устойчивого планирования и управления в сфере океана;</w:t>
      </w:r>
    </w:p>
    <w:p w14:paraId="7AF3DF4D" w14:textId="7A3B853F" w:rsidR="00C54645" w:rsidRPr="00D87AC4" w:rsidRDefault="00C54645" w:rsidP="00F037B1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lastRenderedPageBreak/>
        <w:t>повышение эффективности наблюдений, сбора данных, систем данных</w:t>
      </w:r>
      <w:r w:rsidRPr="00D87AC4">
        <w:rPr>
          <w:rFonts w:asciiTheme="minorBidi" w:eastAsia="Arial" w:hAnsiTheme="minorBidi" w:cstheme="minorBidi"/>
          <w:color w:val="000000"/>
          <w:sz w:val="22"/>
          <w:szCs w:val="22"/>
          <w:vertAlign w:val="superscript"/>
          <w:lang w:val="ru-RU"/>
        </w:rPr>
        <w:footnoteReference w:id="1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и управления знаниями в интересах управления на основе экосистемного подхода и их применения в различных секторах;</w:t>
      </w:r>
    </w:p>
    <w:p w14:paraId="78CA7C3D" w14:textId="5873B367" w:rsidR="00C54645" w:rsidRPr="00D87AC4" w:rsidRDefault="00C54645" w:rsidP="00726C7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укрепление </w:t>
      </w:r>
      <w:proofErr w:type="spellStart"/>
      <w:r w:rsidRPr="00D87AC4">
        <w:rPr>
          <w:rFonts w:asciiTheme="minorBidi" w:hAnsiTheme="minorBidi" w:cstheme="minorBidi"/>
          <w:sz w:val="22"/>
          <w:szCs w:val="22"/>
          <w:lang w:val="ru-RU"/>
        </w:rPr>
        <w:t>межсекторальной</w:t>
      </w:r>
      <w:proofErr w:type="spellEnd"/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и трансграничной координации;</w:t>
      </w:r>
    </w:p>
    <w:p w14:paraId="0B0D2653" w14:textId="69B65773" w:rsidR="00C54645" w:rsidRPr="00D87AC4" w:rsidRDefault="00C54645" w:rsidP="00726C7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расширение деятельности по развитию потенциала.</w:t>
      </w:r>
    </w:p>
    <w:p w14:paraId="128402DD" w14:textId="716DB8B8" w:rsidR="00C54645" w:rsidRPr="00726C76" w:rsidRDefault="00C54645" w:rsidP="00726C76">
      <w:pPr>
        <w:pStyle w:val="Heading2"/>
        <w:spacing w:before="0" w:after="240"/>
        <w:rPr>
          <w:rFonts w:asciiTheme="minorBidi" w:hAnsiTheme="minorBidi" w:cstheme="minorBidi"/>
          <w:color w:val="000000" w:themeColor="text1"/>
          <w:sz w:val="22"/>
          <w:szCs w:val="22"/>
          <w:u w:val="single"/>
          <w:lang w:val="ru-RU"/>
        </w:rPr>
      </w:pPr>
      <w:bookmarkStart w:id="7" w:name="_Toc168996881"/>
      <w:r w:rsidRPr="00726C76">
        <w:rPr>
          <w:rFonts w:asciiTheme="minorBidi" w:hAnsiTheme="minorBidi" w:cstheme="minorBidi"/>
          <w:color w:val="000000" w:themeColor="text1"/>
          <w:sz w:val="22"/>
          <w:szCs w:val="22"/>
          <w:u w:val="single"/>
          <w:lang w:val="ru-RU"/>
        </w:rPr>
        <w:t>Устойчивое планирование и управление в сфере океана в МОК</w:t>
      </w:r>
      <w:bookmarkEnd w:id="7"/>
    </w:p>
    <w:p w14:paraId="6D6EA16A" w14:textId="386BAC6D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Экономика океана по своей сути крайне сложна, в ней участвуют различные пользователи, занимающиеся разными видами деятельности, и их интересы зачастую могут противоречить друг другу или благополучию окружающей среды. Экономика океана становится устойчивой, когда эти разные виды экономической деятельности объединяются с устойчивым управлением экосистемами океана и согласуются с долгосрочным потенциалом экосистем по поддержке этой деятельности, способствуя при этом повышению их устойчивости, здоровья и благополучия</w:t>
      </w:r>
      <w:r w:rsidRPr="00D87AC4">
        <w:rPr>
          <w:rFonts w:asciiTheme="minorBidi" w:eastAsia="Arial" w:hAnsiTheme="minorBidi" w:cstheme="minorBidi"/>
          <w:sz w:val="22"/>
          <w:szCs w:val="22"/>
          <w:vertAlign w:val="superscript"/>
          <w:lang w:val="ru-RU"/>
        </w:rPr>
        <w:footnoteReference w:id="2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. Для эффективного руководства и управления этой сложной системой необходим комплексный, трансграничный и </w:t>
      </w:r>
      <w:proofErr w:type="spellStart"/>
      <w:r w:rsidRPr="00D87AC4">
        <w:rPr>
          <w:rFonts w:asciiTheme="minorBidi" w:hAnsiTheme="minorBidi" w:cstheme="minorBidi"/>
          <w:sz w:val="22"/>
          <w:szCs w:val="22"/>
          <w:lang w:val="ru-RU"/>
        </w:rPr>
        <w:t>межсекторальный</w:t>
      </w:r>
      <w:proofErr w:type="spellEnd"/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подход, признающий взаимозависимость различных видов использования океана и их воздействие на нормальное функционирование и здоровье океана. </w:t>
      </w:r>
    </w:p>
    <w:p w14:paraId="48334423" w14:textId="34CD7E3E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Устойчивое планирование и управление в сфере океана</w:t>
      </w:r>
      <w:r w:rsidR="00F037B1" w:rsidRPr="00F037B1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F037B1">
        <w:rPr>
          <w:rFonts w:asciiTheme="minorBidi" w:hAnsiTheme="minorBidi" w:cstheme="minorBidi"/>
          <w:sz w:val="22"/>
          <w:szCs w:val="22"/>
          <w:lang w:val="ru-RU"/>
        </w:rPr>
        <w:t>–</w:t>
      </w:r>
      <w:r w:rsidR="00F037B1" w:rsidRPr="00F037B1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5B5843" w:rsidRPr="00D87AC4">
        <w:rPr>
          <w:rFonts w:asciiTheme="minorBidi" w:hAnsiTheme="minorBidi" w:cstheme="minorBidi"/>
          <w:sz w:val="22"/>
          <w:szCs w:val="22"/>
          <w:lang w:val="ru-RU"/>
        </w:rPr>
        <w:t>это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стратегический подход, направленный на обеспечение долгосрочного здоровья и продуктивности морской среды при одновременном стимулировании экономического роста, социальных благ и устойчивости к изменению климата. Он предполагает учет и развитие результатов работы МОК в рамках различных подходов и на разных уровнях, в частности в рамках программы по комплексному управлению прибрежными районами (ИКАМ), морского пространственного планирования (МПП), устойчивого планирования и управления в сфере океана и крупных морских экосистем (КМЭ). Достижение такого баланса требует надежного планирования и управления, опирающегося на наблюдения за океаном, специализированные продукты на основе данных и научные оценки, а также мониторинга состояния экосистем и экономического развития. Основанные на знаниях механизмы рационального использования ресурсов океана, такие как морское пространственное планирование и системы управления прибрежными зонами, морскими охраняемыми районами и крупными морскими экосистемами, играют решающую роль в определении целей, оперативных планов, экологически безопасных границ и требований к хозяйственной деятельности в океане, а также помогают снизить вероятность возникновения противоречий между различными видами использования морского пространства.</w:t>
      </w:r>
    </w:p>
    <w:p w14:paraId="71C9CA74" w14:textId="4B05105D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Влияние работы МОК, направленной на предоставление соответствующих конкретным задачам знаний для разработки рамочных стратегических документов и достижения устойчивых результатов, очевидно. За последние три десятилетия МОК добилась значительных успехов в области устойчивого планирования и управления в сфере океана, которые представляют собой один из основных компонентов ее миссии по созданию </w:t>
      </w:r>
      <w:r w:rsidR="0025134F" w:rsidRPr="0025134F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океана, который нам нужен для будущего, каким мы хотим его видеть</w:t>
      </w:r>
      <w:r w:rsidR="0025134F" w:rsidRPr="0025134F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. В частности, в 2009 г. МОК разработала первое международное руководство по морскому пространственному планированию, способствующее включению в касающиеся океана стратегии пространственных компонентов, экосистемных подходов и процессов на основе широкого участия. Это сыграло решающую роль в принятии морских пространственных планов во всем мире: в конце 2023 г. в инициативах по морскому пространственному планированию участвовали 126 стран/территорий</w:t>
      </w:r>
      <w:r w:rsidRPr="00D87AC4">
        <w:rPr>
          <w:rFonts w:asciiTheme="minorBidi" w:hAnsiTheme="minorBidi" w:cstheme="minorBidi"/>
          <w:sz w:val="22"/>
          <w:szCs w:val="22"/>
          <w:vertAlign w:val="superscript"/>
          <w:lang w:val="ru-RU"/>
        </w:rPr>
        <w:footnoteReference w:id="3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6568B8E1" w14:textId="0C86AE83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Всеобъемлющая стратегия по устойчивому планированию и управлению в сфере океана будет выступать в качестве объединяющей рамочной основы, обеспечивающей скоординированную реализацию существующих программ и проектов МОК на основе </w:t>
      </w:r>
      <w:r w:rsidR="00C72E78">
        <w:fldChar w:fldCharType="begin"/>
      </w:r>
      <w:r w:rsidR="00C72E78">
        <w:instrText>HYPERLINK</w:instrText>
      </w:r>
      <w:r w:rsidR="00C72E78" w:rsidRPr="00C72E78">
        <w:rPr>
          <w:lang w:val="ru-RU"/>
        </w:rPr>
        <w:instrText xml:space="preserve"> "</w:instrText>
      </w:r>
      <w:r w:rsidR="00C72E78">
        <w:instrText>https</w:instrText>
      </w:r>
      <w:r w:rsidR="00C72E78" w:rsidRPr="00C72E78">
        <w:rPr>
          <w:lang w:val="ru-RU"/>
        </w:rPr>
        <w:instrText>://</w:instrText>
      </w:r>
      <w:r w:rsidR="00C72E78">
        <w:instrText>unesdoc</w:instrText>
      </w:r>
      <w:r w:rsidR="00C72E78" w:rsidRPr="00C72E78">
        <w:rPr>
          <w:lang w:val="ru-RU"/>
        </w:rPr>
        <w:instrText>.</w:instrText>
      </w:r>
      <w:r w:rsidR="00C72E78">
        <w:instrText>unesco</w:instrText>
      </w:r>
      <w:r w:rsidR="00C72E78" w:rsidRPr="00C72E78">
        <w:rPr>
          <w:lang w:val="ru-RU"/>
        </w:rPr>
        <w:instrText>.</w:instrText>
      </w:r>
      <w:r w:rsidR="00C72E78">
        <w:instrText>org</w:instrText>
      </w:r>
      <w:r w:rsidR="00C72E78" w:rsidRPr="00C72E78">
        <w:rPr>
          <w:lang w:val="ru-RU"/>
        </w:rPr>
        <w:instrText>/</w:instrText>
      </w:r>
      <w:r w:rsidR="00C72E78">
        <w:instrText>ark</w:instrText>
      </w:r>
      <w:r w:rsidR="00C72E78" w:rsidRPr="00C72E78">
        <w:rPr>
          <w:lang w:val="ru-RU"/>
        </w:rPr>
        <w:instrText>:/48223/</w:instrText>
      </w:r>
      <w:r w:rsidR="00C72E78">
        <w:instrText>pf</w:instrText>
      </w:r>
      <w:r w:rsidR="00C72E78" w:rsidRPr="00C72E78">
        <w:rPr>
          <w:lang w:val="ru-RU"/>
        </w:rPr>
        <w:instrText>0000226862"</w:instrText>
      </w:r>
      <w:r w:rsidR="00C72E78">
        <w:fldChar w:fldCharType="separate"/>
      </w:r>
      <w:r w:rsidRPr="00D87AC4">
        <w:rPr>
          <w:rStyle w:val="Hyperlink"/>
          <w:rFonts w:asciiTheme="minorBidi" w:hAnsiTheme="minorBidi" w:cstheme="minorBidi"/>
          <w:sz w:val="22"/>
          <w:szCs w:val="22"/>
          <w:lang w:val="ru-RU"/>
        </w:rPr>
        <w:t>стратегии МОК по комплексному управлению прибрежными районами (ИКАМ)</w:t>
      </w:r>
      <w:r w:rsidR="00C72E78">
        <w:rPr>
          <w:rStyle w:val="Hyperlink"/>
          <w:rFonts w:asciiTheme="minorBidi" w:hAnsiTheme="minorBidi" w:cstheme="minorBidi"/>
          <w:sz w:val="22"/>
          <w:szCs w:val="22"/>
          <w:lang w:val="ru-RU"/>
        </w:rPr>
        <w:fldChar w:fldCharType="end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, утвержденной государствами-членами в 2015 г. Настоящая стратегия укрепит коллективный потенциал для решения возникающих в сфере океана проблем с помощью экосистемных инструментов управления, будет способствовать адаптации к изменению климата, повышению устойчивости к связанным с океаном опасным явлениям и укреплению базы знаний для принятия управленческих мер в отношении прибрежных и морских экосистем. Текущие усилия МОК в области океанических исследований и производства знаний способствуют реализации стратегии путем создания базы знаний в поддержку принятия обоснованных решений в области управления океаном на основе деятельности МОК в области науки об экосистемах, включая многочисленные стресс-факторы океана, и продуктов комплексной оценки. Кроме того, стратегия использует подтверж</w:t>
      </w:r>
      <w:r w:rsidR="00C61050" w:rsidRPr="00C61050">
        <w:rPr>
          <w:rFonts w:asciiTheme="minorBidi" w:hAnsiTheme="minorBidi" w:cstheme="minorBidi"/>
          <w:sz w:val="22"/>
          <w:szCs w:val="22"/>
          <w:lang w:val="ru-RU"/>
        </w:rPr>
        <w:softHyphen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денные преимущества МОК в рамках таких инициатив, как Информационная система по океаническому биоразнообразию (ОБИС) и Система океанографических данных и информации (ОДИС) в целях повышения доступности, качества и наличия данных с особым вниманием к моделированию и выявлению востребованных продуктов прогнозирования состояния океана, что позволит обеспечить лиц, ответственных за принятие решений, и заинтересованные стороны всеобъемлющей и надежной информацией. Такой комплексный подход направлен в конечном итоге на укрепление сотрудничества между заинтересованными сторонами, содействие принятию решений на основе фактических данных и популяризацию согласованных практических приемов или методик, что способствует развитию деятельности МОК по обеспечению устойчивости прибрежных районов, разработке инструментов поддержки принятия решений и подготовке решений, основанных на данных.</w:t>
      </w:r>
    </w:p>
    <w:p w14:paraId="3CDDC790" w14:textId="3B62AC8C" w:rsidR="00CD5142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Стратегия по устойчивому планированию и управлению в сфере океана позволит МОК расширить свое влияние, не ограничиваясь уже осуществляемыми программами и проектами и другой текущей деятельностью, и внести конструктивный вклад в более широкие дискуссии по вопросам экономики океана. Расширение охвата стратегии нацелено на усиление политического влияния, более активное взаимодействие с заинтересованными сторонами в экономической и политической сферах, содействие трансграничному и </w:t>
      </w:r>
      <w:proofErr w:type="spellStart"/>
      <w:r w:rsidRPr="00D87AC4">
        <w:rPr>
          <w:rFonts w:asciiTheme="minorBidi" w:hAnsiTheme="minorBidi" w:cstheme="minorBidi"/>
          <w:sz w:val="22"/>
          <w:szCs w:val="22"/>
          <w:lang w:val="ru-RU"/>
        </w:rPr>
        <w:t>межсекторальному</w:t>
      </w:r>
      <w:proofErr w:type="spellEnd"/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планированию и дальнейшую активизацию текущей работы по согласованию данных различных учреждений, стран и партнеров и их объединению в рамках унифицированной системы, способствующей применению различных методов устойчивого планирования и управления в сфере океана. Стратегия будет согласована с существующими рамочными программами, такими как планы устойчивого развития океана, планы действий по развитию устойчивой экономики океана, национальные методологии учета морских ресурсов и оценки природного капитала, и ориентирована на их поддержку в интересах усиления востребованности МОК и стимулирования позитивных изменений глобального масштаба.</w:t>
      </w:r>
    </w:p>
    <w:p w14:paraId="4F9666A9" w14:textId="4FDD0DA4" w:rsidR="008D35BF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Кроме того, стратегия будет использовать региональный опыт и аналитику четырех подкомиссий МОК (МОКАРИБ, МОКАФРИКА, ВЕСТПАК и ИОСИНДИО), которые играют важную роль в определении местных потребностей в области планирования и управления в сфере океана и региональных особенностей. Это позволит сделать стратегию адаптивной и ориентировать ее на конкретные потребности, а также обеспечить эффективный учет региональных особенностей и проблем и адаптацию процессов устойчивого планирования и управления в сфере океана к уникальным условиям различных регионов. Наконец, МОК сможет использовать опыт ЮНЕСКО в других областях (например, сохранение биоразнообразия, системы знаний коренных народов и местного населения, гидрология и т.д.) для реализации своей стратегии и предложить уникальный междисциплинарный подход к управлению океаном в рамках ООН</w:t>
      </w:r>
      <w:r w:rsidR="00750C34" w:rsidRPr="00D87AC4">
        <w:rPr>
          <w:rStyle w:val="FootnoteReference"/>
          <w:rFonts w:asciiTheme="minorBidi" w:hAnsiTheme="minorBidi" w:cstheme="minorBidi"/>
          <w:sz w:val="22"/>
          <w:szCs w:val="22"/>
          <w:lang w:val="ru-RU"/>
        </w:rPr>
        <w:footnoteReference w:id="4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.</w:t>
      </w:r>
    </w:p>
    <w:p w14:paraId="0316B63B" w14:textId="77777777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В ходе реализации стратегии государства-члены смогут получить рекомендации и техническую помощь, согласовывая свою национальную политику с глобальными и региональными рамочными нормативными актами и передовым мировым опытом. Такой подход, ориентированный на совместную работу, будет способствовать развитию потенциала и обмену знаниями, что в конечном итоге обеспечит более эффективное применение практических методов устойчивого планирования и управления в сфере океана. </w:t>
      </w:r>
    </w:p>
    <w:p w14:paraId="1959AB3C" w14:textId="1BC51F8E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Опираясь на свой уникальный мандат по содействию международному сотрудничеству в области наук об океане, наблюдений и развития потенциала, МОК располагает всеми возможностями для достижения целей, поставленных в настоящей стратегии. Организация обладает уникальными специализированными знаниями для оказания технической поддержки и научного, фактологически обоснованного консультирования при разработке морской политики, направленной на организацию устойчивого планирования и управления в сфере океана. Это, в свою очередь, способствует плавной интеграции научных принципов и передового опыта в процессы принятия решений. </w:t>
      </w:r>
    </w:p>
    <w:p w14:paraId="77F0A766" w14:textId="1AB95170" w:rsidR="00C54645" w:rsidRPr="00DD22A0" w:rsidRDefault="00C54645" w:rsidP="00DD22A0">
      <w:pPr>
        <w:pStyle w:val="Heading2"/>
        <w:numPr>
          <w:ilvl w:val="0"/>
          <w:numId w:val="42"/>
        </w:numPr>
        <w:spacing w:before="0" w:after="240"/>
        <w:ind w:left="567" w:hanging="567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bookmarkStart w:id="8" w:name="_Toc168996882"/>
      <w:r w:rsidRPr="00DD22A0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ru-RU"/>
        </w:rPr>
        <w:t>Миссия и цели</w:t>
      </w:r>
      <w:bookmarkEnd w:id="8"/>
    </w:p>
    <w:p w14:paraId="6652E3FF" w14:textId="77777777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Миссия стратегии МОК по устойчивому планированию и управлению в сфере океана заключается в достижении следующей цели:</w:t>
      </w:r>
    </w:p>
    <w:p w14:paraId="6BB277C6" w14:textId="1D7EF739" w:rsidR="00C54645" w:rsidRPr="00D87AC4" w:rsidRDefault="00726C76" w:rsidP="00726C76">
      <w:pPr>
        <w:spacing w:after="240"/>
        <w:ind w:left="567" w:right="697"/>
        <w:jc w:val="both"/>
        <w:rPr>
          <w:rFonts w:asciiTheme="minorBidi" w:hAnsiTheme="minorBidi" w:cstheme="minorBidi"/>
          <w:i/>
          <w:sz w:val="22"/>
          <w:szCs w:val="22"/>
          <w:lang w:val="ru-RU"/>
        </w:rPr>
      </w:pPr>
      <w:r w:rsidRPr="00726C76">
        <w:rPr>
          <w:rFonts w:asciiTheme="minorBidi" w:hAnsiTheme="minorBidi" w:cstheme="minorBidi"/>
          <w:i/>
          <w:iCs/>
          <w:sz w:val="22"/>
          <w:szCs w:val="22"/>
          <w:lang w:val="ru-RU"/>
        </w:rPr>
        <w:t>«</w:t>
      </w:r>
      <w:r w:rsidR="0019023C" w:rsidRPr="00D87AC4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Создание комплексной рамочной основы для предоставления знаний и развития потенциала в целях удовлетворения потребностей </w:t>
      </w:r>
      <w:r w:rsidR="005B5843" w:rsidRPr="00D87AC4">
        <w:rPr>
          <w:rFonts w:asciiTheme="minorBidi" w:hAnsiTheme="minorBidi" w:cstheme="minorBidi"/>
          <w:i/>
          <w:iCs/>
          <w:sz w:val="22"/>
          <w:szCs w:val="22"/>
          <w:lang w:val="ru-RU"/>
        </w:rPr>
        <w:t>государств</w:t>
      </w:r>
      <w:r w:rsidR="00DD22A0" w:rsidRPr="00DD22A0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 </w:t>
      </w:r>
      <w:r w:rsidR="00DD22A0">
        <w:rPr>
          <w:rFonts w:asciiTheme="minorBidi" w:hAnsiTheme="minorBidi" w:cstheme="minorBidi"/>
          <w:i/>
          <w:iCs/>
          <w:sz w:val="22"/>
          <w:szCs w:val="22"/>
          <w:lang w:val="ru-RU"/>
        </w:rPr>
        <w:t>–</w:t>
      </w:r>
      <w:r w:rsidR="00DD22A0" w:rsidRPr="00DD22A0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 </w:t>
      </w:r>
      <w:r w:rsidR="005B5843" w:rsidRPr="00D87AC4">
        <w:rPr>
          <w:rFonts w:asciiTheme="minorBidi" w:hAnsiTheme="minorBidi" w:cstheme="minorBidi"/>
          <w:i/>
          <w:iCs/>
          <w:sz w:val="22"/>
          <w:szCs w:val="22"/>
          <w:lang w:val="ru-RU"/>
        </w:rPr>
        <w:t>членов</w:t>
      </w:r>
      <w:r w:rsidR="0019023C" w:rsidRPr="00D87AC4">
        <w:rPr>
          <w:rFonts w:asciiTheme="minorBidi" w:hAnsiTheme="minorBidi" w:cstheme="minorBidi"/>
          <w:i/>
          <w:iCs/>
          <w:sz w:val="22"/>
          <w:szCs w:val="22"/>
          <w:lang w:val="ru-RU"/>
        </w:rPr>
        <w:t xml:space="preserve"> МОК в области устойчивого планирования и управления в сфере океана</w:t>
      </w:r>
      <w:r w:rsidRPr="00726C76">
        <w:rPr>
          <w:rFonts w:asciiTheme="minorBidi" w:hAnsiTheme="minorBidi" w:cstheme="minorBidi"/>
          <w:i/>
          <w:iCs/>
          <w:sz w:val="22"/>
          <w:szCs w:val="22"/>
          <w:lang w:val="ru-RU"/>
        </w:rPr>
        <w:t>»</w:t>
      </w:r>
      <w:r w:rsidR="0019023C" w:rsidRPr="00D87AC4">
        <w:rPr>
          <w:rFonts w:asciiTheme="minorBidi" w:hAnsiTheme="minorBidi" w:cstheme="minorBidi"/>
          <w:i/>
          <w:iCs/>
          <w:sz w:val="22"/>
          <w:szCs w:val="22"/>
          <w:lang w:val="ru-RU"/>
        </w:rPr>
        <w:t>.</w:t>
      </w:r>
    </w:p>
    <w:p w14:paraId="1FE268AC" w14:textId="2ADEF883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В стратегии изложены принципы внедрения эффективных методов планирования и управления экосистемами океана в увязке с соответствующими рамочными документами для обеспечения принятия обоснованных решений. Она будет обеспечивать совместное и скоординированное руководство программами и проектами МОК на основе согласованных практических методов, создавая условия для комплексного управления, планирования и принятия решений в сфере океана. Она согласована со среднесрочной стратегией МОК на 2022-2029</w:t>
      </w:r>
      <w:r w:rsidR="00726C76">
        <w:rPr>
          <w:rFonts w:asciiTheme="minorBidi" w:hAnsiTheme="minorBidi" w:cstheme="minorBidi"/>
          <w:sz w:val="22"/>
          <w:szCs w:val="22"/>
          <w:lang w:val="fr-FR"/>
        </w:rPr>
        <w:t> 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гг. и соответствующими функциями. Кроме того, настоящая </w:t>
      </w:r>
      <w:r w:rsidR="00DD22A0" w:rsidRPr="00DD22A0">
        <w:rPr>
          <w:rFonts w:asciiTheme="minorBidi" w:hAnsiTheme="minorBidi" w:cstheme="minorBidi"/>
          <w:sz w:val="22"/>
          <w:szCs w:val="22"/>
          <w:lang w:val="ru-RU"/>
        </w:rPr>
        <w:t>с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тратегия учитывает стратегические планы и ожидаемые результаты текущих программ, включая стратегию МОК по ИКАМ (2015 г.), стратегический план МОК по управлению океанографическими данными и информацией (2023-2029 гг.), стратегию Глобальной системы наблюдений за океаном на период до 2030 г. и стратегию МОК в области развития потенциала (2023-2030 гг.). Такое согласование способствует достижению всеобъемлющей цели МОК, сформулированной в упомянутой ранее статье 2 Устава.</w:t>
      </w:r>
    </w:p>
    <w:p w14:paraId="4BD657FD" w14:textId="5850EB55" w:rsidR="00C54645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Стратегия устойчивого планирования и управления в сфере океана преследует следующие стратегические цели:</w:t>
      </w:r>
    </w:p>
    <w:p w14:paraId="78FA6604" w14:textId="77777777" w:rsidR="00C54645" w:rsidRPr="00D87AC4" w:rsidRDefault="00C54645" w:rsidP="00726C76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Более широкая интеграция и обеспечение всестороннего учета практических методик устойчивого планирования и управления в сфере океана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</w:p>
    <w:p w14:paraId="392890E1" w14:textId="472D07D4" w:rsidR="00C54645" w:rsidRPr="00D87AC4" w:rsidRDefault="00C54645" w:rsidP="00726C76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Разработка общей концепции целостной структуры планирования и управления в сфере океана, рассчитанной на различные масштабы деятельности, опирающейся на самые современные научные данные, адаптируемой к различным условиям и приоритетам и включающей существующие концепции, инструменты, примеры передового опыта и программы, в частности в области комплексного управления прибрежными районами и морского пространственного планирования, в целях их использования в национальных условиях.</w:t>
      </w:r>
    </w:p>
    <w:p w14:paraId="644AD117" w14:textId="70C43C4E" w:rsidR="00C54645" w:rsidRPr="00D87AC4" w:rsidRDefault="00726C76" w:rsidP="00726C76">
      <w:p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hAnsiTheme="minorBidi" w:cstheme="minorBidi"/>
          <w:b/>
          <w:color w:val="000000"/>
          <w:sz w:val="22"/>
          <w:szCs w:val="22"/>
          <w:lang w:val="ru-RU"/>
        </w:rPr>
      </w:pPr>
      <w:r w:rsidRPr="00726C76">
        <w:rPr>
          <w:rFonts w:asciiTheme="minorBidi" w:hAnsiTheme="minorBidi" w:cstheme="minorBidi"/>
          <w:b/>
          <w:bCs/>
          <w:sz w:val="22"/>
          <w:szCs w:val="22"/>
          <w:lang w:val="ru-RU"/>
        </w:rPr>
        <w:t>(</w:t>
      </w:r>
      <w:proofErr w:type="spellStart"/>
      <w:r w:rsidR="0019023C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ii</w:t>
      </w:r>
      <w:proofErr w:type="spellEnd"/>
      <w:r w:rsidR="0019023C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)</w:t>
      </w:r>
      <w:r w:rsidR="0019023C" w:rsidRPr="00D87AC4">
        <w:rPr>
          <w:rFonts w:asciiTheme="minorBidi" w:hAnsiTheme="minorBidi" w:cstheme="minorBidi"/>
          <w:sz w:val="22"/>
          <w:szCs w:val="22"/>
          <w:lang w:val="ru-RU"/>
        </w:rPr>
        <w:tab/>
      </w:r>
      <w:r w:rsidR="0019023C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Повышение эффективности наблюдений, сбора данных, систем данных и управления знаниями в интересах управления на основе экосистемного подхода и их применения в различных секторах</w:t>
      </w:r>
    </w:p>
    <w:p w14:paraId="36F8A716" w14:textId="0A10B92E" w:rsidR="00254057" w:rsidRPr="00D87AC4" w:rsidRDefault="00C54645" w:rsidP="00726C76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lastRenderedPageBreak/>
        <w:t>Повышение качества, доступности и удобства использования данных путем использования согласованных приемов или методик, таких как политика МОК в отношении данных и условия их использования (2023 г.) и принципы FAIR</w:t>
      </w:r>
      <w:r w:rsidRPr="00D87AC4">
        <w:rPr>
          <w:rFonts w:asciiTheme="minorBidi" w:hAnsiTheme="minorBidi" w:cstheme="minorBidi"/>
          <w:sz w:val="22"/>
          <w:szCs w:val="22"/>
          <w:vertAlign w:val="superscript"/>
          <w:lang w:val="ru-RU"/>
        </w:rPr>
        <w:footnoteReference w:id="5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>. Обеспечение доступа к данным для различных пользователей с учетом их потребностей и с помощью вспомогательных инструментов, таких как система океанографических данных и информации (ОДИС), а также поддержка принятия решений на основе данных в рамках экосистемного подхода и секторального применения.</w:t>
      </w:r>
    </w:p>
    <w:p w14:paraId="4A12EE21" w14:textId="7120DD23" w:rsidR="00C54645" w:rsidRPr="00D87AC4" w:rsidRDefault="00C72E78" w:rsidP="00726C76">
      <w:p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eastAsia="Arial" w:hAnsiTheme="minorBidi" w:cstheme="minorBidi"/>
          <w:b/>
          <w:color w:val="000000"/>
          <w:sz w:val="22"/>
          <w:szCs w:val="22"/>
          <w:lang w:val="ru-RU"/>
        </w:rPr>
      </w:pPr>
      <w:sdt>
        <w:sdtPr>
          <w:rPr>
            <w:rFonts w:asciiTheme="minorBidi" w:eastAsia="Arial" w:hAnsiTheme="minorBidi" w:cstheme="minorBidi"/>
            <w:b/>
            <w:color w:val="000000"/>
            <w:sz w:val="22"/>
            <w:szCs w:val="22"/>
          </w:rPr>
          <w:tag w:val="goog_rdk_23"/>
          <w:id w:val="-897432495"/>
        </w:sdtPr>
        <w:sdtEndPr/>
        <w:sdtContent>
          <w:r w:rsidR="0019023C" w:rsidRPr="00D87AC4">
            <w:rPr>
              <w:rFonts w:asciiTheme="minorBidi" w:eastAsia="Arial" w:hAnsiTheme="minorBidi" w:cstheme="minorBidi"/>
              <w:b/>
              <w:color w:val="000000"/>
              <w:sz w:val="22"/>
              <w:szCs w:val="22"/>
              <w:lang w:val="ru-RU"/>
            </w:rPr>
            <w:t>(</w:t>
          </w:r>
          <w:r w:rsidR="0019023C" w:rsidRPr="00D87AC4">
            <w:rPr>
              <w:rFonts w:asciiTheme="minorBidi" w:eastAsia="Arial" w:hAnsiTheme="minorBidi" w:cstheme="minorBidi"/>
              <w:b/>
              <w:color w:val="000000"/>
              <w:sz w:val="22"/>
              <w:szCs w:val="22"/>
            </w:rPr>
            <w:t>iii</w:t>
          </w:r>
          <w:r w:rsidR="0019023C" w:rsidRPr="00D87AC4">
            <w:rPr>
              <w:rFonts w:asciiTheme="minorBidi" w:eastAsia="Arial" w:hAnsiTheme="minorBidi" w:cstheme="minorBidi"/>
              <w:b/>
              <w:color w:val="000000"/>
              <w:sz w:val="22"/>
              <w:szCs w:val="22"/>
              <w:lang w:val="ru-RU"/>
            </w:rPr>
            <w:t>)</w:t>
          </w:r>
          <w:r w:rsidR="0019023C" w:rsidRPr="00D87AC4">
            <w:rPr>
              <w:rFonts w:asciiTheme="minorBidi" w:eastAsia="Arial" w:hAnsiTheme="minorBidi" w:cstheme="minorBidi"/>
              <w:b/>
              <w:color w:val="000000"/>
              <w:sz w:val="22"/>
              <w:szCs w:val="22"/>
              <w:lang w:val="ru-RU"/>
            </w:rPr>
            <w:tab/>
          </w:r>
        </w:sdtContent>
      </w:sdt>
      <w:r w:rsidR="00B46C66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Укрепление </w:t>
      </w:r>
      <w:proofErr w:type="spellStart"/>
      <w:r w:rsidR="00B46C66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межсекторальной</w:t>
      </w:r>
      <w:proofErr w:type="spellEnd"/>
      <w:r w:rsidR="00B46C66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 xml:space="preserve"> и трансграничной координации</w:t>
      </w:r>
    </w:p>
    <w:p w14:paraId="4C7FEF59" w14:textId="3232E24B" w:rsidR="00C54645" w:rsidRPr="00D87AC4" w:rsidRDefault="00C54645" w:rsidP="00726C76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Содействие более активной </w:t>
      </w:r>
      <w:proofErr w:type="spellStart"/>
      <w:r w:rsidRPr="00D87AC4">
        <w:rPr>
          <w:rFonts w:asciiTheme="minorBidi" w:hAnsiTheme="minorBidi" w:cstheme="minorBidi"/>
          <w:sz w:val="22"/>
          <w:szCs w:val="22"/>
          <w:lang w:val="ru-RU"/>
        </w:rPr>
        <w:t>межсекторальной</w:t>
      </w:r>
      <w:proofErr w:type="spellEnd"/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интеграции</w:t>
      </w:r>
      <w:r w:rsidRPr="00D87AC4">
        <w:rPr>
          <w:rFonts w:asciiTheme="minorBidi" w:hAnsiTheme="minorBidi" w:cstheme="minorBidi"/>
          <w:sz w:val="22"/>
          <w:szCs w:val="22"/>
          <w:vertAlign w:val="superscript"/>
          <w:lang w:val="ru-RU"/>
        </w:rPr>
        <w:footnoteReference w:id="6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и трансграничному сотрудничеству</w:t>
      </w:r>
      <w:r w:rsidRPr="00D87AC4">
        <w:rPr>
          <w:rFonts w:asciiTheme="minorBidi" w:hAnsiTheme="minorBidi" w:cstheme="minorBidi"/>
          <w:sz w:val="22"/>
          <w:szCs w:val="22"/>
          <w:vertAlign w:val="superscript"/>
          <w:lang w:val="ru-RU"/>
        </w:rPr>
        <w:footnoteReference w:id="7"/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 в области планирования в сфере океана путем развития сотрудничества и диалога между различными секторами и субъектами, участвующими в управлении океаном. К этому также относится поддержка разработки руководящих принципов и рамочных документов в целях объединения интересов и приоритетов различных секторов и заинтересованных сторон путем обеспечения сбалансированного подхода к устойчивому планированию и управлению в сфере океана и стимулирования сотрудничества.</w:t>
      </w:r>
    </w:p>
    <w:p w14:paraId="630DFB9A" w14:textId="01282657" w:rsidR="00C54645" w:rsidRPr="00D87AC4" w:rsidRDefault="00726C76" w:rsidP="00726C76">
      <w:pPr>
        <w:pBdr>
          <w:top w:val="nil"/>
          <w:left w:val="nil"/>
          <w:bottom w:val="nil"/>
          <w:right w:val="nil"/>
          <w:between w:val="nil"/>
        </w:pBdr>
        <w:spacing w:after="240"/>
        <w:ind w:left="1134" w:hanging="567"/>
        <w:jc w:val="both"/>
        <w:rPr>
          <w:rFonts w:asciiTheme="minorBidi" w:eastAsia="Arial" w:hAnsiTheme="minorBidi" w:cstheme="minorBidi"/>
          <w:b/>
          <w:color w:val="000000"/>
          <w:sz w:val="22"/>
          <w:szCs w:val="22"/>
          <w:lang w:val="ru-RU"/>
        </w:rPr>
      </w:pPr>
      <w:r w:rsidRPr="00726C76">
        <w:rPr>
          <w:rFonts w:asciiTheme="minorBidi" w:hAnsiTheme="minorBidi" w:cstheme="minorBidi"/>
          <w:b/>
          <w:bCs/>
          <w:sz w:val="22"/>
          <w:szCs w:val="22"/>
          <w:lang w:val="ru-RU"/>
        </w:rPr>
        <w:t>(</w:t>
      </w:r>
      <w:proofErr w:type="spellStart"/>
      <w:r w:rsidR="0019023C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iv</w:t>
      </w:r>
      <w:proofErr w:type="spellEnd"/>
      <w:r w:rsidR="0019023C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)</w:t>
      </w:r>
      <w:r w:rsidRPr="00726C76">
        <w:rPr>
          <w:rFonts w:asciiTheme="minorBidi" w:hAnsiTheme="minorBidi" w:cstheme="minorBidi"/>
          <w:sz w:val="22"/>
          <w:szCs w:val="22"/>
          <w:lang w:val="ru-RU"/>
        </w:rPr>
        <w:tab/>
      </w:r>
      <w:r w:rsidR="0019023C"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Расширение деятельности по развитию потенциала</w:t>
      </w:r>
    </w:p>
    <w:p w14:paraId="2A7A2DB8" w14:textId="7A01FDFE" w:rsidR="00C54645" w:rsidRPr="00D87AC4" w:rsidRDefault="00C54645" w:rsidP="00726C76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Укрепление потенциала заинтересованных сторон с помощью комплексных учебных программ, семинаров, информационных материалов и программ непрерывного образования, разработанных с учетом потребностей различных пользователей и широко распространяемых через такие платформы, как центр по развитию потенциала в области океана. Создание платформ обмена знаниями для эффективного распространения примеров передового опыта и инноваций, способствующих формированию глобального сообщества специалистов-практиков, что позволит постоянно совершенствовать и адаптировать стратегии управления океаном. К этому также относится взаимодействие с молодыми специалистами в области океана (МСО) в целях содействия практическому обучению в области управления океаном и океанографии, а также развитию лидерских качеств. </w:t>
      </w:r>
    </w:p>
    <w:p w14:paraId="4F8EEE73" w14:textId="64C16EAB" w:rsidR="00C54645" w:rsidRPr="00726C76" w:rsidRDefault="00C54645" w:rsidP="00726C76">
      <w:pPr>
        <w:pStyle w:val="Heading2"/>
        <w:numPr>
          <w:ilvl w:val="0"/>
          <w:numId w:val="42"/>
        </w:numPr>
        <w:spacing w:before="0" w:after="240"/>
        <w:ind w:left="567" w:hanging="567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bookmarkStart w:id="9" w:name="_Toc168996883"/>
      <w:r w:rsidRPr="00726C76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ru-RU"/>
        </w:rPr>
        <w:t>Ожидаемые результаты и направления деятельности</w:t>
      </w:r>
      <w:bookmarkEnd w:id="9"/>
    </w:p>
    <w:p w14:paraId="17BB8CBB" w14:textId="78F464C5" w:rsidR="001D2420" w:rsidRPr="00D87AC4" w:rsidRDefault="00C54645" w:rsidP="00726C76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Для эффективного достижения стратегических целей, изложенных в стратегии устойчивого планирования и управления в сфере океана (2024-2030 гг.), были определены конкретные ожидаемые результаты, каждый из которых подкреплен ключевыми мероприятиями (их перечень будет дополняться), разработанными для практической работы по стратегии в целях достижения конструктивного прогресса. Ожидаемые результаты и направления деятельности были разработаны с опорой на преимущества МОК и в тесной увязке с существующими программами и проектами, они будут стратегически нацелены на содействие устойчивому планированию и управлению в сфере океана, обеспечивая объединение усилий в рамках последовательной и комплексной работы. Приведенные ниже примеры представляют собой выборку из более широкого спектра инициатив, с помощью которой можно получить представление об основных компонентах достижения этих стратегических целей. Полный перечень мероприятий, необходимых для достижения этих ожидаемых результатов, приведен в </w:t>
      </w:r>
      <w:r w:rsidRPr="00D87AC4">
        <w:rPr>
          <w:rFonts w:asciiTheme="minorBidi" w:hAnsiTheme="minorBidi" w:cstheme="minorBidi"/>
          <w:sz w:val="22"/>
          <w:szCs w:val="22"/>
          <w:u w:val="single"/>
          <w:lang w:val="ru-RU"/>
        </w:rPr>
        <w:t>таблице 1</w:t>
      </w:r>
      <w:r w:rsidRPr="00D87AC4">
        <w:rPr>
          <w:rFonts w:asciiTheme="minorBidi" w:hAnsiTheme="minorBidi" w:cstheme="minorBidi"/>
          <w:sz w:val="22"/>
          <w:szCs w:val="22"/>
          <w:lang w:val="ru-RU"/>
        </w:rPr>
        <w:t xml:space="preserve">. </w:t>
      </w:r>
    </w:p>
    <w:p w14:paraId="7D2A2688" w14:textId="2DEA738E" w:rsidR="00C54645" w:rsidRPr="00C26816" w:rsidRDefault="00C54645" w:rsidP="00907C6D">
      <w:pPr>
        <w:pStyle w:val="Heading4"/>
        <w:numPr>
          <w:ilvl w:val="0"/>
          <w:numId w:val="34"/>
        </w:numPr>
        <w:spacing w:before="0"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bookmarkStart w:id="10" w:name="_heading=h.3bokqfed6euz" w:colFirst="0" w:colLast="0"/>
      <w:bookmarkEnd w:id="10"/>
      <w:r w:rsidRPr="00C26816">
        <w:rPr>
          <w:rFonts w:asciiTheme="minorBidi" w:hAnsiTheme="minorBidi" w:cstheme="minorBidi"/>
          <w:sz w:val="22"/>
          <w:szCs w:val="22"/>
          <w:lang w:val="ru-RU"/>
        </w:rPr>
        <w:lastRenderedPageBreak/>
        <w:t>Повышение эффективности механизмов разработки политики планирования и управления в сфере океана с опорой на научно обоснованные инструменты и фактические данные</w:t>
      </w:r>
    </w:p>
    <w:p w14:paraId="351AEC51" w14:textId="756D9FCB" w:rsidR="00CB1FE7" w:rsidRPr="00D87AC4" w:rsidRDefault="00C54645" w:rsidP="00907C6D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Стратегия направлена на содействие в разработке морской политики путем использования обширного научного опыта, накопленного в программных областях МОК, и способствует обмену знаниями и опытом между странами. Стратегическое определение приоритетов научных исследований, необходимых для устойчивого планирования и управления в сфере океана, будет продолжено. Стратегия будет сосредоточена на разработке глобальных рекомендаций и стандартов для планирования и управления в сфере океана с опорой на полученные в рамках этих программ выводы и данные, а также на новые научные открытия, которые необходимо учитывать при разработке политики, механизмов и инструментов управления в сфере океана. Стратегия также будет поддерживать совместную разработку инструментов, позволяющих плавно интегрировать научные выводы и рекомендации в процессы планирования. Это обеспечивает принятие решений на основе фактических данных в области управления ресурсами и экосистемами океана. Будет продолжена работа по документированию экологических и социально-экономических преимуществ устойчивого планирования и управления в сфере океана в разных странах.</w:t>
      </w:r>
    </w:p>
    <w:p w14:paraId="25946AAB" w14:textId="77777777" w:rsidR="00C54645" w:rsidRPr="00D87AC4" w:rsidRDefault="00C54645" w:rsidP="00907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b/>
          <w:bCs/>
          <w:sz w:val="22"/>
          <w:szCs w:val="22"/>
          <w:lang w:val="ru-RU"/>
        </w:rPr>
        <w:t>Направление деятельности: разработка руководящих принципов и помощь в планировании</w:t>
      </w:r>
    </w:p>
    <w:p w14:paraId="49CCD9B8" w14:textId="4C364CB5" w:rsidR="00C54645" w:rsidRPr="00D87AC4" w:rsidRDefault="00C54645" w:rsidP="00907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D87AC4">
        <w:rPr>
          <w:rFonts w:asciiTheme="minorBidi" w:hAnsiTheme="minorBidi" w:cstheme="minorBidi"/>
          <w:sz w:val="22"/>
          <w:szCs w:val="22"/>
          <w:lang w:val="ru-RU"/>
        </w:rPr>
        <w:t>В поддержку этого ожидаемого результата будет инициирована разработка и распространение всеобъемлющих руководящих принципов и практических методов планирования и управления в сфере океана. Государствам-членам будет оказана техническая поддержка и помощь в планировании, с тем чтобы они могли включить эти стандарты в свои системы управления. Эта инициатива разработана с целью обеспечения учета практики устойчивого планирования и управления в сфере океана на всех уровнях руководства и закладки прочной основы для разработки политики и содействия применению единого подхода к устойчивому использованию и сохранению океана.</w:t>
      </w:r>
    </w:p>
    <w:p w14:paraId="784F1278" w14:textId="5A29875B" w:rsidR="00C5250E" w:rsidRPr="00907C6D" w:rsidRDefault="00C5250E" w:rsidP="0091228D">
      <w:pPr>
        <w:pStyle w:val="Heading4"/>
        <w:numPr>
          <w:ilvl w:val="0"/>
          <w:numId w:val="34"/>
        </w:numPr>
        <w:spacing w:before="240"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bookmarkStart w:id="11" w:name="_heading=h.p4qv7st87eos" w:colFirst="0" w:colLast="0"/>
      <w:bookmarkEnd w:id="11"/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Повышение эффективности наблюдений за океаном и обмена данными для обеспечения процессов планирования и разработки политики </w:t>
      </w:r>
    </w:p>
    <w:p w14:paraId="0C848247" w14:textId="5ED006B2" w:rsidR="00C5250E" w:rsidRPr="00907C6D" w:rsidRDefault="00C5250E" w:rsidP="0091228D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Стратегия будет направлена на увеличение объема и расширение доступности востребованных и необходимых научных данных, в том числе данных наблюдений за океаном, путем содействия обмену и координации между сообществами, занимающимися данными и управлением в сфере океана, в том числе в частном секторе. Использование коллективной инфраструктуры данных, созданной в рамках программ МОК, таких как Система океанографических данных и информации (ОДИС), нацелено на предоставление в режиме реального времени всеобъемлющих данных по океанографическим, экологическим, социально-культурным и экономическим аспектам. Стратегия будет направлена на устранение пробелов и удовлетворение потребностей в наблюдениях и оказание активной поддержки созданию объединенных и распределенных систем данных, инициативам по открытым данным и стандартизации переменных параметров океанических наблюдений, с тем чтобы обеспечить предоставление данных для достижения конкретных целей и поддержку принятия обоснованных решений. </w:t>
      </w:r>
    </w:p>
    <w:p w14:paraId="281E37D7" w14:textId="77777777" w:rsidR="00C5250E" w:rsidRPr="00907C6D" w:rsidRDefault="00C5250E" w:rsidP="00907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07C6D">
        <w:rPr>
          <w:rFonts w:asciiTheme="minorBidi" w:hAnsiTheme="minorBidi" w:cstheme="minorBidi"/>
          <w:b/>
          <w:bCs/>
          <w:sz w:val="22"/>
          <w:szCs w:val="22"/>
          <w:lang w:val="ru-RU"/>
        </w:rPr>
        <w:t>Направление деятельности: наблюдения, сбор данных и управление ими</w:t>
      </w:r>
    </w:p>
    <w:p w14:paraId="1AEB880D" w14:textId="50AFDB10" w:rsidR="00203442" w:rsidRPr="00907C6D" w:rsidRDefault="00C5250E" w:rsidP="00907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Theme="minorBidi" w:hAnsiTheme="minorBidi" w:cstheme="minorBidi"/>
          <w:color w:val="0D0D0D"/>
          <w:sz w:val="22"/>
          <w:szCs w:val="22"/>
          <w:lang w:val="ru-RU"/>
        </w:rPr>
      </w:pPr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Это направление деятельности, являющееся одной из основ настоящей стратегии, заключается в тактической доработке методов наблюдения, сбора данных и управления ими путем использования инновационных инструментов и технологий. Эта </w:t>
      </w:r>
      <w:r w:rsidRPr="00907C6D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работа включает в себя обязательство совершенствовать методы сбора данных и разрабатывать системы надежного обмена данными. Будут реализованы конкретные инициативы по подготовке кадров, с тем чтобы лица, ответственные за принятие решений, и заинтересованные стороны получили навыки, необходимые для эффективного использования этих инструментов для мониторинга, оценки и принятия обоснованных решений, что будет в конечном итоге способствовать устойчивому управлению в сфере океана. </w:t>
      </w:r>
    </w:p>
    <w:p w14:paraId="52C93924" w14:textId="43A2F35E" w:rsidR="00C54645" w:rsidRPr="0091228D" w:rsidRDefault="00C54645" w:rsidP="0091228D">
      <w:pPr>
        <w:pStyle w:val="Heading4"/>
        <w:numPr>
          <w:ilvl w:val="0"/>
          <w:numId w:val="34"/>
        </w:numPr>
        <w:spacing w:before="240"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Расширение </w:t>
      </w:r>
      <w:proofErr w:type="spellStart"/>
      <w:r w:rsidRPr="00907C6D">
        <w:rPr>
          <w:rFonts w:asciiTheme="minorBidi" w:hAnsiTheme="minorBidi" w:cstheme="minorBidi"/>
          <w:sz w:val="22"/>
          <w:szCs w:val="22"/>
          <w:lang w:val="ru-RU"/>
        </w:rPr>
        <w:t>межсекторального</w:t>
      </w:r>
      <w:proofErr w:type="spellEnd"/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 и трансграничного сотрудничества </w:t>
      </w:r>
    </w:p>
    <w:p w14:paraId="0CA1F6FE" w14:textId="0FB0711D" w:rsidR="00C54645" w:rsidRPr="00907C6D" w:rsidRDefault="00C54645" w:rsidP="0091228D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Признавая взаимосвязанный характер проблем океана, стратегия поощряет инклюзивные подходы к </w:t>
      </w:r>
      <w:proofErr w:type="spellStart"/>
      <w:r w:rsidRPr="00907C6D">
        <w:rPr>
          <w:rFonts w:asciiTheme="minorBidi" w:hAnsiTheme="minorBidi" w:cstheme="minorBidi"/>
          <w:sz w:val="22"/>
          <w:szCs w:val="22"/>
          <w:lang w:val="ru-RU"/>
        </w:rPr>
        <w:t>межсекторальному</w:t>
      </w:r>
      <w:proofErr w:type="spellEnd"/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 и трансграничному сотрудничеству и координации. Опираясь на основы сотрудничества, заложенные в существующих программах МОК, она способствует развитию партнерских отношений с различными правообладателями и заинтересованными сторонами, включая такие сектора, как энергетика, туризм, судоходство и рыболовство. Стратегия способствует развитию диалога и комплексного планирования в целях выявления областей возможного синергетического взаимодействия, компромиссных вариантов и взаимовыгодных решений в интересах устойчивого управления в сфере океана.</w:t>
      </w:r>
    </w:p>
    <w:p w14:paraId="3C8D2ABE" w14:textId="77777777" w:rsidR="00C54645" w:rsidRPr="00907C6D" w:rsidRDefault="00C54645" w:rsidP="00907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907C6D">
        <w:rPr>
          <w:rFonts w:asciiTheme="minorBidi" w:hAnsiTheme="minorBidi" w:cstheme="minorBidi"/>
          <w:b/>
          <w:bCs/>
          <w:sz w:val="22"/>
          <w:szCs w:val="22"/>
          <w:lang w:val="ru-RU"/>
        </w:rPr>
        <w:t>Направление деятельности: сотрудничество и взаимодействие с заинтересованными сторонами</w:t>
      </w:r>
    </w:p>
    <w:p w14:paraId="0EAD84E8" w14:textId="7EC5D58B" w:rsidR="00C54645" w:rsidRPr="00907C6D" w:rsidRDefault="00C54645" w:rsidP="00907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Для поддержки этого ожидаемого результата будет создана надежная совместная структура, которая позволит вовлечь в процесс планирования в сфере океана различные группы, включая коренные народы и местные общины. В интересах стимулирования международного сотрудничества и многостороннего взаимодействия будут укрепляться сети и совершенствоваться коммуникационные стратегии. Будут разработаны руководящие указания по созданию платформ для инклюзивного диалога и обмена передовым опытом в области совместного управления с учетом знаний коренных и местных народов, что будет способствовать учету культурных особенностей при управлении в сфере океана и сделает </w:t>
      </w:r>
      <w:proofErr w:type="spellStart"/>
      <w:r w:rsidRPr="00907C6D">
        <w:rPr>
          <w:rFonts w:asciiTheme="minorBidi" w:hAnsiTheme="minorBidi" w:cstheme="minorBidi"/>
          <w:sz w:val="22"/>
          <w:szCs w:val="22"/>
          <w:lang w:val="ru-RU"/>
        </w:rPr>
        <w:t>межсекторальное</w:t>
      </w:r>
      <w:proofErr w:type="spellEnd"/>
      <w:r w:rsidRPr="00907C6D">
        <w:rPr>
          <w:rFonts w:asciiTheme="minorBidi" w:hAnsiTheme="minorBidi" w:cstheme="minorBidi"/>
          <w:sz w:val="22"/>
          <w:szCs w:val="22"/>
          <w:lang w:val="ru-RU"/>
        </w:rPr>
        <w:t xml:space="preserve"> и трансграничное сотрудничество еще более насыщенным.</w:t>
      </w:r>
    </w:p>
    <w:p w14:paraId="7B816687" w14:textId="39A5C1CD" w:rsidR="00C54645" w:rsidRPr="008F2033" w:rsidRDefault="00C54645" w:rsidP="0091228D">
      <w:pPr>
        <w:pStyle w:val="Heading4"/>
        <w:numPr>
          <w:ilvl w:val="0"/>
          <w:numId w:val="34"/>
        </w:numPr>
        <w:spacing w:before="240"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bookmarkStart w:id="12" w:name="_heading=h.6htlemnpztcn" w:colFirst="0" w:colLast="0"/>
      <w:bookmarkEnd w:id="12"/>
      <w:r w:rsidRPr="008F2033">
        <w:rPr>
          <w:rFonts w:asciiTheme="minorBidi" w:hAnsiTheme="minorBidi" w:cstheme="minorBidi"/>
          <w:sz w:val="22"/>
          <w:szCs w:val="22"/>
          <w:lang w:val="ru-RU"/>
        </w:rPr>
        <w:t>Расширение базы знаний/укрепление потенциала заинтересованных сторон</w:t>
      </w:r>
    </w:p>
    <w:p w14:paraId="1C658426" w14:textId="5111C66E" w:rsidR="001F7FE0" w:rsidRPr="008F2033" w:rsidRDefault="00C54645" w:rsidP="0091228D">
      <w:pPr>
        <w:spacing w:after="24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Стратегия направлена на активизацию усилий по развитию потенциала во всех аспектах устойчивого планирования и управления в сфере океана и тесно увязана со всеобъемлющей стратегией МОК в области развития потенциала. Она будет опираться на текущую работу в рамках программ и инициатив МОК, расширяя ее масштабы и сосредоточивая внимание на мерах, необходимых для достижения шести ключевых результатов стратегии развития потенциала. Эти приоритетные результаты включают развитие кадровых ресурсов, расширение доступа к физической инфраструктуре, укрепление глобальных и региональных механизмов, содействие разработке политики океанографических исследований, повышение наглядности и осведомленности, а также активизацию устойчивого привлечения средств. Эта работа направлена на предоставление лицам, ответственным за принятие решений и разработку политики, правообладателям и заинтересованным </w:t>
      </w:r>
      <w:r w:rsidR="005B5843" w:rsidRPr="008F2033">
        <w:rPr>
          <w:rFonts w:asciiTheme="minorBidi" w:hAnsiTheme="minorBidi" w:cstheme="minorBidi"/>
          <w:sz w:val="22"/>
          <w:szCs w:val="22"/>
          <w:lang w:val="ru-RU"/>
        </w:rPr>
        <w:t>сторонам необходимых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навыков и знаний для эффективного управления на основе экосистемного подхода и районного планирования. </w:t>
      </w:r>
    </w:p>
    <w:p w14:paraId="7E92B5E9" w14:textId="77777777" w:rsidR="00C54645" w:rsidRPr="008F2033" w:rsidRDefault="00C54645" w:rsidP="005B2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Направление деятельности: развитие потенциала</w:t>
      </w:r>
    </w:p>
    <w:p w14:paraId="5D59A879" w14:textId="2F3EC878" w:rsidR="00C54645" w:rsidRPr="008F2033" w:rsidRDefault="00C54645" w:rsidP="005B2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В поддержку этого результата в рамках стратегии будет осуществляться целенаправленная программа развития потенциала, предусматривающая проведение практических занятий и семинаров с учетом потребностей пользователей, включая подготовку по вопросам контроля качества и анализа данных, при поддержке таких 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программ, как центр развития потенциала в области океана и Глобальная академия </w:t>
      </w:r>
      <w:r w:rsidR="005B2FE5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5B2FE5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. Дополнительная поддержка подразумевает включение планирования в сфере океана в национальные планы развития и содействие работе платформ обмена знаниями. Такой подход обеспечит соответствие национальной политики передовому международному опыту и создаст условия для принятия обоснованных решений и успешной реализации политики. Мероприятия по развитию потенциала будут осуществляться в тесной увязке с координационным центром по развитию потенциала в рамках стратегии МОК по развитию потенциала в целях выявления потребностей государств-членов и пользователей в поддержке укрепления потенциала в области устойчивого планирования и управления в сфере океана.</w:t>
      </w:r>
    </w:p>
    <w:p w14:paraId="53A11B79" w14:textId="68400651" w:rsidR="00C54645" w:rsidRPr="008F2033" w:rsidRDefault="00C54645" w:rsidP="0091228D">
      <w:pPr>
        <w:pStyle w:val="Heading4"/>
        <w:numPr>
          <w:ilvl w:val="0"/>
          <w:numId w:val="34"/>
        </w:numPr>
        <w:spacing w:before="240"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bookmarkStart w:id="13" w:name="_heading=h.4hhlxin3ve05" w:colFirst="0" w:colLast="0"/>
      <w:bookmarkEnd w:id="13"/>
      <w:r w:rsidRPr="008F2033">
        <w:rPr>
          <w:rFonts w:asciiTheme="minorBidi" w:hAnsiTheme="minorBidi" w:cstheme="minorBidi"/>
          <w:sz w:val="22"/>
          <w:szCs w:val="22"/>
          <w:lang w:val="ru-RU"/>
        </w:rPr>
        <w:t>Учет вопросов адаптации к изменению климата, смягчения его последствий, повышения устойчивости прибрежных районов и сохранения биоразнообразия в процессах планирования в сфере океана</w:t>
      </w:r>
    </w:p>
    <w:p w14:paraId="6C7D68CA" w14:textId="49CD3CAD" w:rsidR="00F66862" w:rsidRPr="008F2033" w:rsidRDefault="00A377DD" w:rsidP="0091228D">
      <w:pPr>
        <w:spacing w:after="240"/>
        <w:ind w:left="1134" w:hanging="567"/>
        <w:jc w:val="both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sz w:val="22"/>
          <w:szCs w:val="22"/>
          <w:lang w:val="ru-RU"/>
        </w:rPr>
        <w:tab/>
      </w:r>
      <w:r w:rsidR="00C54645" w:rsidRPr="008F2033">
        <w:rPr>
          <w:rFonts w:asciiTheme="minorBidi" w:hAnsiTheme="minorBidi" w:cstheme="minorBidi"/>
          <w:sz w:val="22"/>
          <w:szCs w:val="22"/>
          <w:lang w:val="ru-RU"/>
        </w:rPr>
        <w:t>В связи с острой необходимостью решения проблем, связанных с последствиями изменения климата и утратой морского биоразнообразия, в стратегии предлагаются меры по включению вопросов адаптации к изменению климата/смягчения его последствий, а также сохранения и восстановления экосистем в процессы планирования в сфере океана. Эта деятельность будет включать координацию с инициативами МОК, касающимися климата, биоразнообразия и опасных явлений в прибрежных районах, в целях разработки инструментов и руководящих принципов, которые будут способствовать формулированию и принятию мер по обеспечению устойчивости, а также производству научных знаний о роли экосистем океана в решении климатических проблем, например, связанных с природной средой голубого углерода и связанными с ней экосистемами, предоставляющими услуги. Включая данные климатологии и прогнозов в процессы планирования, стратегия будет ориентироваться на подготовку стран к эффективному управлению рисками и факторами уязвимости, связанными с климатом и прибрежными опасными явлениями.</w:t>
      </w:r>
    </w:p>
    <w:p w14:paraId="3F6FC432" w14:textId="13F9B39D" w:rsidR="00344F7B" w:rsidRPr="008F2033" w:rsidRDefault="00C54645" w:rsidP="00A3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1134"/>
        <w:rPr>
          <w:rFonts w:asciiTheme="minorBidi" w:hAnsiTheme="minorBidi" w:cstheme="minorBidi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Направление деятельности: разработка руководящих принципов и помощь в планировании</w:t>
      </w:r>
    </w:p>
    <w:p w14:paraId="31A529B3" w14:textId="6F44F343" w:rsidR="00C54645" w:rsidRPr="008F2033" w:rsidRDefault="00C54645" w:rsidP="00A377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both"/>
        <w:rPr>
          <w:rFonts w:asciiTheme="minorBidi" w:hAnsiTheme="minorBidi" w:cstheme="minorBidi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t>Для поддержки этого ожидаемого результата в стратегии предусмотрены разработка и распространение специализированных руководств и помощь в планировании. Эти инструменты и рамочные документы, предназначенные для принятия мер по адаптации к изменению климата и обеспечению устойчивости прибрежных районов, станут частью технической поддержки государств-членов, которая поможет им включить эти меры в их системы управления в сфере океана. Эта инициатива направлена на укрепление потенциала государственных органов в целях реализации эффективных стратегий реагирования на климатические и прибрежные риски, популяризации практических методов, адаптируемых к меняющимся климатическим условиям, а также обеспечения устойчивости и учета изменений окружающей среды при планировании в сфере океана.</w:t>
      </w:r>
    </w:p>
    <w:p w14:paraId="14928122" w14:textId="2C32343B" w:rsidR="00C54645" w:rsidRPr="00C8316A" w:rsidRDefault="00C54645" w:rsidP="0091228D">
      <w:pPr>
        <w:pStyle w:val="Heading2"/>
        <w:numPr>
          <w:ilvl w:val="0"/>
          <w:numId w:val="42"/>
        </w:numPr>
        <w:spacing w:before="240" w:after="240"/>
        <w:ind w:left="567" w:hanging="567"/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bookmarkStart w:id="14" w:name="_Toc168996884"/>
      <w:r w:rsidRPr="00C8316A">
        <w:rPr>
          <w:rFonts w:asciiTheme="minorBidi" w:hAnsiTheme="minorBidi" w:cstheme="minorBidi"/>
          <w:b/>
          <w:bCs/>
          <w:color w:val="000000" w:themeColor="text1"/>
          <w:sz w:val="22"/>
          <w:szCs w:val="22"/>
          <w:lang w:val="ru-RU"/>
        </w:rPr>
        <w:t>Осуществление</w:t>
      </w:r>
      <w:bookmarkEnd w:id="14"/>
    </w:p>
    <w:p w14:paraId="62084564" w14:textId="5536C606" w:rsidR="009B591C" w:rsidRPr="008F2033" w:rsidRDefault="00C54645" w:rsidP="008F2033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t>Планы осуществления стратегии МОК по устойчивому планированию и управлению в сфере океана (2024-2030 гг.) будут разрабатываться и осуществляться совместно различными программами МОК в тесном сотрудничестве с государствами</w:t>
      </w:r>
      <w:r w:rsidR="00C8316A">
        <w:rPr>
          <w:rFonts w:asciiTheme="minorBidi" w:hAnsiTheme="minorBidi" w:cstheme="minorBidi"/>
          <w:sz w:val="22"/>
          <w:szCs w:val="22"/>
          <w:lang w:val="ru-RU"/>
        </w:rPr>
        <w:t xml:space="preserve"> – 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членами МОК. Поскольку эта стратегия охватывает широкий спектр различных аспектов планирования и управления в сфере океана, жизненно важное значение будут иметь непрерывное представление материалов и актуальной информации о ходе работы как государствами-членами, так и программами МОК.</w:t>
      </w:r>
    </w:p>
    <w:p w14:paraId="22B94DD2" w14:textId="79E44749" w:rsidR="00C54645" w:rsidRPr="008F2033" w:rsidRDefault="00C54645" w:rsidP="008F2033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lastRenderedPageBreak/>
        <w:t xml:space="preserve">Центральную роль в достижении целей стратегии будут играть партнерские связи на основе совместной работы. Благодаря своей обширной сети экспертов и приверженности глобальному и региональному сотрудничеству МОК предлагает государствам-членам ценную поддержку в развитии потенциала в различных аспектах планирования и управления в сфере океана. Реализация настоящей стратегии будет включать: </w:t>
      </w:r>
    </w:p>
    <w:p w14:paraId="2F32F2E8" w14:textId="7AA5B2D4" w:rsidR="003330BA" w:rsidRPr="008F2033" w:rsidRDefault="00C54645" w:rsidP="00733D88">
      <w:pPr>
        <w:pStyle w:val="ListParagraph"/>
        <w:numPr>
          <w:ilvl w:val="5"/>
          <w:numId w:val="48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Региональное взаимодействие.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Создание региональных вспомогательных органов (РВО), таких как МОКАРИБ, МОКАФРИКА, ВЕСТПАК и ИОСИНДИО, на протяжении десятилетий способствовало развитию регионального сотрудничества и обмена знаниями в рамках МОК ЮНЕСКО. Эти органы в первую очередь стимулируют сотрудничество на региональном уровне в интересах решения общих для государств-членов в каждом регионе проблем океана в координации с глобальными программами. РВО МОК находятся на разных уровнях развития, однако они уже ведут совместную деятельность в области МПП путем реализации региональных экспериментальных проектов и совместных инициатив, в рамках которых страны и заинтересованные стороны в одном регионе занимаются совместным поиском решений для общих задач, обмениваются опытом и разрабатывают скоординированные трансграничные подходы, имеющие решающее значение для выживания экосистем океана и прибрежных сообществ. Поскольку стратегия будет осуществляться на региональном и национальном уровнях, потребуется взаимодействие между РВО и другими региональными объединениями по вопросам океана вне МОК (такими, как региональные альянсы Глобальной системы наблюдений за океаном, конвенции по региональным морям и КМЭ) в целях определения приоритетов и реализуемых на практике мер для конкретных регионов с обеспечением региональной автономии и оперативного реагирования в интересах управления программой в соответствии с зависящими от местных условий потребностями.</w:t>
      </w:r>
    </w:p>
    <w:p w14:paraId="7CC9EEB6" w14:textId="2F5DB864" w:rsidR="00C5250E" w:rsidRPr="008F2033" w:rsidRDefault="00C54645" w:rsidP="00AE6EBF">
      <w:pPr>
        <w:pStyle w:val="ListParagraph"/>
        <w:numPr>
          <w:ilvl w:val="5"/>
          <w:numId w:val="48"/>
        </w:numPr>
        <w:spacing w:after="120"/>
        <w:ind w:left="1134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Программы МОК</w:t>
      </w:r>
      <w:r w:rsidR="005B5843"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.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Стратегия разработана с целью предоставления программам и проектам МОК всеобъемлющих рекомендаций, с тем чтобы обеспечить согласование мер в области планирования в океане и прибрежных районах и управления ими. Будут использоваться существующие инициативы и укрепляться координация в интересах обеспечения согласованности проектов, направленных на достижение стратегических целей настоящей стратегии. Для этого необходимо воспользоваться консультациями экспертов в уже сложившихся форматах, таких как Объединенная группа экспертов по научным аспектам защиты морской среды (ГЕСАМП). Будут также приняты меры по обеспечению доступности ресурсов и данных всех программ и проектов с помощью соответствующих платформ с открытым доступом, таких как портал грамотности в связанных с океаном вопросах, Система океанографических данных и информации (ОДИС), Информационная система по океаническому биоразнообразию (ОБИС) и др. Кроме того, стратегия будет способствовать сотрудничеству и развитию потенциала с помощью таких инициатив, как Глобальная академия </w:t>
      </w:r>
      <w:r w:rsidR="00733D88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Океан-инструктор</w:t>
      </w:r>
      <w:r w:rsidR="00733D88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, центр развития потенциала в области океана или сеть молодых специалистов по океану.</w:t>
      </w:r>
    </w:p>
    <w:p w14:paraId="43CAE165" w14:textId="16687CDB" w:rsidR="00C5250E" w:rsidRPr="008F2033" w:rsidRDefault="00733D88" w:rsidP="00AE6EBF">
      <w:pPr>
        <w:pStyle w:val="ListParagraph"/>
        <w:spacing w:after="120"/>
        <w:ind w:left="1134" w:hanging="567"/>
        <w:contextualSpacing w:val="0"/>
        <w:jc w:val="both"/>
        <w:rPr>
          <w:rFonts w:asciiTheme="minorBidi" w:hAnsiTheme="minorBidi" w:cstheme="minorBidi"/>
          <w:sz w:val="22"/>
          <w:szCs w:val="22"/>
          <w:lang w:val="ru-RU"/>
        </w:rPr>
      </w:pPr>
      <w:r>
        <w:rPr>
          <w:rFonts w:asciiTheme="minorBidi" w:hAnsiTheme="minorBidi" w:cstheme="minorBidi"/>
          <w:sz w:val="22"/>
          <w:szCs w:val="22"/>
          <w:lang w:val="ru-RU"/>
        </w:rPr>
        <w:tab/>
      </w:r>
      <w:r w:rsidR="00C54645" w:rsidRPr="008F2033">
        <w:rPr>
          <w:rFonts w:asciiTheme="minorBidi" w:hAnsiTheme="minorBidi" w:cstheme="minorBidi"/>
          <w:sz w:val="22"/>
          <w:szCs w:val="22"/>
          <w:lang w:val="ru-RU"/>
        </w:rPr>
        <w:t>Стратегия также будет способствовать повышению эффективности уже существующих совместных проектов, например, совместных мероприятий МОК с</w:t>
      </w:r>
      <w:r w:rsidR="005B5843" w:rsidRPr="008F2033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="00C54645" w:rsidRPr="008F2033">
        <w:rPr>
          <w:rFonts w:asciiTheme="minorBidi" w:hAnsiTheme="minorBidi" w:cstheme="minorBidi"/>
          <w:sz w:val="22"/>
          <w:szCs w:val="22"/>
          <w:lang w:val="ru-RU"/>
        </w:rPr>
        <w:t xml:space="preserve">Морской программой всемирного наследия (МПВН) ЮНЕСКО, направленных на обеспечение охраны морских объектов МПВН в рамках соответствующих планов управления, а также с сетью морских и прибрежных биосферных заповедников ЮНЕСКО. Помимо этого, ключевую роль будет играть проект МПП Глобал, учитывая уже разработанные руководящие принципы и передовой опыт в области МПП, которые представляют собой ценные инструменты и ресурсы для лиц, ответственных за разработку политики. Эти ресурсы помогают разрабатывать инклюзивные и адаптируемые процессы МПП, учитывающие экологические, социальные и экономические факторы при принятии решений. Опираясь на имеющийся опыт, стратегия позволит расширить и адаптировать эти ресурсы для расширения охвата планирования и управления в сфере океана. </w:t>
      </w:r>
    </w:p>
    <w:p w14:paraId="045280C6" w14:textId="0E44A73B" w:rsidR="00C54645" w:rsidRPr="008F2033" w:rsidRDefault="00C54645" w:rsidP="00733D88">
      <w:pPr>
        <w:pStyle w:val="ListParagraph"/>
        <w:numPr>
          <w:ilvl w:val="5"/>
          <w:numId w:val="49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Сотрудничество с организациями в рамках системы ООН и за ее пределами.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В рамках стратегии будет продолжено взаимодействие с различными организациями и программами системы ООН и за ее пределами с опорой на существующие партнерские связи. К таким организациям относятся, например, Программа ООН по окружающей среде (ЮНЕП), Всемирная метеорологическая организация (ВМО), Конвенция о биологическом разнообразии (КБР), Программа развития ООН (ПРООН), Продовольственная и сельскохозяйственная организация (ФАО), Европейская комиссия и Коалиция действий в интересах океана в период до 2030 г. </w:t>
      </w:r>
    </w:p>
    <w:p w14:paraId="13488EC8" w14:textId="29400720" w:rsidR="00C54645" w:rsidRPr="008F2033" w:rsidRDefault="00C54645" w:rsidP="00733D88">
      <w:pPr>
        <w:pStyle w:val="ListParagraph"/>
        <w:numPr>
          <w:ilvl w:val="5"/>
          <w:numId w:val="49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Сотрудничество с внешними партнерами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. Сотрудничество с МПО и НПО будет способствовать накоплению опыта в области информационно-разъяснительной деятельности, взаимодействия с общинами, а также знаний коренного и местного населения в интересах более инклюзивного и справедливого с социальной точки зрения планирования в сфере океана. Параллельное взаимодействие с академическими учреждениями будет способствовать научному прогрессу, принятию решений на основе фактических данных и подготовке будущих специалистов по планированию в сфере океана. Кроме того, партнерские отношения с частным сектором позволят задействовать ресурсы, инновации и отраслевой опыт для повышения эффективности инициатив по планированию в сфере океана, а также обеспечить их соответствие требованиям, что является залогом общего успеха. В свою очередь, сотрудничество с информационными агентствами будет способствовать повышению осведомленности, взаимодействию с общественностью и разъяснению важного значения устойчивого планирования и управления в сфере океана. Эти партнерские связи будут стимулировать исследования, инновации и обмен знаниями, что приведет к созданию передовых инструментов и методологий для эффективного практического планирования в сфере океана.</w:t>
      </w:r>
    </w:p>
    <w:p w14:paraId="3B842F4F" w14:textId="16B04E79" w:rsidR="001F7011" w:rsidRPr="008F2033" w:rsidRDefault="001F7011" w:rsidP="00733D88">
      <w:pPr>
        <w:pStyle w:val="ListParagraph"/>
        <w:numPr>
          <w:ilvl w:val="5"/>
          <w:numId w:val="49"/>
        </w:numPr>
        <w:spacing w:after="240"/>
        <w:ind w:left="1134" w:hanging="567"/>
        <w:contextualSpacing w:val="0"/>
        <w:jc w:val="both"/>
        <w:rPr>
          <w:rFonts w:asciiTheme="minorBidi" w:hAnsiTheme="minorBidi" w:cstheme="minorBidi"/>
          <w:b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Десятилетие океана</w:t>
      </w:r>
      <w:r w:rsidR="00416686"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.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Важной задачей МОК является оказание помощи и содействие в проведении Десятилетия ООН, посвященного науке об океане в интересах устойчивого развития (именуемого далее </w:t>
      </w:r>
      <w:r w:rsidR="00733D88">
        <w:rPr>
          <w:rFonts w:asciiTheme="minorBidi" w:hAnsiTheme="minorBidi" w:cstheme="minorBidi"/>
          <w:sz w:val="22"/>
          <w:szCs w:val="22"/>
          <w:lang w:val="ru-RU"/>
        </w:rPr>
        <w:t>«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Десятилетие океана</w:t>
      </w:r>
      <w:r w:rsidR="00733D88">
        <w:rPr>
          <w:rFonts w:asciiTheme="minorBidi" w:hAnsiTheme="minorBidi" w:cstheme="minorBidi"/>
          <w:sz w:val="22"/>
          <w:szCs w:val="22"/>
          <w:lang w:val="ru-RU"/>
        </w:rPr>
        <w:t>»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). Разрабатываемая в настоящее время программа Десятилетия по устойчивому планированию в сфере океана, представленная на посвященной Десятилетию океана конференции 2024 г. в Барселоне, дополняет общую стратегию МОК по устойчивому планированию и управлению в сфере океана (2024-2030 гг.) и представляет собой вспомогательный инструмент для реализации национальных стратегий в области устойчивого планирования и управления в сфере океана. Совместно разработанные и совместно осуществляемые мероприятия этой программы будут способствовать реализации проектов, направленных на устранение критических для го</w:t>
      </w:r>
      <w:r w:rsidR="000D3429">
        <w:rPr>
          <w:rFonts w:asciiTheme="minorBidi" w:hAnsiTheme="minorBidi" w:cstheme="minorBidi"/>
          <w:sz w:val="22"/>
          <w:szCs w:val="22"/>
          <w:lang w:val="ru-RU"/>
        </w:rPr>
        <w:softHyphen/>
      </w:r>
      <w:r w:rsidR="000D3429">
        <w:rPr>
          <w:rFonts w:asciiTheme="minorBidi" w:hAnsiTheme="minorBidi" w:cstheme="minorBidi"/>
          <w:sz w:val="22"/>
          <w:szCs w:val="22"/>
          <w:lang w:val="ru-RU"/>
        </w:rPr>
        <w:softHyphen/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су</w:t>
      </w:r>
      <w:r w:rsidR="000D3429">
        <w:rPr>
          <w:rFonts w:asciiTheme="minorBidi" w:hAnsiTheme="minorBidi" w:cstheme="minorBidi"/>
          <w:sz w:val="22"/>
          <w:szCs w:val="22"/>
          <w:lang w:val="ru-RU"/>
        </w:rPr>
        <w:softHyphen/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дарств-членов пробелов в области науки, знаний и развития потенциала. Кроме того, ее цикличный подход позволяет адаптировать и уточнять приоритеты для решения возникающих задач. Такое синергетическое взаимодействие имеет важнейшее значение для достижения целей общей стратегии МОК и стимулирует применение комплексных, адаптивных и устойчивых методов управления в сфере океана, которые укрепляют глобальное и региональное сотрудничество и способствуют долгосрочной устойчивости и сбалансированности экономики океана.</w:t>
      </w:r>
    </w:p>
    <w:p w14:paraId="6E983202" w14:textId="765DE26E" w:rsidR="003330BA" w:rsidRPr="00733D88" w:rsidRDefault="00C54645" w:rsidP="008F2033">
      <w:pPr>
        <w:pStyle w:val="Heading2"/>
        <w:spacing w:before="240" w:after="240"/>
        <w:rPr>
          <w:rFonts w:asciiTheme="minorBidi" w:hAnsiTheme="minorBidi" w:cstheme="minorBidi"/>
          <w:color w:val="000000" w:themeColor="text1"/>
          <w:sz w:val="22"/>
          <w:szCs w:val="22"/>
          <w:u w:val="single"/>
        </w:rPr>
      </w:pPr>
      <w:bookmarkStart w:id="15" w:name="_Toc168996885"/>
      <w:r w:rsidRPr="00733D88">
        <w:rPr>
          <w:rFonts w:asciiTheme="minorBidi" w:hAnsiTheme="minorBidi" w:cstheme="minorBidi"/>
          <w:color w:val="000000" w:themeColor="text1"/>
          <w:sz w:val="22"/>
          <w:szCs w:val="22"/>
          <w:u w:val="single"/>
          <w:lang w:val="ru-RU"/>
        </w:rPr>
        <w:t>Руководство осуществлением</w:t>
      </w:r>
      <w:bookmarkEnd w:id="15"/>
    </w:p>
    <w:p w14:paraId="27182A25" w14:textId="2AB9CA0B" w:rsidR="00C54645" w:rsidRPr="008F2033" w:rsidRDefault="00C54645" w:rsidP="008F2033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color w:val="000000" w:themeColor="text1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Для руководства эффективным осуществлением этой стратегии будет создана </w:t>
      </w:r>
      <w:r w:rsidRPr="008F2033">
        <w:rPr>
          <w:rFonts w:asciiTheme="minorBidi" w:hAnsiTheme="minorBidi" w:cstheme="minorBidi"/>
          <w:sz w:val="22"/>
          <w:szCs w:val="22"/>
          <w:u w:val="single"/>
          <w:lang w:val="ru-RU"/>
        </w:rPr>
        <w:t>рабочая группа МОК по устойчивому планированию и управлению в сфере океана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. Эта группа будет отвечать за мониторинг и руководство связанными с планированием и управлением в сфере океана мероприятиями в рамках всех программ МОК, а также за осуществление новых мер по просьбе руководящих органов МОК. Она также будет играть решающую роль в разработке и реализации стратегии. Будет разработан план осуществления, который будет регулярно обновляться в целях согласования работы с развивающимися инструментами и международными научными нормативными документами.</w:t>
      </w:r>
    </w:p>
    <w:p w14:paraId="4F99AB84" w14:textId="202140B1" w:rsidR="00C54645" w:rsidRPr="008F2033" w:rsidRDefault="00C54645" w:rsidP="008F2033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color w:val="000000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lastRenderedPageBreak/>
        <w:t>Эффективное функционирование рабочей группы будет обеспечено благодаря ее представительному членскому составу; в случае необходимости и если это будет целесообразно</w:t>
      </w:r>
      <w:r w:rsidR="00C76C9D">
        <w:rPr>
          <w:rFonts w:asciiTheme="minorBidi" w:hAnsiTheme="minorBidi" w:cstheme="minorBidi"/>
          <w:sz w:val="22"/>
          <w:szCs w:val="22"/>
          <w:lang w:val="ru-RU"/>
        </w:rPr>
        <w:t>,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группа сможет также привлекать дополнительных специалистов. В членский состав будут входить представители региональных вспомогательных органов МОК и представители, назначенные руководящими органами каждой программы МОК (в соответствующих случаях), а также эксперты, назначенные государствами</w:t>
      </w:r>
      <w:r w:rsidR="00C76C9D">
        <w:rPr>
          <w:rFonts w:asciiTheme="minorBidi" w:hAnsiTheme="minorBidi" w:cstheme="minorBidi"/>
          <w:sz w:val="22"/>
          <w:szCs w:val="22"/>
          <w:lang w:val="ru-RU"/>
        </w:rPr>
        <w:t xml:space="preserve"> – 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членами МОК в ответ на циркулярное письмо с соответствующим запросом. Сопредседателей предлагается назначать на основе принципа ротации, этот вопрос еще будет дополнительно обсуждаться.</w:t>
      </w:r>
    </w:p>
    <w:p w14:paraId="7BECDCAD" w14:textId="2B3D3A63" w:rsidR="00C54645" w:rsidRPr="008F2033" w:rsidRDefault="00C54645" w:rsidP="008F2033">
      <w:pPr>
        <w:pStyle w:val="ListParagraph"/>
        <w:numPr>
          <w:ilvl w:val="0"/>
          <w:numId w:val="37"/>
        </w:numPr>
        <w:spacing w:after="240"/>
        <w:ind w:left="0" w:firstLine="0"/>
        <w:contextualSpacing w:val="0"/>
        <w:jc w:val="both"/>
        <w:rPr>
          <w:rFonts w:asciiTheme="minorBidi" w:hAnsiTheme="minorBidi" w:cstheme="minorBidi"/>
          <w:bCs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Рабочая группа будет собираться два раза в год и на первом этапе будет руководить разработкой </w:t>
      </w:r>
      <w:r w:rsidRPr="008F2033">
        <w:rPr>
          <w:rFonts w:asciiTheme="minorBidi" w:hAnsiTheme="minorBidi" w:cstheme="minorBidi"/>
          <w:sz w:val="22"/>
          <w:szCs w:val="22"/>
          <w:u w:val="single"/>
          <w:lang w:val="ru-RU"/>
        </w:rPr>
        <w:t>стратегии осуществления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>, а затем вести мониторинг и собирать актуальную информацию о ходе реализации стратегии, рассматривая конкретные вопросы, связанные с программой в области устойчивого планирования и управления в сфере океана, а также возникающие проблемы. Государства-члены будут получать обновленную информацию для представления замечаний один раз в двухлетний период в течение всего срока действия стратегии, в соответствии с расписанием сессий Ассамблеи в рамках постоянного пункта ее повестки дня. Кроме того, рабочая группа подготовит рекомендации для учета в процессах разработки среднесрочных стратегий ЮНЕСКО и МОК, которая начнется в 2027 г. Совещания группы позволят обеспечить последовательный надзор за осуществлением стратегии и ее постоянную доработку, что будет способствовать повышению ее эффективности и адаптируемости к меняющимся вызовам и возможностям.</w:t>
      </w:r>
    </w:p>
    <w:p w14:paraId="0527D4CC" w14:textId="77777777" w:rsidR="00C54645" w:rsidRPr="008F2033" w:rsidRDefault="00C54645" w:rsidP="0091228D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Theme="minorBidi" w:hAnsiTheme="minorBidi" w:cstheme="minorBidi"/>
          <w:i/>
          <w:color w:val="4E5763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t>Таблица 1.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8F2033">
        <w:rPr>
          <w:rFonts w:asciiTheme="minorBidi" w:hAnsiTheme="minorBidi" w:cstheme="minorBidi"/>
          <w:i/>
          <w:iCs/>
          <w:sz w:val="22"/>
          <w:szCs w:val="22"/>
          <w:lang w:val="ru-RU"/>
        </w:rPr>
        <w:t>Направления деятельности, ориентированные на достижение стратегических целей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5"/>
        <w:gridCol w:w="2140"/>
        <w:gridCol w:w="5749"/>
      </w:tblGrid>
      <w:tr w:rsidR="003330BA" w:rsidRPr="006C6B79" w14:paraId="72226884" w14:textId="77777777" w:rsidTr="00783168">
        <w:trPr>
          <w:trHeight w:val="492"/>
          <w:tblHeader/>
        </w:trPr>
        <w:tc>
          <w:tcPr>
            <w:tcW w:w="1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231F0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B7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>Направления деятельности</w:t>
            </w:r>
          </w:p>
        </w:tc>
        <w:tc>
          <w:tcPr>
            <w:tcW w:w="214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285AC" w14:textId="07C01B61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6C6B7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 xml:space="preserve">Программы и </w:t>
            </w:r>
            <w:r w:rsidR="006C6B7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br/>
            </w:r>
            <w:r w:rsidRPr="006C6B7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>проекты МОК</w:t>
            </w:r>
          </w:p>
        </w:tc>
        <w:tc>
          <w:tcPr>
            <w:tcW w:w="5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8F0E40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C6B7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>Примеры</w:t>
            </w:r>
          </w:p>
        </w:tc>
      </w:tr>
      <w:tr w:rsidR="003330BA" w:rsidRPr="00C72E78" w14:paraId="0F5EE8E3" w14:textId="77777777" w:rsidTr="00783168">
        <w:trPr>
          <w:trHeight w:val="444"/>
        </w:trPr>
        <w:tc>
          <w:tcPr>
            <w:tcW w:w="17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83CB" w14:textId="555134CE" w:rsidR="00C54645" w:rsidRPr="006C6B79" w:rsidRDefault="00C54645" w:rsidP="008F2033">
            <w:pPr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</w:rPr>
            </w:pPr>
            <w:r w:rsidRPr="006C6B7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Развитие </w:t>
            </w:r>
            <w:r w:rsidR="00AE6EBF" w:rsidRPr="006C6B7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br/>
            </w:r>
            <w:r w:rsidRPr="006C6B7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потенциала</w:t>
            </w:r>
          </w:p>
        </w:tc>
        <w:tc>
          <w:tcPr>
            <w:tcW w:w="21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C410" w14:textId="39F541CB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Глобальная академия </w:t>
            </w:r>
            <w:r w:rsidR="00AE6EBF" w:rsidRPr="006C6B79">
              <w:rPr>
                <w:rFonts w:ascii="Arial" w:hAnsi="Arial" w:cs="Arial"/>
                <w:sz w:val="20"/>
                <w:szCs w:val="20"/>
                <w:lang w:val="ru-RU"/>
              </w:rPr>
              <w:t>«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Океан-инструктор</w:t>
            </w:r>
            <w:r w:rsidR="00AE6EBF" w:rsidRPr="006C6B79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, центр развития потенциала в области океана,</w:t>
            </w:r>
            <w:r w:rsidR="00AE6EBF"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реестр </w:t>
            </w:r>
            <w:r w:rsidR="00AE6EBF" w:rsidRPr="006C6B79">
              <w:rPr>
                <w:rFonts w:ascii="Arial" w:hAnsi="Arial" w:cs="Arial"/>
                <w:sz w:val="20"/>
                <w:szCs w:val="20"/>
                <w:lang w:val="ru-RU"/>
              </w:rPr>
              <w:t>«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Океан-Эксперт</w:t>
            </w:r>
            <w:r w:rsidR="00AE6EBF" w:rsidRPr="006C6B79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, портал по распространению грамотности в связанных с океаном вопросах,</w:t>
            </w:r>
          </w:p>
          <w:p w14:paraId="15746EDC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профессиональная сеть молодых специалистов по вопросам океана</w:t>
            </w:r>
          </w:p>
          <w:p w14:paraId="2ECDA79E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42CFF" w14:textId="66F5A64E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Проведение семинаров для обмена опытом между государствами-членами и сообществами специалистов-практиков.</w:t>
            </w:r>
          </w:p>
        </w:tc>
      </w:tr>
      <w:tr w:rsidR="003330BA" w:rsidRPr="00C72E78" w14:paraId="5AC2F806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9136C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AF09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CF9AB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Организация программ развития потенциала, включая учебные курсы по планированию и управлению в сфере океана.</w:t>
            </w:r>
          </w:p>
        </w:tc>
      </w:tr>
      <w:tr w:rsidR="003330BA" w:rsidRPr="00C72E78" w14:paraId="33642B2F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1F565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D6CB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FFEF0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Обучение лиц, занимающихся сбором данных, и руководителей проектов по всем аспектам сбора данных и управления данными.</w:t>
            </w:r>
          </w:p>
        </w:tc>
      </w:tr>
      <w:tr w:rsidR="003330BA" w:rsidRPr="00C72E78" w14:paraId="5DB13AAC" w14:textId="77777777" w:rsidTr="00A84818">
        <w:trPr>
          <w:trHeight w:val="215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766E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110F5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46D48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Проведение учебных курсов по получению информации из данных.</w:t>
            </w:r>
          </w:p>
        </w:tc>
      </w:tr>
      <w:tr w:rsidR="003330BA" w:rsidRPr="00C72E78" w14:paraId="277D5F30" w14:textId="77777777" w:rsidTr="00783168">
        <w:trPr>
          <w:trHeight w:val="519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4B851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FE17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9EE71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Оказание технической поддержки государствам-членам, желающим включить планирование в сфере океана в национальные и региональные планы развития.</w:t>
            </w:r>
          </w:p>
        </w:tc>
      </w:tr>
      <w:tr w:rsidR="003330BA" w:rsidRPr="00C72E78" w14:paraId="1FC59B49" w14:textId="77777777" w:rsidTr="00783168">
        <w:trPr>
          <w:trHeight w:val="599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6AE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74881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B5713A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Создание платформ для обмена информацией о согласовании национальной политики с утвержденным передовым опытом или методологиями и существующих глобальных процессах оценки в области управления океаном.</w:t>
            </w:r>
          </w:p>
        </w:tc>
      </w:tr>
      <w:tr w:rsidR="003330BA" w:rsidRPr="00C72E78" w14:paraId="04AFAE58" w14:textId="77777777" w:rsidTr="00783168">
        <w:trPr>
          <w:trHeight w:val="559"/>
        </w:trPr>
        <w:tc>
          <w:tcPr>
            <w:tcW w:w="17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2F17E" w14:textId="77777777" w:rsidR="00C54645" w:rsidRPr="006C6B79" w:rsidRDefault="00C54645" w:rsidP="006C6B79">
            <w:pPr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</w:rPr>
            </w:pPr>
            <w:r w:rsidRPr="006C6B7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Сотрудничество и коммуникация</w:t>
            </w:r>
          </w:p>
        </w:tc>
        <w:tc>
          <w:tcPr>
            <w:tcW w:w="21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74E4" w14:textId="77777777" w:rsidR="00C54645" w:rsidRPr="006C6B79" w:rsidRDefault="00C54645" w:rsidP="006C6B79">
            <w:pPr>
              <w:keepLines/>
              <w:widowControl w:val="0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Региональные вспомогательные органы, Объединенная группа экспертов по научным аспектам защиты морской среды, Океан-ОПС</w:t>
            </w:r>
          </w:p>
        </w:tc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C546E" w14:textId="77777777" w:rsidR="00C54645" w:rsidRPr="006C6B79" w:rsidRDefault="00C54645" w:rsidP="00AE6EBF">
            <w:pPr>
              <w:keepLines/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Оказание целевой и ориентированной на конкретные условия поддержки путем предоставления специализированных знаний и опыта лицам, ответственным за принятие решений, и руководителям проектов.</w:t>
            </w:r>
          </w:p>
        </w:tc>
      </w:tr>
      <w:tr w:rsidR="003330BA" w:rsidRPr="00C72E78" w14:paraId="083EA80C" w14:textId="77777777" w:rsidTr="00783168">
        <w:trPr>
          <w:trHeight w:val="499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02A27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DFF40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D5EEFF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Содействие обмену между государствами-членами опытом и практическими выводами, извлеченными в ходе 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реализации экспериментальных проектов по устойчивому планированию и управлению в сфере океана.</w:t>
            </w:r>
          </w:p>
        </w:tc>
      </w:tr>
      <w:tr w:rsidR="003330BA" w:rsidRPr="00C72E78" w14:paraId="1868A30A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199A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0FA3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1A3DF" w14:textId="78F9DCF8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Созыв </w:t>
            </w:r>
            <w:proofErr w:type="spellStart"/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межсекторальных</w:t>
            </w:r>
            <w:proofErr w:type="spellEnd"/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 и трансграничных рабочих групп или комитетов для рассмотрения общих проблем и возможностей.</w:t>
            </w:r>
          </w:p>
        </w:tc>
      </w:tr>
      <w:tr w:rsidR="003330BA" w:rsidRPr="00C72E78" w14:paraId="00E6CB92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8862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3D199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CA4B0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Организация совместных проектов и инициатив, направленных на популяризацию устойчивого планирования и управления в сфере океана в различных секторах.</w:t>
            </w:r>
          </w:p>
        </w:tc>
      </w:tr>
      <w:tr w:rsidR="003330BA" w:rsidRPr="00C72E78" w14:paraId="7A77A1D2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C50BE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656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95110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Оказание поддержки государствам-членам в сфере коммуникации и разработка коммуникационных стратегий.</w:t>
            </w:r>
          </w:p>
        </w:tc>
      </w:tr>
      <w:tr w:rsidR="003330BA" w:rsidRPr="00C72E78" w14:paraId="56BC0B51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7F710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11BB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9B0281" w14:textId="09734278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Создание (или развитие существующих) механизмов, позволяющих вовлекать коренные народы и местные общины в процессы принятия решений.</w:t>
            </w:r>
          </w:p>
        </w:tc>
      </w:tr>
      <w:tr w:rsidR="003330BA" w:rsidRPr="00C72E78" w14:paraId="546EB254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1765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D1F8F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08EAF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Создание механизмов для текущей </w:t>
            </w:r>
            <w:proofErr w:type="spellStart"/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межсекторальной</w:t>
            </w:r>
            <w:proofErr w:type="spellEnd"/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 и трансграничной координации и связи.</w:t>
            </w:r>
          </w:p>
        </w:tc>
      </w:tr>
      <w:tr w:rsidR="003330BA" w:rsidRPr="00C72E78" w14:paraId="0273018F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C29F1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1CBD6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157694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Создание платформ и механизмов для многостороннего взаимодействия.</w:t>
            </w:r>
          </w:p>
        </w:tc>
      </w:tr>
      <w:tr w:rsidR="003330BA" w:rsidRPr="00C72E78" w14:paraId="0F2F642D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F6CBF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B8BCC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BEC242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Использование сетей, технических возможностей и опыта в области взаимодействия между океанографией, политикой и обществом, а также в области МПП.</w:t>
            </w:r>
          </w:p>
        </w:tc>
      </w:tr>
      <w:tr w:rsidR="003330BA" w:rsidRPr="00C72E78" w14:paraId="573451F9" w14:textId="77777777" w:rsidTr="00A84818">
        <w:trPr>
          <w:trHeight w:val="184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2D21D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36C1D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77C9C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Содействие диалогу и обмену передовым опытом между государствами-членами в области принятия и осуществления глобальных руководящих принципов и стандартов планирования и управления в сфере океана.</w:t>
            </w:r>
          </w:p>
        </w:tc>
      </w:tr>
      <w:tr w:rsidR="003330BA" w:rsidRPr="00C72E78" w14:paraId="2A614C2E" w14:textId="77777777" w:rsidTr="00783168">
        <w:trPr>
          <w:trHeight w:val="619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9AD7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0E9FF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DDE32F" w14:textId="3488CF2E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Содействие согласованию существующих методов работы, таких как планы устойчивого развития океана, планы действий по экономике океана, национальные методологии учета морских ресурсов, посредством коммуникационных кампаний и информационно-разъяснительной работы.</w:t>
            </w:r>
          </w:p>
        </w:tc>
      </w:tr>
      <w:tr w:rsidR="003330BA" w:rsidRPr="00C72E78" w14:paraId="066D6C2E" w14:textId="77777777" w:rsidTr="00783168">
        <w:trPr>
          <w:trHeight w:val="523"/>
        </w:trPr>
        <w:tc>
          <w:tcPr>
            <w:tcW w:w="17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49C90" w14:textId="77777777" w:rsidR="00C54645" w:rsidRPr="006C6B79" w:rsidRDefault="00C54645" w:rsidP="006C6B79">
            <w:pPr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Наблюдения, сбор данных и управление ими</w:t>
            </w:r>
          </w:p>
        </w:tc>
        <w:tc>
          <w:tcPr>
            <w:tcW w:w="21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0CAA" w14:textId="55F4B29B" w:rsidR="00C54645" w:rsidRPr="006C6B79" w:rsidRDefault="00C54645" w:rsidP="006C6B79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Глобальная система наблюдений за океаном, проект </w:t>
            </w:r>
            <w:r w:rsidR="00AE6EBF" w:rsidRPr="006C6B79">
              <w:rPr>
                <w:rFonts w:ascii="Arial" w:hAnsi="Arial" w:cs="Arial"/>
                <w:sz w:val="20"/>
                <w:szCs w:val="20"/>
                <w:lang w:val="ru-RU"/>
              </w:rPr>
              <w:t>«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Прогнозирование в прибрежных районах</w:t>
            </w:r>
            <w:r w:rsidR="00AE6EBF" w:rsidRPr="006C6B79">
              <w:rPr>
                <w:rFonts w:ascii="Arial" w:hAnsi="Arial" w:cs="Arial"/>
                <w:sz w:val="20"/>
                <w:szCs w:val="20"/>
                <w:lang w:val="ru-RU"/>
              </w:rPr>
              <w:t>»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, Группа корпоративных данных Десятилетия океана, Глобальная система наблюдений за климатом, Глобальная сеть наблюдений за закислением океана, Международный обмен океанографическими </w:t>
            </w: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данными и информацией, Информационная система по океаническому биоразнообразию, Система океанографических данных и информации МОК</w:t>
            </w:r>
          </w:p>
        </w:tc>
        <w:tc>
          <w:tcPr>
            <w:tcW w:w="5749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DB31E" w14:textId="3255330C" w:rsidR="00C54645" w:rsidRPr="006C6B79" w:rsidRDefault="00C54645" w:rsidP="006C6B79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Поощрение поддержки разработки планов осуществления наблюдений за океаном в интересах реализации настоящей стратегии со стороны государств-членов.</w:t>
            </w:r>
          </w:p>
        </w:tc>
      </w:tr>
      <w:tr w:rsidR="003330BA" w:rsidRPr="00C72E78" w14:paraId="3B902A41" w14:textId="77777777" w:rsidTr="00783168">
        <w:trPr>
          <w:trHeight w:val="491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BD1DE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EEB1E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EC3F3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Поощрение государств-членов к внедрению передовых методов и технологий сбора данных, способствующих повышению точности и эффективности, а также расширению охвата сбора экологических, социальных и экономических данных.</w:t>
            </w:r>
          </w:p>
        </w:tc>
      </w:tr>
      <w:tr w:rsidR="003330BA" w:rsidRPr="00C72E78" w14:paraId="398D74BA" w14:textId="77777777" w:rsidTr="00783168">
        <w:trPr>
          <w:trHeight w:val="508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C573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08B57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E7C24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Содействие обмену между государствами-членами передовым опытом и методологиями создания систем касающихся океана данных и знаний.</w:t>
            </w:r>
          </w:p>
        </w:tc>
      </w:tr>
      <w:tr w:rsidR="003330BA" w:rsidRPr="00C72E78" w14:paraId="4694DCA9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E2F5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68D3F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C5853A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Содействие инициативам в области открытых данных и стандартизации основных океанических переменных в рамках существующих программ.</w:t>
            </w:r>
          </w:p>
        </w:tc>
      </w:tr>
      <w:tr w:rsidR="003330BA" w:rsidRPr="00C72E78" w14:paraId="303F009D" w14:textId="77777777" w:rsidTr="00783168">
        <w:trPr>
          <w:trHeight w:val="3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20A06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75EB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9B12E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Информационно-разъяснительная работа и популяризация рекомендованных методов, руководящих принципов и пособий по сбору данных, касающихся океана.</w:t>
            </w:r>
          </w:p>
        </w:tc>
      </w:tr>
      <w:tr w:rsidR="003330BA" w:rsidRPr="00C72E78" w14:paraId="09DA83D0" w14:textId="77777777" w:rsidTr="00783168">
        <w:trPr>
          <w:trHeight w:val="568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44C6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6538B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1FDFD3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Нацеленность исследований, сбора соответствующих данных и управленческих мер на конкретные пробелы в знаниях, касающиеся, в частности, динамики экосистем, оценки угроз и учета природного капитала.</w:t>
            </w:r>
          </w:p>
        </w:tc>
      </w:tr>
      <w:tr w:rsidR="003330BA" w:rsidRPr="00C72E78" w14:paraId="71E03485" w14:textId="77777777" w:rsidTr="00783168">
        <w:trPr>
          <w:trHeight w:val="460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7418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72AB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CDB91" w14:textId="50F7C361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Поощрение </w:t>
            </w:r>
            <w:proofErr w:type="spellStart"/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трансдисциплинарных</w:t>
            </w:r>
            <w:proofErr w:type="spellEnd"/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 xml:space="preserve"> исследований, сбора соответствующих данных и управления ими в целях стимулирования инновационных решений и обеспечения всестороннего понимания управления в сфере океана.</w:t>
            </w:r>
          </w:p>
        </w:tc>
      </w:tr>
      <w:tr w:rsidR="003330BA" w:rsidRPr="00C72E78" w14:paraId="2800CC1E" w14:textId="77777777" w:rsidTr="00A84818">
        <w:trPr>
          <w:trHeight w:val="349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BD345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4C8C6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C70B15" w14:textId="1FF4622D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Разработка и использование передовых методов моделирования и прогнозирования для поддержки принятия решений в области управления океаном.</w:t>
            </w:r>
          </w:p>
        </w:tc>
      </w:tr>
      <w:tr w:rsidR="003330BA" w:rsidRPr="00C72E78" w14:paraId="024808F9" w14:textId="77777777" w:rsidTr="00783168">
        <w:trPr>
          <w:trHeight w:val="559"/>
        </w:trPr>
        <w:tc>
          <w:tcPr>
            <w:tcW w:w="17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6A2C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Финансовая поддержка и информационно-просветительская работа</w:t>
            </w:r>
          </w:p>
        </w:tc>
        <w:tc>
          <w:tcPr>
            <w:tcW w:w="21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FA91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Десятилетие океана</w:t>
            </w:r>
          </w:p>
          <w:p w14:paraId="19956BB0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МПП Глобал</w:t>
            </w:r>
          </w:p>
        </w:tc>
        <w:tc>
          <w:tcPr>
            <w:tcW w:w="5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FEB4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Координация дискуссий и сессий по обмену знаниями о стратегиях обеспечения финансирования для различных аспектов устойчивого планирования и управления в сфере океана.</w:t>
            </w:r>
          </w:p>
        </w:tc>
      </w:tr>
      <w:tr w:rsidR="003330BA" w:rsidRPr="00C72E78" w14:paraId="31538E18" w14:textId="77777777" w:rsidTr="00783168">
        <w:trPr>
          <w:trHeight w:val="519"/>
        </w:trPr>
        <w:tc>
          <w:tcPr>
            <w:tcW w:w="17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FA2C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28ED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CECC1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Разработка механизма для установления контактов между инициативами по планированию и управлению в сфере океана и потенциальными меценатами и донорами, что позволит расширить возможности финансирования и привлечения средств.</w:t>
            </w:r>
          </w:p>
        </w:tc>
      </w:tr>
      <w:tr w:rsidR="003330BA" w:rsidRPr="00C72E78" w14:paraId="75DCD500" w14:textId="77777777" w:rsidTr="00783168">
        <w:trPr>
          <w:trHeight w:val="400"/>
        </w:trPr>
        <w:tc>
          <w:tcPr>
            <w:tcW w:w="174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EA6F" w14:textId="77777777" w:rsidR="00C54645" w:rsidRPr="006C6B79" w:rsidRDefault="00C54645" w:rsidP="006C6B79">
            <w:pPr>
              <w:keepLines/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Разработка руководящих принципов и помощь в планировании</w:t>
            </w:r>
          </w:p>
          <w:p w14:paraId="38F49B9C" w14:textId="77777777" w:rsidR="00C54645" w:rsidRPr="006C6B79" w:rsidRDefault="00C54645" w:rsidP="006C6B79">
            <w:pPr>
              <w:keepLines/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  <w:lang w:val="ru-RU"/>
              </w:rPr>
            </w:pPr>
          </w:p>
          <w:p w14:paraId="1B02901B" w14:textId="77777777" w:rsidR="00C54645" w:rsidRPr="006C6B79" w:rsidRDefault="00C54645" w:rsidP="006C6B79">
            <w:pPr>
              <w:keepLines/>
              <w:widowControl w:val="0"/>
              <w:rPr>
                <w:rFonts w:ascii="Arial" w:hAnsi="Arial" w:cs="Arial"/>
                <w:b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A3558" w14:textId="77777777" w:rsidR="00C54645" w:rsidRPr="006C6B79" w:rsidRDefault="00C54645" w:rsidP="006C6B79">
            <w:pPr>
              <w:keepLines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МПП Глобал, Международный координационный проект по океаническому углероду</w:t>
            </w:r>
          </w:p>
          <w:p w14:paraId="4C5F2CE1" w14:textId="529BE36E" w:rsidR="00A74F92" w:rsidRPr="006C6B79" w:rsidRDefault="00A74F92" w:rsidP="006C6B79">
            <w:pPr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океанографические программы</w:t>
            </w:r>
          </w:p>
        </w:tc>
        <w:tc>
          <w:tcPr>
            <w:tcW w:w="574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9A21B" w14:textId="1BD423DA" w:rsidR="00C54645" w:rsidRPr="006C6B79" w:rsidRDefault="00C54645" w:rsidP="006C6B79">
            <w:pPr>
              <w:keepLines/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Разработка инструментов и руководящих принципов для включения в планирование в сфере океана мер по обеспечению устойчивости к изменению климата и сохранению окружающей среды.</w:t>
            </w:r>
          </w:p>
        </w:tc>
      </w:tr>
      <w:tr w:rsidR="003330BA" w:rsidRPr="00C72E78" w14:paraId="51BEBD46" w14:textId="77777777" w:rsidTr="00783168">
        <w:trPr>
          <w:trHeight w:val="615"/>
        </w:trPr>
        <w:tc>
          <w:tcPr>
            <w:tcW w:w="174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501F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2771F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00D381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Подготовка и публикация регулярных докладов и оценок примеров передового опыта и рекомендаций по устойчивому планированию и управлению в сфере океана.</w:t>
            </w:r>
          </w:p>
        </w:tc>
      </w:tr>
      <w:tr w:rsidR="003330BA" w:rsidRPr="00C72E78" w14:paraId="633AECDD" w14:textId="77777777" w:rsidTr="00783168">
        <w:trPr>
          <w:trHeight w:val="369"/>
        </w:trPr>
        <w:tc>
          <w:tcPr>
            <w:tcW w:w="174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0163A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179D9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C5E4F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Содействие в разработке глобальных руководящих принципов и стандартов планирования и управления в сфере океана.</w:t>
            </w:r>
          </w:p>
        </w:tc>
      </w:tr>
      <w:tr w:rsidR="003330BA" w:rsidRPr="00C72E78" w14:paraId="0D29AF53" w14:textId="77777777" w:rsidTr="00783168">
        <w:trPr>
          <w:trHeight w:val="365"/>
        </w:trPr>
        <w:tc>
          <w:tcPr>
            <w:tcW w:w="174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D743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824A4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4" w:space="0" w:color="auto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8298B8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Оказание поддержки государствам-членам в целях содействия эффективной интеграции принципов планирования и управления в сфере океана.</w:t>
            </w:r>
          </w:p>
        </w:tc>
      </w:tr>
      <w:tr w:rsidR="003330BA" w:rsidRPr="00C72E78" w14:paraId="232DA0F8" w14:textId="77777777" w:rsidTr="00783168">
        <w:trPr>
          <w:trHeight w:val="529"/>
        </w:trPr>
        <w:tc>
          <w:tcPr>
            <w:tcW w:w="174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CCE3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C9C0" w14:textId="77777777" w:rsidR="00C54645" w:rsidRPr="006C6B79" w:rsidRDefault="00C54645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nil"/>
              <w:left w:val="single" w:sz="4" w:space="0" w:color="auto"/>
              <w:bottom w:val="single" w:sz="4" w:space="0" w:color="auto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37A7CF" w14:textId="77777777" w:rsidR="00C54645" w:rsidRPr="006C6B79" w:rsidRDefault="00C54645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Оказание поддержки государствам-членам в совместной разработке всеобъемлющих планов действий для руководства разработкой и внедрением подходов, касающихся устойчивого планирования и управления в сфере океана.</w:t>
            </w:r>
          </w:p>
        </w:tc>
      </w:tr>
      <w:tr w:rsidR="00A74F92" w:rsidRPr="00C72E78" w14:paraId="2E2CDD6D" w14:textId="77777777" w:rsidTr="00783168">
        <w:trPr>
          <w:trHeight w:val="529"/>
        </w:trPr>
        <w:tc>
          <w:tcPr>
            <w:tcW w:w="1745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3236" w14:textId="77777777" w:rsidR="00A74F92" w:rsidRPr="006C6B79" w:rsidRDefault="00A74F92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CFB77" w14:textId="77777777" w:rsidR="00A74F92" w:rsidRPr="006C6B79" w:rsidRDefault="00A74F92" w:rsidP="008F2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4E5763"/>
                <w:sz w:val="20"/>
                <w:szCs w:val="20"/>
                <w:lang w:val="ru-RU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C7C065" w14:textId="4489AEEC" w:rsidR="00A74F92" w:rsidRPr="006C6B79" w:rsidRDefault="00A74F92" w:rsidP="008F2033">
            <w:pPr>
              <w:widowControl w:val="0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6C6B79">
              <w:rPr>
                <w:rFonts w:ascii="Arial" w:hAnsi="Arial" w:cs="Arial"/>
                <w:sz w:val="20"/>
                <w:szCs w:val="20"/>
                <w:lang w:val="ru-RU"/>
              </w:rPr>
              <w:t>Выявление новых научных данных для их включения в процессы/инструменты устойчивого планирования в сфере океана.</w:t>
            </w:r>
          </w:p>
        </w:tc>
      </w:tr>
    </w:tbl>
    <w:p w14:paraId="4A1C7C1B" w14:textId="77777777" w:rsidR="008C64E8" w:rsidRPr="005B5843" w:rsidRDefault="008C64E8" w:rsidP="00726C76">
      <w:pPr>
        <w:rPr>
          <w:b/>
          <w:lang w:val="ru-RU"/>
        </w:rPr>
      </w:pPr>
    </w:p>
    <w:p w14:paraId="4A43D1D0" w14:textId="02C5FA5D" w:rsidR="00C54645" w:rsidRPr="008F2033" w:rsidRDefault="00C54645" w:rsidP="0091228D">
      <w:pPr>
        <w:keepNext/>
        <w:spacing w:after="240"/>
        <w:rPr>
          <w:rFonts w:asciiTheme="minorBidi" w:hAnsiTheme="minorBidi" w:cstheme="minorBidi"/>
          <w:sz w:val="22"/>
          <w:szCs w:val="22"/>
          <w:lang w:val="ru-RU"/>
        </w:rPr>
      </w:pPr>
      <w:r w:rsidRPr="008F2033">
        <w:rPr>
          <w:rFonts w:asciiTheme="minorBidi" w:hAnsiTheme="minorBidi" w:cstheme="minorBidi"/>
          <w:b/>
          <w:bCs/>
          <w:sz w:val="22"/>
          <w:szCs w:val="22"/>
          <w:lang w:val="ru-RU"/>
        </w:rPr>
        <w:lastRenderedPageBreak/>
        <w:t>Таблица 2.</w:t>
      </w:r>
      <w:r w:rsidRPr="008F2033">
        <w:rPr>
          <w:rFonts w:asciiTheme="minorBidi" w:hAnsiTheme="minorBidi" w:cstheme="minorBidi"/>
          <w:sz w:val="22"/>
          <w:szCs w:val="22"/>
          <w:lang w:val="ru-RU"/>
        </w:rPr>
        <w:t xml:space="preserve"> </w:t>
      </w:r>
      <w:r w:rsidRPr="008F2033">
        <w:rPr>
          <w:rFonts w:asciiTheme="minorBidi" w:hAnsiTheme="minorBidi" w:cstheme="minorBidi"/>
          <w:i/>
          <w:iCs/>
          <w:sz w:val="22"/>
          <w:szCs w:val="22"/>
          <w:lang w:val="ru-RU"/>
        </w:rPr>
        <w:t>Потенциальный вклад программ МОК в достижение стратегических целей (зеленый цвет указывает на потенциальный вклад или возможности синергетического взаимодействия)</w:t>
      </w:r>
    </w:p>
    <w:tbl>
      <w:tblPr>
        <w:tblW w:w="98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1680"/>
        <w:gridCol w:w="1722"/>
        <w:gridCol w:w="1275"/>
        <w:gridCol w:w="1320"/>
      </w:tblGrid>
      <w:tr w:rsidR="006C6B79" w:rsidRPr="006C6B79" w14:paraId="09076804" w14:textId="77777777" w:rsidTr="00A84818">
        <w:trPr>
          <w:trHeight w:val="319"/>
          <w:tblHeader/>
        </w:trPr>
        <w:tc>
          <w:tcPr>
            <w:tcW w:w="3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9D6A5" w14:textId="77777777" w:rsidR="00C54645" w:rsidRPr="006C6B79" w:rsidRDefault="00C54645" w:rsidP="00726C76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6B7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ru-RU"/>
              </w:rPr>
              <w:t>Программы МОК</w:t>
            </w:r>
          </w:p>
        </w:tc>
        <w:tc>
          <w:tcPr>
            <w:tcW w:w="59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1C481D" w14:textId="77777777" w:rsidR="00C54645" w:rsidRPr="006C6B79" w:rsidRDefault="00C54645" w:rsidP="00726C7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6B7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ru-RU"/>
              </w:rPr>
              <w:t>Стратегические цели</w:t>
            </w:r>
          </w:p>
        </w:tc>
      </w:tr>
      <w:tr w:rsidR="006C6B79" w:rsidRPr="00C72E78" w14:paraId="7EE5C7EE" w14:textId="77777777" w:rsidTr="006C6B79">
        <w:trPr>
          <w:trHeight w:val="2726"/>
          <w:tblHeader/>
        </w:trPr>
        <w:tc>
          <w:tcPr>
            <w:tcW w:w="38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2E0F02" w14:textId="77777777" w:rsidR="00C54645" w:rsidRPr="006C6B79" w:rsidRDefault="00C54645" w:rsidP="00726C7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2AA5A" w14:textId="77777777" w:rsidR="00C54645" w:rsidRPr="006C6B79" w:rsidRDefault="00C54645" w:rsidP="00726C76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  <w:t>Более широкая интеграция и обеспечение всестороннего учета методов устойчивого планирования и управления в сфере океана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E0475" w14:textId="25ED4165" w:rsidR="00C54645" w:rsidRPr="006C6B79" w:rsidRDefault="00C54645" w:rsidP="00726C76">
            <w:pPr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  <w:t>Повышение эффективности наблюдений, сбора данных, систем данных и управления знаниями в интересах управления на основе экосистемного подхода и их применения в различных секторах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DB41A" w14:textId="77777777" w:rsidR="00C54645" w:rsidRPr="006C6B79" w:rsidRDefault="00C54645" w:rsidP="00726C76">
            <w:pPr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  <w:t xml:space="preserve">Укрепление </w:t>
            </w:r>
            <w:proofErr w:type="spellStart"/>
            <w:r w:rsidRPr="006C6B79"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  <w:t>межсекторальной</w:t>
            </w:r>
            <w:proofErr w:type="spellEnd"/>
            <w:r w:rsidRPr="006C6B79"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  <w:t xml:space="preserve"> и трансграничной координации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31ABE" w14:textId="77777777" w:rsidR="00C54645" w:rsidRPr="006C6B79" w:rsidRDefault="00C54645" w:rsidP="00726C76">
            <w:pPr>
              <w:spacing w:after="160"/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color w:val="FFFFFF" w:themeColor="background1"/>
                <w:sz w:val="18"/>
                <w:szCs w:val="18"/>
                <w:lang w:val="ru-RU"/>
              </w:rPr>
              <w:t>Расширение деятельности по развитию потенциала</w:t>
            </w:r>
          </w:p>
        </w:tc>
      </w:tr>
      <w:tr w:rsidR="003330BA" w:rsidRPr="00C72E78" w14:paraId="3C8B2342" w14:textId="77777777" w:rsidTr="00FD32F7">
        <w:trPr>
          <w:trHeight w:val="23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3FEA7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Глобальная система наблюдений за океаном (ГСНО)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BD3CFC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D97419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47DA4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E48C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650002AC" w14:textId="77777777" w:rsidTr="00FD32F7">
        <w:trPr>
          <w:trHeight w:val="346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D46575" w14:textId="7FED2DD0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Данные и информация</w:t>
            </w:r>
            <w:r w:rsid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 – </w:t>
            </w: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Международный обмен океанографическими данными и информацией (МООД)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45021C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6EC66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BD921E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B4DAF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7F2A96CD" w14:textId="77777777" w:rsidTr="00FD32F7">
        <w:trPr>
          <w:trHeight w:val="219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360FE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Информационная система по океаническому биоразнообразию (ОБИС)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5CC851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7D8F4F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FB94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A35CC3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356D9340" w14:textId="77777777" w:rsidTr="00FD32F7">
        <w:trPr>
          <w:trHeight w:val="289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E84151" w14:textId="3021567E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Генеральная батиметрическая карта океанов (ГЕБКО)/проект </w:t>
            </w:r>
            <w:r w:rsidR="006C6B79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Морское дно-2030</w:t>
            </w:r>
            <w:r w:rsidR="006C6B79">
              <w:rPr>
                <w:rFonts w:ascii="Arial" w:hAnsi="Arial" w:cs="Arial"/>
                <w:sz w:val="18"/>
                <w:szCs w:val="18"/>
                <w:lang w:val="ru-RU"/>
              </w:rPr>
              <w:t>»</w:t>
            </w: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1E8A3B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A9D00D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F5BA9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8C538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7112B569" w14:textId="77777777" w:rsidTr="00FD32F7">
        <w:trPr>
          <w:trHeight w:val="513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6C7FB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Совместный центр ВМО-МОК по поддержке программ наблюдений на местах с помощью океанографии и морской метеорологии (Океан-ОПС)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22B7D5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34371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6F1073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71A2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7DE74779" w14:textId="77777777" w:rsidTr="00FD32F7">
        <w:trPr>
          <w:trHeight w:val="228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67148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Глобальная система наблюдений за уровнем моря (ГЛОСС)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F4C5F9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BD42C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E77957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70B40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7C83D6C6" w14:textId="77777777" w:rsidTr="00FD32F7">
        <w:trPr>
          <w:trHeight w:val="303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ADFA20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Программа по вредоносному цветению водорослей и связанная с ней работа по питательным веществам/прибрежной эвтрофикации/</w:t>
            </w:r>
            <w:proofErr w:type="spellStart"/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дезоксигенации</w:t>
            </w:r>
            <w:proofErr w:type="spellEnd"/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615932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A79627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38187B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FF702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09E477E8" w14:textId="77777777" w:rsidTr="00FD32F7">
        <w:trPr>
          <w:trHeight w:val="291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35BF8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Глобальная программа раннего оповещения о цунами и смягчения их последствий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C249E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958DF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47BB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BB421E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7F243C37" w14:textId="77777777" w:rsidTr="00FD32F7">
        <w:trPr>
          <w:trHeight w:val="27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D8AE4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Программа сертификации готовности к цунами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215E9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F4FC1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137D39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7D2F1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0E7BB7BA" w14:textId="77777777" w:rsidTr="00FD32F7">
        <w:trPr>
          <w:trHeight w:val="28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713ED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Доклад о состоянии Мирового океана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42E02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D5E46F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94AC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6363F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74A2FD64" w14:textId="77777777" w:rsidTr="00FD32F7">
        <w:trPr>
          <w:trHeight w:val="27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40DD2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Глобальный доклад о состоянии океанографии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D3146B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C332A1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79F13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81463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5F7BF9DF" w14:textId="77777777" w:rsidTr="00FD32F7">
        <w:trPr>
          <w:trHeight w:val="263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E6F5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Вклад в оценку Мирового океана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C01C5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CC852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DBEE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10725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6C6B79" w14:paraId="71F0130B" w14:textId="77777777" w:rsidTr="00FD32F7">
        <w:trPr>
          <w:trHeight w:val="27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DBB47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Оценка выполнения задач ЦУР 14 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64F6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146F7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C20B6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9FBBB0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0BA" w:rsidRPr="006C6B79" w14:paraId="1FD6DAAC" w14:textId="77777777" w:rsidTr="00FD32F7">
        <w:trPr>
          <w:trHeight w:val="27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79179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Оценки ГЕСАМП 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487D3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BA4AF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9B14D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3CE1B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0BA" w:rsidRPr="00C72E78" w14:paraId="47BE8812" w14:textId="77777777" w:rsidTr="00FD32F7">
        <w:trPr>
          <w:trHeight w:val="30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8FAB84" w14:textId="54A2F649" w:rsidR="00C54645" w:rsidRPr="006C6B79" w:rsidRDefault="00314B59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Совместная глобальная программа по морскому пространственному планированию (МПП Глобал) МОК и Генерального директората Европейской комиссии по вопросам морской политики и рыболовства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B38ED0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AB3AD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BE64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CD804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5E89BAB9" w14:textId="77777777" w:rsidTr="00FD32F7">
        <w:trPr>
          <w:trHeight w:val="30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76EC6F" w14:textId="19E99275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Проект ГЭФ </w:t>
            </w:r>
            <w:r w:rsidR="006C6B79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Международные воды</w:t>
            </w:r>
            <w:r w:rsidR="006C6B79">
              <w:rPr>
                <w:rFonts w:ascii="Arial" w:hAnsi="Arial" w:cs="Arial"/>
                <w:sz w:val="18"/>
                <w:szCs w:val="18"/>
                <w:lang w:val="ru-RU"/>
              </w:rPr>
              <w:t>»</w:t>
            </w: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: продукты LEARN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594C9F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DD319F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59401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BABC6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323D1CBE" w14:textId="77777777" w:rsidTr="00FD32F7">
        <w:trPr>
          <w:trHeight w:val="493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CD2558" w14:textId="7C80BF42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 xml:space="preserve">Глобальная академия </w:t>
            </w:r>
            <w:r w:rsidR="006C6B79">
              <w:rPr>
                <w:rFonts w:ascii="Arial" w:hAnsi="Arial" w:cs="Arial"/>
                <w:sz w:val="18"/>
                <w:szCs w:val="18"/>
                <w:lang w:val="ru-RU"/>
              </w:rPr>
              <w:t>«</w:t>
            </w: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Океан-инструктор</w:t>
            </w:r>
            <w:r w:rsidR="006C6B79">
              <w:rPr>
                <w:rFonts w:ascii="Arial" w:hAnsi="Arial" w:cs="Arial"/>
                <w:sz w:val="18"/>
                <w:szCs w:val="18"/>
                <w:lang w:val="ru-RU"/>
              </w:rPr>
              <w:t>»</w:t>
            </w: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 и другие услуги/механизмы МОК по развитию потенциала (например, центр развития потенциала в области океана и т.д.)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E8E8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4E26DD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595A5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ABEF8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C72E78" w14:paraId="765E975A" w14:textId="77777777" w:rsidTr="00FD32F7">
        <w:trPr>
          <w:trHeight w:val="314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846708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Программа распространения грамотности в связанных с океаном вопросах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19F16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F0C82A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BBD70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F44C9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3330BA" w:rsidRPr="006C6B79" w14:paraId="502E14C5" w14:textId="77777777" w:rsidTr="00FD32F7">
        <w:trPr>
          <w:trHeight w:val="225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E14AB6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>Центры ЮНЕСКО категории 2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FBFB10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B7193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0E94D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2DABB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30BA" w:rsidRPr="00C72E78" w14:paraId="2DDFAAC3" w14:textId="77777777" w:rsidTr="00FD32F7">
        <w:trPr>
          <w:trHeight w:val="27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FA56E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6C6B79">
              <w:rPr>
                <w:rFonts w:ascii="Arial" w:hAnsi="Arial" w:cs="Arial"/>
                <w:sz w:val="18"/>
                <w:szCs w:val="18"/>
                <w:lang w:val="ru-RU"/>
              </w:rPr>
              <w:t xml:space="preserve">Профессиональная сеть молодых специалистов по вопросам океана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A3AF7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4CC94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9221B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AD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E4592" w14:textId="77777777" w:rsidR="00C54645" w:rsidRPr="006C6B79" w:rsidRDefault="00C54645" w:rsidP="00726C76">
            <w:pPr>
              <w:snapToGrid w:val="0"/>
              <w:spacing w:before="40" w:afterLines="40" w:after="96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</w:tbl>
    <w:p w14:paraId="63C2F47A" w14:textId="1C9D56DC" w:rsidR="00C54645" w:rsidRPr="008F2033" w:rsidRDefault="00C54645" w:rsidP="00726C76">
      <w:pPr>
        <w:rPr>
          <w:rFonts w:asciiTheme="minorBidi" w:hAnsiTheme="minorBidi" w:cstheme="minorBidi"/>
          <w:b/>
          <w:sz w:val="22"/>
          <w:szCs w:val="22"/>
          <w:lang w:val="ru-RU"/>
        </w:rPr>
      </w:pPr>
    </w:p>
    <w:p w14:paraId="36B0DF1A" w14:textId="77777777" w:rsidR="000246AA" w:rsidRPr="008F2033" w:rsidRDefault="000246AA" w:rsidP="00726C76">
      <w:pPr>
        <w:spacing w:after="240"/>
        <w:rPr>
          <w:rFonts w:asciiTheme="minorBidi" w:hAnsiTheme="minorBidi" w:cstheme="minorBidi"/>
          <w:b/>
          <w:sz w:val="22"/>
          <w:szCs w:val="22"/>
          <w:lang w:val="ru-RU"/>
        </w:rPr>
      </w:pPr>
    </w:p>
    <w:sectPr w:rsidR="000246AA" w:rsidRPr="008F2033" w:rsidSect="00D87AC4">
      <w:headerReference w:type="first" r:id="rId15"/>
      <w:type w:val="oddPage"/>
      <w:pgSz w:w="11900" w:h="16840" w:code="9"/>
      <w:pgMar w:top="1418" w:right="1134" w:bottom="1134" w:left="1134" w:header="567" w:footer="62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40D40" w14:textId="77777777" w:rsidR="004C7A7E" w:rsidRPr="00241215" w:rsidRDefault="004C7A7E" w:rsidP="009F5F54">
      <w:r w:rsidRPr="00241215">
        <w:separator/>
      </w:r>
    </w:p>
  </w:endnote>
  <w:endnote w:type="continuationSeparator" w:id="0">
    <w:p w14:paraId="7E8A2068" w14:textId="77777777" w:rsidR="004C7A7E" w:rsidRPr="00241215" w:rsidRDefault="004C7A7E" w:rsidP="009F5F54">
      <w:r w:rsidRPr="002412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F313A4" w14:textId="77777777" w:rsidR="004C7A7E" w:rsidRPr="00241215" w:rsidRDefault="004C7A7E" w:rsidP="009F5F54">
      <w:r w:rsidRPr="00241215">
        <w:separator/>
      </w:r>
    </w:p>
  </w:footnote>
  <w:footnote w:type="continuationSeparator" w:id="0">
    <w:p w14:paraId="60F92146" w14:textId="77777777" w:rsidR="004C7A7E" w:rsidRPr="00241215" w:rsidRDefault="004C7A7E" w:rsidP="009F5F54">
      <w:r w:rsidRPr="00241215">
        <w:continuationSeparator/>
      </w:r>
    </w:p>
  </w:footnote>
  <w:footnote w:id="1">
    <w:p w14:paraId="6E9EBEBB" w14:textId="66DF777B" w:rsidR="00C54645" w:rsidRPr="00D87AC4" w:rsidRDefault="00C54645" w:rsidP="00D87AC4">
      <w:pPr>
        <w:ind w:left="567" w:hanging="567"/>
        <w:jc w:val="both"/>
        <w:rPr>
          <w:rFonts w:asciiTheme="minorBidi" w:hAnsiTheme="minorBidi" w:cstheme="minorBidi"/>
          <w:sz w:val="18"/>
          <w:szCs w:val="18"/>
          <w:lang w:val="ru-RU"/>
        </w:rPr>
      </w:pPr>
      <w:r w:rsidRPr="00D87AC4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26C76" w:rsidRPr="00C26816">
        <w:rPr>
          <w:rFonts w:asciiTheme="minorBidi" w:hAnsiTheme="minorBidi" w:cstheme="minorBidi"/>
          <w:sz w:val="18"/>
          <w:szCs w:val="18"/>
          <w:lang w:val="ru-RU"/>
        </w:rPr>
        <w:tab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Система данных предполагает организованный подход к управлению и обработке данных на протяжении всего их жизненного цикла, включая сбор, хранение, обработку, анализ и распространение данных. Она включает в себя такие инструменты управления данными, как руководящие принципы и регламенты. </w:t>
      </w:r>
    </w:p>
  </w:footnote>
  <w:footnote w:id="2">
    <w:p w14:paraId="5B0804CB" w14:textId="53DB8419" w:rsidR="00C54645" w:rsidRPr="008977D1" w:rsidRDefault="00C54645" w:rsidP="00D87AC4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Theme="minorBidi" w:hAnsiTheme="minorBidi" w:cstheme="minorBidi"/>
          <w:color w:val="000000"/>
          <w:sz w:val="18"/>
          <w:szCs w:val="18"/>
          <w:lang w:val="ru-RU"/>
        </w:rPr>
      </w:pPr>
      <w:r w:rsidRPr="00D87AC4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26C76" w:rsidRPr="0025134F">
        <w:rPr>
          <w:rFonts w:asciiTheme="minorBidi" w:hAnsiTheme="minorBidi" w:cstheme="minorBidi"/>
          <w:sz w:val="18"/>
          <w:szCs w:val="18"/>
          <w:lang w:val="ru-RU"/>
        </w:rPr>
        <w:tab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Сеть экономистов ООН, </w:t>
      </w:r>
      <w:r w:rsidR="0025134F" w:rsidRPr="0025134F">
        <w:rPr>
          <w:rFonts w:asciiTheme="minorBidi" w:hAnsiTheme="minorBidi" w:cstheme="minorBidi"/>
          <w:sz w:val="18"/>
          <w:szCs w:val="18"/>
          <w:lang w:val="ru-RU"/>
        </w:rPr>
        <w:t>«</w:t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New Economics for Sustainable Development: Sustainable Ocean Economy</w:t>
      </w:r>
      <w:r w:rsidR="0025134F" w:rsidRPr="0025134F">
        <w:rPr>
          <w:rFonts w:asciiTheme="minorBidi" w:hAnsiTheme="minorBidi" w:cstheme="minorBidi"/>
          <w:sz w:val="18"/>
          <w:szCs w:val="18"/>
          <w:lang w:val="ru-RU"/>
        </w:rPr>
        <w:t>»</w:t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, 2023 г. (</w:t>
      </w:r>
      <w:r w:rsidR="0025134F" w:rsidRPr="0025134F">
        <w:rPr>
          <w:rFonts w:asciiTheme="minorBidi" w:hAnsiTheme="minorBidi" w:cstheme="minorBidi"/>
          <w:sz w:val="18"/>
          <w:szCs w:val="18"/>
          <w:lang w:val="ru-RU"/>
        </w:rPr>
        <w:t>«</w:t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Новая экономика для устойчивого развития: устойчивая экономика океана</w:t>
      </w:r>
      <w:r w:rsidR="0025134F" w:rsidRPr="0025134F">
        <w:rPr>
          <w:rFonts w:asciiTheme="minorBidi" w:hAnsiTheme="minorBidi" w:cstheme="minorBidi"/>
          <w:sz w:val="18"/>
          <w:szCs w:val="18"/>
          <w:lang w:val="ru-RU"/>
        </w:rPr>
        <w:t>»</w:t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)</w:t>
      </w:r>
      <w:r w:rsidR="008977D1" w:rsidRPr="008977D1">
        <w:rPr>
          <w:rFonts w:asciiTheme="minorBidi" w:hAnsiTheme="minorBidi" w:cstheme="minorBidi"/>
          <w:sz w:val="18"/>
          <w:szCs w:val="18"/>
          <w:lang w:val="ru-RU"/>
        </w:rPr>
        <w:t>.</w:t>
      </w:r>
    </w:p>
  </w:footnote>
  <w:footnote w:id="3">
    <w:p w14:paraId="5DACB922" w14:textId="290F3D35" w:rsidR="00C54645" w:rsidRPr="00D87AC4" w:rsidRDefault="00C54645" w:rsidP="00D87AC4">
      <w:pPr>
        <w:ind w:left="567" w:hanging="567"/>
        <w:jc w:val="both"/>
        <w:rPr>
          <w:rFonts w:asciiTheme="minorBidi" w:hAnsiTheme="minorBidi" w:cstheme="minorBidi"/>
          <w:sz w:val="18"/>
          <w:szCs w:val="18"/>
          <w:lang w:val="ru-RU"/>
        </w:rPr>
      </w:pPr>
      <w:r w:rsidRPr="00D87AC4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26C76" w:rsidRPr="00C26816">
        <w:rPr>
          <w:rFonts w:asciiTheme="minorBidi" w:hAnsiTheme="minorBidi" w:cstheme="minorBidi"/>
          <w:sz w:val="18"/>
          <w:szCs w:val="18"/>
          <w:lang w:val="ru-RU"/>
        </w:rPr>
        <w:tab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МОК ЮНЕСКО, Второй доклад МОК о состоянии Мирового океана (ДСМО), 2024 г.</w:t>
      </w:r>
    </w:p>
  </w:footnote>
  <w:footnote w:id="4">
    <w:p w14:paraId="6E6132DA" w14:textId="11003CC5" w:rsidR="00750C34" w:rsidRPr="00D87AC4" w:rsidRDefault="00750C34" w:rsidP="00D87AC4">
      <w:pPr>
        <w:pStyle w:val="FootnoteText"/>
        <w:ind w:left="567" w:hanging="567"/>
        <w:jc w:val="both"/>
        <w:rPr>
          <w:rFonts w:asciiTheme="minorBidi" w:hAnsiTheme="minorBidi" w:cstheme="minorBidi"/>
          <w:sz w:val="18"/>
          <w:szCs w:val="18"/>
          <w:lang w:val="ru-RU"/>
        </w:rPr>
      </w:pPr>
      <w:r w:rsidRPr="00D87AC4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26C76" w:rsidRPr="00C26816">
        <w:rPr>
          <w:rFonts w:asciiTheme="minorBidi" w:hAnsiTheme="minorBidi" w:cstheme="minorBidi"/>
          <w:sz w:val="18"/>
          <w:szCs w:val="18"/>
          <w:lang w:val="ru-RU"/>
        </w:rPr>
        <w:tab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Стратегия будет осуществляться в соответствии с нормами международного права, включая Конвенцию ООН по морскому праву (ЮНКЛОС).</w:t>
      </w:r>
    </w:p>
  </w:footnote>
  <w:footnote w:id="5">
    <w:p w14:paraId="2C38BF77" w14:textId="1BBFCC73" w:rsidR="00C54645" w:rsidRPr="00C26816" w:rsidRDefault="00C54645" w:rsidP="00D87AC4">
      <w:pPr>
        <w:ind w:left="567" w:hanging="567"/>
        <w:jc w:val="both"/>
        <w:rPr>
          <w:rFonts w:asciiTheme="minorBidi" w:hAnsiTheme="minorBidi" w:cstheme="minorBidi"/>
          <w:sz w:val="18"/>
          <w:szCs w:val="18"/>
          <w:lang w:val="ru-RU"/>
        </w:rPr>
      </w:pPr>
      <w:r w:rsidRPr="00D87AC4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26C76" w:rsidRPr="00C26816">
        <w:rPr>
          <w:rFonts w:asciiTheme="minorBidi" w:hAnsiTheme="minorBidi" w:cstheme="minorBidi"/>
          <w:sz w:val="18"/>
          <w:szCs w:val="18"/>
          <w:lang w:val="ru-RU"/>
        </w:rPr>
        <w:tab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FAIR: удобство поиска, доступность, совместимость и возможность повторного использования данных. Уилкинсон М., Дюмонтье М., Аальберсберг И. и др. (2016 г.)</w:t>
      </w:r>
      <w:r w:rsidR="00570E20" w:rsidRPr="00C26816">
        <w:rPr>
          <w:rFonts w:asciiTheme="minorBidi" w:hAnsiTheme="minorBidi" w:cstheme="minorBidi"/>
          <w:sz w:val="18"/>
          <w:szCs w:val="18"/>
          <w:lang w:val="ru-RU"/>
        </w:rPr>
        <w:t>.</w:t>
      </w:r>
    </w:p>
  </w:footnote>
  <w:footnote w:id="6">
    <w:p w14:paraId="181606FC" w14:textId="7AEFE428" w:rsidR="00C54645" w:rsidRPr="00D87AC4" w:rsidRDefault="00C54645" w:rsidP="00D87AC4">
      <w:pPr>
        <w:ind w:left="567" w:hanging="567"/>
        <w:jc w:val="both"/>
        <w:rPr>
          <w:rFonts w:asciiTheme="minorBidi" w:hAnsiTheme="minorBidi" w:cstheme="minorBidi"/>
          <w:sz w:val="18"/>
          <w:szCs w:val="18"/>
          <w:lang w:val="ru-RU"/>
        </w:rPr>
      </w:pPr>
      <w:r w:rsidRPr="00D87AC4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26C76" w:rsidRPr="00C26816">
        <w:rPr>
          <w:rFonts w:asciiTheme="minorBidi" w:hAnsiTheme="minorBidi" w:cstheme="minorBidi"/>
          <w:sz w:val="18"/>
          <w:szCs w:val="18"/>
          <w:lang w:val="ru-RU"/>
        </w:rPr>
        <w:tab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Координация и согласование мероприятий и политики в различных секторах промышленности, таких как рыболовство, судоходство и туризм, в целях формирования единого подхода к планированию в сфере океана.</w:t>
      </w:r>
    </w:p>
  </w:footnote>
  <w:footnote w:id="7">
    <w:p w14:paraId="2016A15A" w14:textId="6010B98E" w:rsidR="00C54645" w:rsidRPr="00D87AC4" w:rsidRDefault="00C54645" w:rsidP="00D87AC4">
      <w:pPr>
        <w:ind w:left="567" w:hanging="567"/>
        <w:jc w:val="both"/>
        <w:rPr>
          <w:rFonts w:asciiTheme="minorBidi" w:hAnsiTheme="minorBidi" w:cstheme="minorBidi"/>
          <w:sz w:val="18"/>
          <w:szCs w:val="18"/>
          <w:lang w:val="ru-RU"/>
        </w:rPr>
      </w:pPr>
      <w:r w:rsidRPr="00D87AC4">
        <w:rPr>
          <w:rStyle w:val="FootnoteReference"/>
          <w:rFonts w:asciiTheme="minorBidi" w:hAnsiTheme="minorBidi" w:cstheme="minorBidi"/>
          <w:sz w:val="18"/>
          <w:szCs w:val="18"/>
          <w:lang w:val="ru-RU"/>
        </w:rPr>
        <w:footnoteRef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 xml:space="preserve"> </w:t>
      </w:r>
      <w:r w:rsidR="00726C76" w:rsidRPr="00C26816">
        <w:rPr>
          <w:rFonts w:asciiTheme="minorBidi" w:hAnsiTheme="minorBidi" w:cstheme="minorBidi"/>
          <w:sz w:val="18"/>
          <w:szCs w:val="18"/>
          <w:lang w:val="ru-RU"/>
        </w:rPr>
        <w:tab/>
      </w:r>
      <w:r w:rsidRPr="00D87AC4">
        <w:rPr>
          <w:rFonts w:asciiTheme="minorBidi" w:hAnsiTheme="minorBidi" w:cstheme="minorBidi"/>
          <w:sz w:val="18"/>
          <w:szCs w:val="18"/>
          <w:lang w:val="ru-RU"/>
        </w:rPr>
        <w:t>Сотрудничество между соседними странами или регионами в целях управления общей морской средой и ресурсами. Такое сотрудничество необходимо для решения вопросов, выходящих за рамки национальной юрисдикции, таких как защита мигрирующих морских видов.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76C15" w14:textId="309CD972" w:rsidR="00411777" w:rsidRPr="00D87AC4" w:rsidRDefault="00D215B0" w:rsidP="00D87AC4">
    <w:pPr>
      <w:pStyle w:val="Header"/>
      <w:rPr>
        <w:rFonts w:ascii="Arial" w:hAnsi="Arial" w:cs="Arial"/>
        <w:sz w:val="22"/>
        <w:szCs w:val="22"/>
        <w:lang w:val="fr-FR"/>
      </w:rPr>
    </w:pPr>
    <w:r w:rsidRPr="00A84818">
      <w:rPr>
        <w:rFonts w:ascii="Arial" w:hAnsi="Arial" w:cs="Arial"/>
        <w:sz w:val="22"/>
        <w:szCs w:val="22"/>
        <w:lang w:val="fr-FR"/>
      </w:rPr>
      <w:t>IOC/EC-57/4</w:t>
    </w:r>
    <w:r w:rsidR="008D7306" w:rsidRPr="00A84818">
      <w:rPr>
        <w:rFonts w:ascii="Arial" w:hAnsi="Arial" w:cs="Arial"/>
        <w:sz w:val="22"/>
        <w:szCs w:val="22"/>
        <w:lang w:val="fr-FR"/>
      </w:rPr>
      <w:t>.</w:t>
    </w:r>
    <w:proofErr w:type="gramStart"/>
    <w:r w:rsidR="00C54645" w:rsidRPr="00A84818">
      <w:rPr>
        <w:rFonts w:ascii="Arial" w:hAnsi="Arial" w:cs="Arial"/>
        <w:sz w:val="22"/>
        <w:szCs w:val="22"/>
        <w:lang w:val="fr-FR"/>
      </w:rPr>
      <w:t>3</w:t>
    </w:r>
    <w:r w:rsidRPr="00A84818">
      <w:rPr>
        <w:rFonts w:ascii="Arial" w:hAnsi="Arial" w:cs="Arial"/>
        <w:sz w:val="22"/>
        <w:szCs w:val="22"/>
        <w:lang w:val="fr-FR"/>
      </w:rPr>
      <w:t>.Doc</w:t>
    </w:r>
    <w:proofErr w:type="gramEnd"/>
    <w:r w:rsidRPr="00A84818">
      <w:rPr>
        <w:rFonts w:ascii="Arial" w:hAnsi="Arial" w:cs="Arial"/>
        <w:sz w:val="22"/>
        <w:szCs w:val="22"/>
        <w:lang w:val="fr-FR"/>
      </w:rPr>
      <w:t>(1)</w:t>
    </w:r>
    <w:r w:rsidR="009330C6" w:rsidRPr="00A84818">
      <w:rPr>
        <w:rFonts w:ascii="Arial" w:hAnsi="Arial" w:cs="Arial"/>
        <w:sz w:val="22"/>
        <w:szCs w:val="22"/>
        <w:lang w:val="fr-FR"/>
      </w:rPr>
      <w:t> </w:t>
    </w:r>
    <w:proofErr w:type="spellStart"/>
    <w:r w:rsidR="009330C6" w:rsidRPr="00A84818">
      <w:rPr>
        <w:rFonts w:ascii="Arial" w:hAnsi="Arial" w:cs="Arial"/>
        <w:sz w:val="22"/>
        <w:szCs w:val="22"/>
        <w:lang w:val="fr-FR"/>
      </w:rPr>
      <w:t>Rev</w:t>
    </w:r>
    <w:proofErr w:type="spellEnd"/>
    <w:r w:rsidR="009330C6" w:rsidRPr="00A84818">
      <w:rPr>
        <w:rFonts w:ascii="Arial" w:hAnsi="Arial" w:cs="Arial"/>
        <w:sz w:val="22"/>
        <w:szCs w:val="22"/>
        <w:lang w:val="fr-FR"/>
      </w:rPr>
      <w:t>.</w:t>
    </w:r>
    <w:r w:rsidRPr="00A84818">
      <w:rPr>
        <w:rFonts w:ascii="Arial" w:hAnsi="Arial" w:cs="Arial"/>
        <w:sz w:val="22"/>
        <w:szCs w:val="22"/>
        <w:lang w:val="fr-FR"/>
      </w:rPr>
      <w:t xml:space="preserve"> – page </w:t>
    </w:r>
    <w:r w:rsidRPr="00716ED5">
      <w:rPr>
        <w:rFonts w:ascii="Arial" w:hAnsi="Arial" w:cs="Arial"/>
        <w:sz w:val="22"/>
        <w:szCs w:val="22"/>
      </w:rPr>
      <w:fldChar w:fldCharType="begin"/>
    </w:r>
    <w:r w:rsidRPr="00A84818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716ED5">
      <w:rPr>
        <w:rFonts w:ascii="Arial" w:hAnsi="Arial" w:cs="Arial"/>
        <w:sz w:val="22"/>
        <w:szCs w:val="22"/>
      </w:rPr>
      <w:fldChar w:fldCharType="separate"/>
    </w:r>
    <w:r w:rsidRPr="00A84818">
      <w:rPr>
        <w:rFonts w:ascii="Arial" w:hAnsi="Arial" w:cs="Arial"/>
        <w:sz w:val="22"/>
        <w:szCs w:val="22"/>
        <w:lang w:val="fr-FR"/>
      </w:rPr>
      <w:t>1</w:t>
    </w:r>
    <w:r w:rsidRPr="00716ED5">
      <w:rPr>
        <w:rFonts w:ascii="Arial" w:hAnsi="Arial" w:cs="Arial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E0EF2" w14:textId="3BAA28AC" w:rsidR="00411777" w:rsidRPr="00ED2332" w:rsidRDefault="008B5D7C" w:rsidP="00ED2332">
    <w:pPr>
      <w:pStyle w:val="Header"/>
      <w:tabs>
        <w:tab w:val="clear" w:pos="9360"/>
      </w:tabs>
      <w:ind w:right="-8"/>
      <w:jc w:val="right"/>
      <w:rPr>
        <w:szCs w:val="20"/>
        <w:lang w:val="fr-FR"/>
      </w:rPr>
    </w:pPr>
    <w:r w:rsidRPr="00A84818">
      <w:rPr>
        <w:rFonts w:ascii="Arial" w:hAnsi="Arial" w:cs="Arial"/>
        <w:sz w:val="22"/>
        <w:szCs w:val="22"/>
        <w:lang w:val="fr-FR"/>
      </w:rPr>
      <w:t>IOC/EC-57/4</w:t>
    </w:r>
    <w:r w:rsidR="008D7306" w:rsidRPr="00A84818">
      <w:rPr>
        <w:rFonts w:ascii="Arial" w:hAnsi="Arial" w:cs="Arial"/>
        <w:sz w:val="22"/>
        <w:szCs w:val="22"/>
        <w:lang w:val="fr-FR"/>
      </w:rPr>
      <w:t>.</w:t>
    </w:r>
    <w:proofErr w:type="gramStart"/>
    <w:r w:rsidR="00C54645" w:rsidRPr="00A84818">
      <w:rPr>
        <w:rFonts w:ascii="Arial" w:hAnsi="Arial" w:cs="Arial"/>
        <w:sz w:val="22"/>
        <w:szCs w:val="22"/>
        <w:lang w:val="fr-FR"/>
      </w:rPr>
      <w:t>3</w:t>
    </w:r>
    <w:r w:rsidRPr="00A84818">
      <w:rPr>
        <w:rFonts w:ascii="Arial" w:hAnsi="Arial" w:cs="Arial"/>
        <w:sz w:val="22"/>
        <w:szCs w:val="22"/>
        <w:lang w:val="fr-FR"/>
      </w:rPr>
      <w:t>.Doc</w:t>
    </w:r>
    <w:proofErr w:type="gramEnd"/>
    <w:r w:rsidRPr="00A84818">
      <w:rPr>
        <w:rFonts w:ascii="Arial" w:hAnsi="Arial" w:cs="Arial"/>
        <w:sz w:val="22"/>
        <w:szCs w:val="22"/>
        <w:lang w:val="fr-FR"/>
      </w:rPr>
      <w:t xml:space="preserve">(1) </w:t>
    </w:r>
    <w:proofErr w:type="spellStart"/>
    <w:r w:rsidR="009330C6" w:rsidRPr="00A84818">
      <w:rPr>
        <w:rFonts w:ascii="Arial" w:hAnsi="Arial" w:cs="Arial"/>
        <w:sz w:val="22"/>
        <w:szCs w:val="22"/>
        <w:lang w:val="fr-FR"/>
      </w:rPr>
      <w:t>Rev</w:t>
    </w:r>
    <w:proofErr w:type="spellEnd"/>
    <w:r w:rsidR="009330C6" w:rsidRPr="00A84818">
      <w:rPr>
        <w:rFonts w:ascii="Arial" w:hAnsi="Arial" w:cs="Arial"/>
        <w:sz w:val="22"/>
        <w:szCs w:val="22"/>
        <w:lang w:val="fr-FR"/>
      </w:rPr>
      <w:t>.</w:t>
    </w:r>
    <w:r w:rsidR="009330C6">
      <w:rPr>
        <w:rFonts w:ascii="Arial" w:hAnsi="Arial" w:cs="Arial"/>
        <w:sz w:val="22"/>
        <w:szCs w:val="22"/>
        <w:lang w:val="fr-FR"/>
      </w:rPr>
      <w:t xml:space="preserve"> </w:t>
    </w:r>
    <w:r w:rsidRPr="00A84818">
      <w:rPr>
        <w:rFonts w:ascii="Arial" w:hAnsi="Arial" w:cs="Arial"/>
        <w:sz w:val="22"/>
        <w:szCs w:val="22"/>
        <w:lang w:val="fr-FR"/>
      </w:rPr>
      <w:t xml:space="preserve">– page </w:t>
    </w:r>
    <w:r w:rsidRPr="00716ED5">
      <w:rPr>
        <w:rFonts w:ascii="Arial" w:hAnsi="Arial" w:cs="Arial"/>
        <w:sz w:val="22"/>
        <w:szCs w:val="22"/>
      </w:rPr>
      <w:fldChar w:fldCharType="begin"/>
    </w:r>
    <w:r w:rsidRPr="00A84818">
      <w:rPr>
        <w:rFonts w:ascii="Arial" w:hAnsi="Arial" w:cs="Arial"/>
        <w:sz w:val="22"/>
        <w:szCs w:val="22"/>
        <w:lang w:val="fr-FR"/>
      </w:rPr>
      <w:instrText xml:space="preserve"> PAGE   \* MERGEFORMAT </w:instrText>
    </w:r>
    <w:r w:rsidRPr="00716ED5">
      <w:rPr>
        <w:rFonts w:ascii="Arial" w:hAnsi="Arial" w:cs="Arial"/>
        <w:sz w:val="22"/>
        <w:szCs w:val="22"/>
      </w:rPr>
      <w:fldChar w:fldCharType="separate"/>
    </w:r>
    <w:r w:rsidRPr="00A84818">
      <w:rPr>
        <w:rFonts w:ascii="Arial" w:hAnsi="Arial" w:cs="Arial"/>
        <w:sz w:val="22"/>
        <w:szCs w:val="22"/>
        <w:lang w:val="fr-FR"/>
      </w:rPr>
      <w:t>2</w:t>
    </w:r>
    <w:r w:rsidRPr="00716ED5">
      <w:rPr>
        <w:rFonts w:ascii="Arial" w:hAnsi="Arial" w:cs="Arial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1DFB1" w14:textId="348241B1" w:rsidR="006B0313" w:rsidRPr="00ED2332" w:rsidRDefault="00D215B0" w:rsidP="00ED2332">
    <w:pPr>
      <w:pStyle w:val="Marge"/>
      <w:tabs>
        <w:tab w:val="left" w:pos="6096"/>
      </w:tabs>
      <w:spacing w:after="0"/>
      <w:rPr>
        <w:rFonts w:asciiTheme="minorBidi" w:hAnsiTheme="minorBidi" w:cstheme="minorBidi"/>
        <w:b/>
        <w:bCs/>
        <w:color w:val="000000"/>
        <w:sz w:val="22"/>
        <w:szCs w:val="22"/>
        <w:lang w:val="ru-RU"/>
      </w:rPr>
    </w:pPr>
    <w:r w:rsidRPr="00ED2332">
      <w:rPr>
        <w:rFonts w:asciiTheme="minorBidi" w:hAnsiTheme="minorBidi" w:cstheme="minorBidi"/>
        <w:sz w:val="22"/>
        <w:szCs w:val="22"/>
        <w:lang w:val="ru-RU"/>
      </w:rPr>
      <w:t xml:space="preserve">Рассылается по списку </w:t>
    </w:r>
    <w:r w:rsidR="00ED2332" w:rsidRPr="001B4384">
      <w:rPr>
        <w:rFonts w:asciiTheme="minorBidi" w:hAnsiTheme="minorBidi" w:cstheme="minorBidi"/>
        <w:sz w:val="22"/>
        <w:szCs w:val="22"/>
        <w:lang w:val="ru-RU"/>
      </w:rPr>
      <w:tab/>
    </w:r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IOC/EC-57/4.</w:t>
    </w:r>
    <w:proofErr w:type="gramStart"/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3.Doc</w:t>
    </w:r>
    <w:proofErr w:type="gramEnd"/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(1)</w:t>
    </w:r>
    <w:r w:rsidR="008F2033" w:rsidRPr="001B4384">
      <w:rPr>
        <w:rFonts w:asciiTheme="minorBidi" w:hAnsiTheme="minorBidi" w:cstheme="minorBidi"/>
        <w:b/>
        <w:bCs/>
        <w:sz w:val="28"/>
        <w:szCs w:val="28"/>
        <w:lang w:val="ru-RU"/>
      </w:rPr>
      <w:t xml:space="preserve"> </w:t>
    </w:r>
    <w:proofErr w:type="spellStart"/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Rev</w:t>
    </w:r>
    <w:proofErr w:type="spellEnd"/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.</w:t>
    </w:r>
    <w:bookmarkStart w:id="0" w:name="_Hlk163555438"/>
    <w:bookmarkEnd w:id="0"/>
  </w:p>
  <w:p w14:paraId="6276683C" w14:textId="74F3C7CA" w:rsidR="00D215B0" w:rsidRPr="00ED2332" w:rsidRDefault="00D215B0" w:rsidP="00ED2332">
    <w:pPr>
      <w:pStyle w:val="Marge"/>
      <w:tabs>
        <w:tab w:val="left" w:pos="6096"/>
      </w:tabs>
      <w:spacing w:after="0"/>
      <w:rPr>
        <w:rFonts w:asciiTheme="minorBidi" w:hAnsiTheme="minorBidi" w:cstheme="minorBidi"/>
        <w:sz w:val="22"/>
        <w:szCs w:val="22"/>
        <w:lang w:val="ru-RU"/>
      </w:rPr>
    </w:pPr>
    <w:r w:rsidRPr="00ED2332">
      <w:rPr>
        <w:rFonts w:asciiTheme="minorBidi" w:hAnsiTheme="minorBidi" w:cstheme="minorBidi"/>
        <w:sz w:val="22"/>
        <w:szCs w:val="22"/>
        <w:lang w:val="ru-RU"/>
      </w:rPr>
      <w:tab/>
      <w:t>Париж, 3 июня 2024 г.</w:t>
    </w:r>
  </w:p>
  <w:p w14:paraId="7389B9B5" w14:textId="77777777" w:rsidR="00D215B0" w:rsidRPr="00ED2332" w:rsidRDefault="00D215B0" w:rsidP="00ED2332">
    <w:pPr>
      <w:tabs>
        <w:tab w:val="left" w:pos="6096"/>
      </w:tabs>
      <w:jc w:val="both"/>
      <w:rPr>
        <w:rFonts w:asciiTheme="minorBidi" w:hAnsiTheme="minorBidi" w:cstheme="minorBidi"/>
        <w:sz w:val="22"/>
        <w:szCs w:val="22"/>
        <w:lang w:val="ru-RU"/>
      </w:rPr>
    </w:pPr>
    <w:r w:rsidRPr="00ED2332">
      <w:rPr>
        <w:rFonts w:asciiTheme="minorBidi" w:hAnsiTheme="minorBidi" w:cstheme="minorBidi"/>
        <w:noProof/>
        <w:sz w:val="22"/>
        <w:szCs w:val="22"/>
        <w:lang w:val="ru-RU"/>
      </w:rPr>
      <w:drawing>
        <wp:anchor distT="0" distB="0" distL="114300" distR="114300" simplePos="0" relativeHeight="251657216" behindDoc="0" locked="0" layoutInCell="1" allowOverlap="1" wp14:anchorId="4CA68FD7" wp14:editId="2CE90C4A">
          <wp:simplePos x="0" y="0"/>
          <wp:positionH relativeFrom="column">
            <wp:posOffset>-88900</wp:posOffset>
          </wp:positionH>
          <wp:positionV relativeFrom="paragraph">
            <wp:posOffset>83820</wp:posOffset>
          </wp:positionV>
          <wp:extent cx="1578610" cy="1047115"/>
          <wp:effectExtent l="0" t="0" r="2540" b="635"/>
          <wp:wrapSquare wrapText="bothSides"/>
          <wp:docPr id="8" name="Picture 8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610" cy="1047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2332">
      <w:rPr>
        <w:rFonts w:asciiTheme="minorBidi" w:hAnsiTheme="minorBidi" w:cstheme="minorBidi"/>
        <w:sz w:val="22"/>
        <w:szCs w:val="22"/>
        <w:lang w:val="ru-RU"/>
      </w:rPr>
      <w:tab/>
      <w:t>Оригинал: английский</w:t>
    </w:r>
  </w:p>
  <w:p w14:paraId="05A654E3" w14:textId="77777777" w:rsidR="00D215B0" w:rsidRPr="00ED2332" w:rsidRDefault="00D215B0" w:rsidP="00ED2332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79"/>
        <w:tab w:val="left" w:pos="6480"/>
        <w:tab w:val="left" w:pos="6660"/>
        <w:tab w:val="left" w:pos="7020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59132CF4" w14:textId="77777777" w:rsidR="00D215B0" w:rsidRPr="00ED2332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4FB07816" w14:textId="77777777" w:rsidR="00D215B0" w:rsidRPr="00ED2332" w:rsidRDefault="00D215B0" w:rsidP="00D215B0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3FFBCFF7" w14:textId="77777777" w:rsidR="00D215B0" w:rsidRPr="00ED2332" w:rsidRDefault="00D215B0" w:rsidP="00D215B0">
    <w:pPr>
      <w:tabs>
        <w:tab w:val="left" w:pos="-1440"/>
        <w:tab w:val="left" w:pos="-720"/>
        <w:tab w:val="left" w:pos="0"/>
        <w:tab w:val="left" w:pos="4320"/>
      </w:tabs>
      <w:jc w:val="both"/>
      <w:rPr>
        <w:rFonts w:asciiTheme="minorBidi" w:hAnsiTheme="minorBidi" w:cstheme="minorBidi"/>
        <w:b/>
        <w:sz w:val="22"/>
        <w:szCs w:val="22"/>
        <w:lang w:val="ru-RU"/>
      </w:rPr>
    </w:pPr>
    <w:r w:rsidRPr="00ED2332">
      <w:rPr>
        <w:rFonts w:asciiTheme="minorBidi" w:hAnsiTheme="minorBidi" w:cstheme="minorBidi"/>
        <w:b/>
        <w:sz w:val="22"/>
        <w:szCs w:val="22"/>
        <w:lang w:val="ru-RU"/>
      </w:rPr>
      <w:tab/>
    </w:r>
  </w:p>
  <w:p w14:paraId="3A6606C1" w14:textId="77777777" w:rsidR="00D215B0" w:rsidRPr="00ED2332" w:rsidRDefault="00D215B0" w:rsidP="001B4384">
    <w:pPr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771DF3A6" w14:textId="77777777" w:rsidR="00D215B0" w:rsidRPr="00ED2332" w:rsidRDefault="00D215B0" w:rsidP="001B4384">
    <w:pPr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531929D4" w14:textId="77777777" w:rsidR="00D215B0" w:rsidRPr="00ED2332" w:rsidRDefault="00D215B0" w:rsidP="001B4384">
    <w:pPr>
      <w:jc w:val="both"/>
      <w:rPr>
        <w:rFonts w:asciiTheme="minorBidi" w:hAnsiTheme="minorBidi" w:cstheme="minorBidi"/>
        <w:b/>
        <w:sz w:val="22"/>
        <w:szCs w:val="22"/>
        <w:lang w:val="ru-RU"/>
      </w:rPr>
    </w:pPr>
  </w:p>
  <w:p w14:paraId="0766940B" w14:textId="7C602EA7" w:rsidR="00D215B0" w:rsidRPr="00ED2332" w:rsidRDefault="001B4384" w:rsidP="001B4384">
    <w:pPr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ED2332">
      <w:rPr>
        <w:rFonts w:asciiTheme="minorBidi" w:hAnsiTheme="minorBidi" w:cstheme="minorBidi"/>
        <w:b/>
        <w:bCs/>
        <w:sz w:val="22"/>
        <w:szCs w:val="22"/>
        <w:lang w:val="ru-RU"/>
      </w:rPr>
      <w:t>МЕЖПРАВИТЕЛЬСТВЕННАЯ ОКЕАНОГРАФИЧЕСКАЯ КОМИССИЯ</w:t>
    </w:r>
  </w:p>
  <w:p w14:paraId="054A1E4D" w14:textId="77777777" w:rsidR="00D215B0" w:rsidRPr="00ED2332" w:rsidRDefault="00D215B0" w:rsidP="001B4384">
    <w:pPr>
      <w:jc w:val="center"/>
      <w:rPr>
        <w:rFonts w:asciiTheme="minorBidi" w:hAnsiTheme="minorBidi" w:cstheme="minorBidi"/>
        <w:bCs/>
        <w:sz w:val="22"/>
        <w:szCs w:val="22"/>
        <w:lang w:val="ru-RU"/>
      </w:rPr>
    </w:pPr>
    <w:r w:rsidRPr="00ED2332">
      <w:rPr>
        <w:rFonts w:asciiTheme="minorBidi" w:hAnsiTheme="minorBidi" w:cstheme="minorBidi"/>
        <w:sz w:val="22"/>
        <w:szCs w:val="22"/>
        <w:lang w:val="ru-RU"/>
      </w:rPr>
      <w:t>(ЮНЕСКО)</w:t>
    </w:r>
  </w:p>
  <w:p w14:paraId="07791B36" w14:textId="77777777" w:rsidR="00D215B0" w:rsidRPr="00ED2332" w:rsidRDefault="00D215B0" w:rsidP="001B4384">
    <w:pPr>
      <w:jc w:val="center"/>
      <w:rPr>
        <w:rFonts w:asciiTheme="minorBidi" w:hAnsiTheme="minorBidi" w:cstheme="minorBidi"/>
        <w:b/>
        <w:sz w:val="22"/>
        <w:szCs w:val="22"/>
        <w:lang w:val="ru-RU"/>
      </w:rPr>
    </w:pPr>
  </w:p>
  <w:p w14:paraId="4C1592AD" w14:textId="77777777" w:rsidR="00D215B0" w:rsidRPr="00ED2332" w:rsidRDefault="00D215B0" w:rsidP="001B4384">
    <w:pPr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ED2332">
      <w:rPr>
        <w:rFonts w:asciiTheme="minorBidi" w:hAnsiTheme="minorBidi" w:cstheme="minorBidi"/>
        <w:b/>
        <w:bCs/>
        <w:sz w:val="22"/>
        <w:szCs w:val="22"/>
        <w:lang w:val="ru-RU"/>
      </w:rPr>
      <w:t>Пятьдесят седьмая сессия Исполнительного совета</w:t>
    </w:r>
  </w:p>
  <w:p w14:paraId="72A8C931" w14:textId="77777777" w:rsidR="00D215B0" w:rsidRPr="00ED2332" w:rsidRDefault="00D215B0" w:rsidP="001B4384">
    <w:pPr>
      <w:jc w:val="center"/>
      <w:rPr>
        <w:rFonts w:asciiTheme="minorBidi" w:hAnsiTheme="minorBidi" w:cstheme="minorBidi"/>
        <w:b/>
        <w:sz w:val="22"/>
        <w:szCs w:val="22"/>
        <w:lang w:val="ru-RU"/>
      </w:rPr>
    </w:pPr>
    <w:r w:rsidRPr="00ED2332">
      <w:rPr>
        <w:rFonts w:asciiTheme="minorBidi" w:hAnsiTheme="minorBidi" w:cstheme="minorBidi"/>
        <w:sz w:val="22"/>
        <w:szCs w:val="22"/>
        <w:lang w:val="ru-RU"/>
      </w:rPr>
      <w:t xml:space="preserve">ЮНЕСКО, Париж, </w:t>
    </w:r>
    <w:proofErr w:type="gramStart"/>
    <w:r w:rsidRPr="00ED2332">
      <w:rPr>
        <w:rFonts w:asciiTheme="minorBidi" w:hAnsiTheme="minorBidi" w:cstheme="minorBidi"/>
        <w:sz w:val="22"/>
        <w:szCs w:val="22"/>
        <w:lang w:val="ru-RU"/>
      </w:rPr>
      <w:t>25-28</w:t>
    </w:r>
    <w:proofErr w:type="gramEnd"/>
    <w:r w:rsidRPr="00ED2332">
      <w:rPr>
        <w:rFonts w:asciiTheme="minorBidi" w:hAnsiTheme="minorBidi" w:cstheme="minorBidi"/>
        <w:sz w:val="22"/>
        <w:szCs w:val="22"/>
        <w:lang w:val="ru-RU"/>
      </w:rPr>
      <w:t xml:space="preserve"> июня 2024 г.</w:t>
    </w:r>
  </w:p>
  <w:p w14:paraId="503B4E8B" w14:textId="77777777" w:rsidR="00D215B0" w:rsidRPr="00ED2332" w:rsidRDefault="00D215B0" w:rsidP="001B4384">
    <w:pPr>
      <w:jc w:val="center"/>
      <w:rPr>
        <w:rFonts w:asciiTheme="minorBidi" w:hAnsiTheme="minorBidi" w:cstheme="minorBidi"/>
        <w:bCs/>
        <w:sz w:val="22"/>
        <w:szCs w:val="22"/>
        <w:lang w:val="ru-RU"/>
      </w:rPr>
    </w:pPr>
  </w:p>
  <w:p w14:paraId="0E40FA26" w14:textId="77777777" w:rsidR="00D215B0" w:rsidRPr="00ED2332" w:rsidRDefault="00D215B0" w:rsidP="001B4384">
    <w:pPr>
      <w:jc w:val="center"/>
      <w:rPr>
        <w:rFonts w:asciiTheme="minorBidi" w:hAnsiTheme="minorBidi" w:cstheme="minorBidi"/>
        <w:sz w:val="22"/>
        <w:szCs w:val="22"/>
        <w:lang w:val="ru-RU"/>
      </w:rPr>
    </w:pPr>
  </w:p>
  <w:p w14:paraId="6DC93A80" w14:textId="77777777" w:rsidR="00D215B0" w:rsidRPr="00ED2332" w:rsidRDefault="00D215B0" w:rsidP="001B4384">
    <w:pPr>
      <w:jc w:val="center"/>
      <w:rPr>
        <w:rFonts w:asciiTheme="minorBidi" w:hAnsiTheme="minorBidi" w:cstheme="minorBidi"/>
        <w:sz w:val="22"/>
        <w:szCs w:val="22"/>
        <w:lang w:val="ru-RU"/>
      </w:rPr>
    </w:pPr>
  </w:p>
  <w:p w14:paraId="5BD63144" w14:textId="432278F7" w:rsidR="00D215B0" w:rsidRPr="001B4384" w:rsidRDefault="00D215B0" w:rsidP="001B4384">
    <w:pPr>
      <w:pStyle w:val="Heading7"/>
      <w:ind w:left="0"/>
      <w:rPr>
        <w:rFonts w:asciiTheme="minorBidi" w:hAnsiTheme="minorBidi" w:cstheme="minorBidi"/>
        <w:b w:val="0"/>
        <w:bCs w:val="0"/>
        <w:sz w:val="22"/>
        <w:szCs w:val="22"/>
        <w:u w:val="single"/>
        <w:lang w:val="ru-RU"/>
      </w:rPr>
    </w:pPr>
    <w:r w:rsidRPr="001B4384">
      <w:rPr>
        <w:rFonts w:asciiTheme="minorBidi" w:hAnsiTheme="minorBidi" w:cstheme="minorBidi"/>
        <w:b w:val="0"/>
        <w:bCs w:val="0"/>
        <w:sz w:val="22"/>
        <w:szCs w:val="22"/>
        <w:u w:val="single"/>
        <w:lang w:val="ru-RU"/>
      </w:rPr>
      <w:t xml:space="preserve">Пункт </w:t>
    </w:r>
    <w:r w:rsidRPr="001B4384">
      <w:rPr>
        <w:rFonts w:asciiTheme="minorBidi" w:hAnsiTheme="minorBidi" w:cstheme="minorBidi"/>
        <w:sz w:val="22"/>
        <w:szCs w:val="22"/>
        <w:u w:val="single"/>
        <w:lang w:val="ru-RU"/>
      </w:rPr>
      <w:t>4.3</w:t>
    </w:r>
    <w:r w:rsidRPr="001B4384">
      <w:rPr>
        <w:rFonts w:asciiTheme="minorBidi" w:hAnsiTheme="minorBidi" w:cstheme="minorBidi"/>
        <w:b w:val="0"/>
        <w:bCs w:val="0"/>
        <w:sz w:val="22"/>
        <w:szCs w:val="22"/>
        <w:u w:val="single"/>
        <w:lang w:val="ru-RU"/>
      </w:rPr>
      <w:t xml:space="preserve"> предварительной повестки дня</w:t>
    </w:r>
  </w:p>
  <w:p w14:paraId="432CE5C7" w14:textId="77777777" w:rsidR="00D215B0" w:rsidRPr="00ED2332" w:rsidRDefault="00D215B0" w:rsidP="001B4384">
    <w:pPr>
      <w:rPr>
        <w:rFonts w:asciiTheme="minorBidi" w:hAnsiTheme="minorBidi" w:cstheme="minorBidi"/>
        <w:sz w:val="22"/>
        <w:szCs w:val="22"/>
        <w:lang w:val="ru-RU"/>
      </w:rPr>
    </w:pPr>
  </w:p>
  <w:p w14:paraId="2C77E899" w14:textId="77777777" w:rsidR="00D215B0" w:rsidRPr="00ED2332" w:rsidRDefault="00D215B0" w:rsidP="001B4384">
    <w:pPr>
      <w:rPr>
        <w:rFonts w:asciiTheme="minorBidi" w:hAnsiTheme="minorBidi" w:cstheme="minorBidi"/>
        <w:sz w:val="22"/>
        <w:szCs w:val="22"/>
        <w:lang w:val="ru-RU"/>
      </w:rPr>
    </w:pPr>
  </w:p>
  <w:p w14:paraId="410CEC21" w14:textId="3A5BC6A1" w:rsidR="00C54645" w:rsidRPr="00ED2332" w:rsidRDefault="00ED2332" w:rsidP="001B4384">
    <w:pPr>
      <w:pStyle w:val="Header"/>
      <w:tabs>
        <w:tab w:val="clear" w:pos="4680"/>
        <w:tab w:val="clear" w:pos="9360"/>
      </w:tabs>
      <w:jc w:val="center"/>
      <w:rPr>
        <w:rFonts w:asciiTheme="minorBidi" w:hAnsiTheme="minorBidi" w:cstheme="minorBidi"/>
        <w:b/>
        <w:bCs/>
        <w:caps/>
        <w:sz w:val="28"/>
        <w:szCs w:val="28"/>
        <w:lang w:val="ru-RU"/>
      </w:rPr>
    </w:pPr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Проект общей стратегии МОК по устойчивому планированию</w:t>
    </w:r>
  </w:p>
  <w:p w14:paraId="5AF5002B" w14:textId="2E2DDFFA" w:rsidR="00D215B0" w:rsidRPr="00ED2332" w:rsidRDefault="00ED2332" w:rsidP="00C54645">
    <w:pPr>
      <w:pStyle w:val="Header"/>
      <w:jc w:val="center"/>
      <w:rPr>
        <w:rFonts w:asciiTheme="minorBidi" w:hAnsiTheme="minorBidi" w:cstheme="minorBidi"/>
        <w:sz w:val="28"/>
        <w:szCs w:val="28"/>
        <w:lang w:val="ru-RU"/>
      </w:rPr>
    </w:pPr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и управлению в сфере океана (</w:t>
    </w:r>
    <w:proofErr w:type="gramStart"/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>2024-2030</w:t>
    </w:r>
    <w:proofErr w:type="gramEnd"/>
    <w:r w:rsidRPr="00ED2332">
      <w:rPr>
        <w:rFonts w:asciiTheme="minorBidi" w:hAnsiTheme="minorBidi" w:cstheme="minorBidi"/>
        <w:b/>
        <w:bCs/>
        <w:sz w:val="28"/>
        <w:szCs w:val="28"/>
        <w:lang w:val="ru-RU"/>
      </w:rPr>
      <w:t xml:space="preserve"> гг.)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7C3FA" w14:textId="57039567" w:rsidR="00D87AC4" w:rsidRPr="00D87AC4" w:rsidRDefault="00D87AC4" w:rsidP="00D87AC4">
    <w:pPr>
      <w:pStyle w:val="Header"/>
      <w:jc w:val="center"/>
      <w:rPr>
        <w:rFonts w:asciiTheme="minorBidi" w:hAnsiTheme="minorBidi" w:cstheme="minorBidi"/>
        <w:sz w:val="22"/>
        <w:szCs w:val="22"/>
        <w:lang w:val="en-US"/>
      </w:rPr>
    </w:pPr>
    <w:r w:rsidRPr="00D87AC4">
      <w:rPr>
        <w:rFonts w:asciiTheme="minorBidi" w:hAnsiTheme="minorBidi" w:cstheme="minorBidi"/>
        <w:sz w:val="22"/>
        <w:szCs w:val="22"/>
        <w:lang w:val="fr-FR"/>
      </w:rPr>
      <w:t>(</w:t>
    </w:r>
    <w:r w:rsidRPr="00D87AC4">
      <w:rPr>
        <w:rFonts w:asciiTheme="minorBidi" w:hAnsiTheme="minorBidi" w:cstheme="minorBidi"/>
        <w:sz w:val="22"/>
        <w:szCs w:val="22"/>
        <w:lang w:val="en-US"/>
      </w:rPr>
      <w:t>i)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CEA94" w14:textId="67050D52" w:rsidR="00D87AC4" w:rsidRPr="00D87AC4" w:rsidRDefault="00D87AC4" w:rsidP="00D87AC4">
    <w:pPr>
      <w:pStyle w:val="Header"/>
      <w:jc w:val="right"/>
      <w:rPr>
        <w:rFonts w:asciiTheme="minorBidi" w:hAnsiTheme="minorBidi" w:cstheme="minorBidi"/>
        <w:sz w:val="22"/>
        <w:szCs w:val="22"/>
        <w:lang w:val="en-US"/>
      </w:rPr>
    </w:pPr>
    <w:r w:rsidRPr="00A84818">
      <w:rPr>
        <w:rFonts w:ascii="Arial" w:hAnsi="Arial" w:cs="Arial"/>
        <w:sz w:val="22"/>
        <w:szCs w:val="22"/>
        <w:lang w:val="fr-FR"/>
      </w:rPr>
      <w:t>IOC/EC-57/4.</w:t>
    </w:r>
    <w:proofErr w:type="gramStart"/>
    <w:r w:rsidRPr="00A84818">
      <w:rPr>
        <w:rFonts w:ascii="Arial" w:hAnsi="Arial" w:cs="Arial"/>
        <w:sz w:val="22"/>
        <w:szCs w:val="22"/>
        <w:lang w:val="fr-FR"/>
      </w:rPr>
      <w:t>3.Doc</w:t>
    </w:r>
    <w:proofErr w:type="gramEnd"/>
    <w:r w:rsidRPr="00A84818">
      <w:rPr>
        <w:rFonts w:ascii="Arial" w:hAnsi="Arial" w:cs="Arial"/>
        <w:sz w:val="22"/>
        <w:szCs w:val="22"/>
        <w:lang w:val="fr-FR"/>
      </w:rPr>
      <w:t>(1) </w:t>
    </w:r>
    <w:proofErr w:type="spellStart"/>
    <w:r w:rsidRPr="00A84818">
      <w:rPr>
        <w:rFonts w:ascii="Arial" w:hAnsi="Arial" w:cs="Arial"/>
        <w:sz w:val="22"/>
        <w:szCs w:val="22"/>
        <w:lang w:val="fr-FR"/>
      </w:rPr>
      <w:t>Rev</w:t>
    </w:r>
    <w:proofErr w:type="spellEnd"/>
    <w:r w:rsidRPr="00A84818">
      <w:rPr>
        <w:rFonts w:ascii="Arial" w:hAnsi="Arial" w:cs="Arial"/>
        <w:sz w:val="22"/>
        <w:szCs w:val="22"/>
        <w:lang w:val="fr-FR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31521"/>
    <w:multiLevelType w:val="multilevel"/>
    <w:tmpl w:val="E96EC722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8C5AC6"/>
    <w:multiLevelType w:val="multilevel"/>
    <w:tmpl w:val="69E61960"/>
    <w:lvl w:ilvl="0">
      <w:start w:val="1"/>
      <w:numFmt w:val="bullet"/>
      <w:lvlText w:val="●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084BA0"/>
    <w:multiLevelType w:val="hybridMultilevel"/>
    <w:tmpl w:val="0E08879A"/>
    <w:lvl w:ilvl="0" w:tplc="BBE00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A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547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D6C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E1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FCA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E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ED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202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3574F8"/>
    <w:multiLevelType w:val="hybridMultilevel"/>
    <w:tmpl w:val="3042DA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77537DE"/>
    <w:multiLevelType w:val="hybridMultilevel"/>
    <w:tmpl w:val="64F8FBCC"/>
    <w:lvl w:ilvl="0" w:tplc="8952847A">
      <w:start w:val="1"/>
      <w:numFmt w:val="lowerRoman"/>
      <w:lvlText w:val="%1)"/>
      <w:lvlJc w:val="right"/>
      <w:pPr>
        <w:ind w:left="1287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364334"/>
    <w:multiLevelType w:val="hybridMultilevel"/>
    <w:tmpl w:val="AD123E12"/>
    <w:lvl w:ilvl="0" w:tplc="4F54CAEE">
      <w:start w:val="9"/>
      <w:numFmt w:val="lowerLetter"/>
      <w:lvlText w:val="%1)"/>
      <w:lvlJc w:val="left"/>
      <w:pPr>
        <w:ind w:left="720" w:hanging="360"/>
      </w:pPr>
      <w:rPr>
        <w:rFonts w:eastAsia="Yu Minch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0FAD"/>
    <w:multiLevelType w:val="multilevel"/>
    <w:tmpl w:val="0B400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514885"/>
    <w:multiLevelType w:val="hybridMultilevel"/>
    <w:tmpl w:val="9E3E3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557D89"/>
    <w:multiLevelType w:val="hybridMultilevel"/>
    <w:tmpl w:val="511ADCBA"/>
    <w:lvl w:ilvl="0" w:tplc="F0720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C436E"/>
    <w:multiLevelType w:val="multilevel"/>
    <w:tmpl w:val="3D2ACA4E"/>
    <w:styleLink w:val="CurrentList3"/>
    <w:lvl w:ilvl="0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57E04"/>
    <w:multiLevelType w:val="multilevel"/>
    <w:tmpl w:val="F9FA7EEE"/>
    <w:styleLink w:val="CurrentList4"/>
    <w:lvl w:ilvl="0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66E7E"/>
    <w:multiLevelType w:val="hybridMultilevel"/>
    <w:tmpl w:val="3D601D16"/>
    <w:lvl w:ilvl="0" w:tplc="937C91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11CAC"/>
    <w:multiLevelType w:val="hybridMultilevel"/>
    <w:tmpl w:val="D17E52EA"/>
    <w:lvl w:ilvl="0" w:tplc="FFFFFFFF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F3AAF"/>
    <w:multiLevelType w:val="multilevel"/>
    <w:tmpl w:val="3C4EEC44"/>
    <w:lvl w:ilvl="0">
      <w:start w:val="1"/>
      <w:numFmt w:val="lowerRoman"/>
      <w:lvlText w:val="(%1)"/>
      <w:lvlJc w:val="left"/>
      <w:pPr>
        <w:ind w:left="1440" w:hanging="360"/>
      </w:pPr>
      <w:rPr>
        <w:rFonts w:hint="default"/>
        <w:b/>
        <w:bCs w:val="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 w15:restartNumberingAfterBreak="0">
    <w:nsid w:val="23220BFA"/>
    <w:multiLevelType w:val="hybridMultilevel"/>
    <w:tmpl w:val="2F289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235DD3"/>
    <w:multiLevelType w:val="hybridMultilevel"/>
    <w:tmpl w:val="2BD4B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7B784B"/>
    <w:multiLevelType w:val="multilevel"/>
    <w:tmpl w:val="8D6CECC2"/>
    <w:styleLink w:val="CurrentList2"/>
    <w:lvl w:ilvl="0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491349"/>
    <w:multiLevelType w:val="hybridMultilevel"/>
    <w:tmpl w:val="52A861BC"/>
    <w:lvl w:ilvl="0" w:tplc="AB601C76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i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D710A46"/>
    <w:multiLevelType w:val="hybridMultilevel"/>
    <w:tmpl w:val="B158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1D755A"/>
    <w:multiLevelType w:val="hybridMultilevel"/>
    <w:tmpl w:val="C0BC90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A419C7"/>
    <w:multiLevelType w:val="hybridMultilevel"/>
    <w:tmpl w:val="5AB09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263FF1"/>
    <w:multiLevelType w:val="multilevel"/>
    <w:tmpl w:val="3028C24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b w:val="0"/>
        <w:bCs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39ED7D0D"/>
    <w:multiLevelType w:val="multilevel"/>
    <w:tmpl w:val="30C8B30E"/>
    <w:lvl w:ilvl="0">
      <w:start w:val="1"/>
      <w:numFmt w:val="decimal"/>
      <w:pStyle w:val="ListParagraph1"/>
      <w:lvlText w:val="%1."/>
      <w:lvlJc w:val="left"/>
      <w:pPr>
        <w:tabs>
          <w:tab w:val="num" w:pos="720"/>
        </w:tabs>
        <w:ind w:left="0" w:firstLine="709"/>
      </w:pPr>
      <w:rPr>
        <w:rFonts w:ascii="Arial" w:eastAsiaTheme="majorEastAsia" w:hAnsi="Arial" w:cs="Arial" w:hint="default"/>
        <w:b w:val="0"/>
        <w:i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A3D0F"/>
    <w:multiLevelType w:val="hybridMultilevel"/>
    <w:tmpl w:val="FE7EB8C2"/>
    <w:lvl w:ilvl="0" w:tplc="34760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8562C"/>
    <w:multiLevelType w:val="multilevel"/>
    <w:tmpl w:val="2D18654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b w:val="0"/>
        <w:bCs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40983DCA"/>
    <w:multiLevelType w:val="hybridMultilevel"/>
    <w:tmpl w:val="2F563DCE"/>
    <w:lvl w:ilvl="0" w:tplc="5AB09D7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80C7E"/>
    <w:multiLevelType w:val="hybridMultilevel"/>
    <w:tmpl w:val="DF0C60AA"/>
    <w:lvl w:ilvl="0" w:tplc="CA20A23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CE268B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9866F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E446E3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F6AA29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1BA3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AD650F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508BF2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E60CDA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5674B0"/>
    <w:multiLevelType w:val="hybridMultilevel"/>
    <w:tmpl w:val="FED0253E"/>
    <w:lvl w:ilvl="0" w:tplc="55DEA888">
      <w:start w:val="9"/>
      <w:numFmt w:val="lowerLetter"/>
      <w:lvlText w:val="%1)"/>
      <w:lvlJc w:val="left"/>
      <w:pPr>
        <w:ind w:left="720" w:hanging="360"/>
      </w:pPr>
      <w:rPr>
        <w:rFonts w:eastAsia="Yu Mincho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330AEF"/>
    <w:multiLevelType w:val="hybridMultilevel"/>
    <w:tmpl w:val="437EC152"/>
    <w:lvl w:ilvl="0" w:tplc="FC64477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CA789C" w:tentative="1">
      <w:start w:val="1"/>
      <w:numFmt w:val="bullet"/>
      <w:lvlText w:val="Ø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D8E338" w:tentative="1">
      <w:start w:val="1"/>
      <w:numFmt w:val="bullet"/>
      <w:lvlText w:val="Ø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C8C904" w:tentative="1">
      <w:start w:val="1"/>
      <w:numFmt w:val="bullet"/>
      <w:lvlText w:val="Ø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46B06" w:tentative="1">
      <w:start w:val="1"/>
      <w:numFmt w:val="bullet"/>
      <w:lvlText w:val="Ø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E626BC" w:tentative="1">
      <w:start w:val="1"/>
      <w:numFmt w:val="bullet"/>
      <w:lvlText w:val="Ø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78C5A8" w:tentative="1">
      <w:start w:val="1"/>
      <w:numFmt w:val="bullet"/>
      <w:lvlText w:val="Ø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EE479C" w:tentative="1">
      <w:start w:val="1"/>
      <w:numFmt w:val="bullet"/>
      <w:lvlText w:val="Ø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8C6C90" w:tentative="1">
      <w:start w:val="1"/>
      <w:numFmt w:val="bullet"/>
      <w:lvlText w:val="Ø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A924E2"/>
    <w:multiLevelType w:val="multilevel"/>
    <w:tmpl w:val="5476A1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48D027F7"/>
    <w:multiLevelType w:val="hybridMultilevel"/>
    <w:tmpl w:val="57D61ED0"/>
    <w:lvl w:ilvl="0" w:tplc="5AB09D7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DD052A"/>
    <w:multiLevelType w:val="hybridMultilevel"/>
    <w:tmpl w:val="F9FA7EEE"/>
    <w:lvl w:ilvl="0" w:tplc="B67C5AF6">
      <w:start w:val="1"/>
      <w:numFmt w:val="decimal"/>
      <w:lvlText w:val="%1."/>
      <w:lvlJc w:val="left"/>
      <w:pPr>
        <w:ind w:left="720" w:hanging="128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8210F6"/>
    <w:multiLevelType w:val="multilevel"/>
    <w:tmpl w:val="E30E0C26"/>
    <w:lvl w:ilvl="0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2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B4D0143"/>
    <w:multiLevelType w:val="multilevel"/>
    <w:tmpl w:val="ABA8C46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3"/>
      <w:numFmt w:val="lowerRoman"/>
      <w:lvlText w:val="(%6)"/>
      <w:lvlJc w:val="left"/>
      <w:pPr>
        <w:ind w:left="2520" w:hanging="360"/>
      </w:pPr>
      <w:rPr>
        <w:rFonts w:hint="default"/>
        <w:b w:val="0"/>
        <w:bCs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4" w15:restartNumberingAfterBreak="0">
    <w:nsid w:val="4BB07351"/>
    <w:multiLevelType w:val="hybridMultilevel"/>
    <w:tmpl w:val="85E05C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DE20EAF"/>
    <w:multiLevelType w:val="hybridMultilevel"/>
    <w:tmpl w:val="BA92F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E73E9E"/>
    <w:multiLevelType w:val="hybridMultilevel"/>
    <w:tmpl w:val="2BD4BA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8509B"/>
    <w:multiLevelType w:val="hybridMultilevel"/>
    <w:tmpl w:val="147A0494"/>
    <w:lvl w:ilvl="0" w:tplc="52FC0C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E576E"/>
    <w:multiLevelType w:val="hybridMultilevel"/>
    <w:tmpl w:val="D7E27D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2602BB"/>
    <w:multiLevelType w:val="hybridMultilevel"/>
    <w:tmpl w:val="128CD7C4"/>
    <w:lvl w:ilvl="0" w:tplc="3BFCA9EC">
      <w:start w:val="1"/>
      <w:numFmt w:val="decimal"/>
      <w:lvlText w:val="%1."/>
      <w:lvlJc w:val="left"/>
      <w:pPr>
        <w:ind w:left="720" w:hanging="1287"/>
      </w:pPr>
      <w:rPr>
        <w:rFonts w:asciiTheme="minorBidi" w:hAnsiTheme="minorBidi" w:cstheme="min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A10F3"/>
    <w:multiLevelType w:val="hybridMultilevel"/>
    <w:tmpl w:val="52945DF0"/>
    <w:lvl w:ilvl="0" w:tplc="4CF00B9A">
      <w:start w:val="1"/>
      <w:numFmt w:val="decimal"/>
      <w:pStyle w:val="paranumb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B59EC"/>
    <w:multiLevelType w:val="multilevel"/>
    <w:tmpl w:val="E200ADE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377716"/>
    <w:multiLevelType w:val="hybridMultilevel"/>
    <w:tmpl w:val="A22CE3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0600731"/>
    <w:multiLevelType w:val="multilevel"/>
    <w:tmpl w:val="3D1CB5A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Roman"/>
      <w:lvlText w:val="%6)"/>
      <w:lvlJc w:val="left"/>
      <w:pPr>
        <w:ind w:left="2520" w:hanging="360"/>
      </w:pPr>
      <w:rPr>
        <w:b w:val="0"/>
        <w:bCs/>
      </w:r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4" w15:restartNumberingAfterBreak="0">
    <w:nsid w:val="68CD5B66"/>
    <w:multiLevelType w:val="multilevel"/>
    <w:tmpl w:val="FC90E26C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lowerRoman"/>
      <w:lvlText w:val="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6CD7392E"/>
    <w:multiLevelType w:val="multilevel"/>
    <w:tmpl w:val="71D2FAEC"/>
    <w:lvl w:ilvl="0">
      <w:start w:val="1"/>
      <w:numFmt w:val="decimal"/>
      <w:pStyle w:val="Bullet-shortparagraph-3pt"/>
      <w:lvlText w:val="%1."/>
      <w:lvlJc w:val="left"/>
      <w:pPr>
        <w:ind w:left="144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6" w15:restartNumberingAfterBreak="0">
    <w:nsid w:val="70FD63B3"/>
    <w:multiLevelType w:val="hybridMultilevel"/>
    <w:tmpl w:val="1792B266"/>
    <w:lvl w:ilvl="0" w:tplc="CA20A230">
      <w:start w:val="1"/>
      <w:numFmt w:val="lowerRoman"/>
      <w:lvlText w:val="%1."/>
      <w:lvlJc w:val="righ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720F06A0"/>
    <w:multiLevelType w:val="hybridMultilevel"/>
    <w:tmpl w:val="2330364E"/>
    <w:lvl w:ilvl="0" w:tplc="BB52DA52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EF7FD9"/>
    <w:multiLevelType w:val="hybridMultilevel"/>
    <w:tmpl w:val="419E9F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849902">
    <w:abstractNumId w:val="40"/>
  </w:num>
  <w:num w:numId="2" w16cid:durableId="1349214309">
    <w:abstractNumId w:val="20"/>
  </w:num>
  <w:num w:numId="3" w16cid:durableId="1437755282">
    <w:abstractNumId w:val="44"/>
  </w:num>
  <w:num w:numId="4" w16cid:durableId="388453956">
    <w:abstractNumId w:val="30"/>
  </w:num>
  <w:num w:numId="5" w16cid:durableId="793909581">
    <w:abstractNumId w:val="25"/>
  </w:num>
  <w:num w:numId="6" w16cid:durableId="1930843003">
    <w:abstractNumId w:val="39"/>
  </w:num>
  <w:num w:numId="7" w16cid:durableId="5400480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098916">
    <w:abstractNumId w:val="17"/>
  </w:num>
  <w:num w:numId="9" w16cid:durableId="643001481">
    <w:abstractNumId w:val="15"/>
  </w:num>
  <w:num w:numId="10" w16cid:durableId="273097814">
    <w:abstractNumId w:val="26"/>
  </w:num>
  <w:num w:numId="11" w16cid:durableId="721439567">
    <w:abstractNumId w:val="42"/>
  </w:num>
  <w:num w:numId="12" w16cid:durableId="1729104986">
    <w:abstractNumId w:val="46"/>
  </w:num>
  <w:num w:numId="13" w16cid:durableId="1991061092">
    <w:abstractNumId w:val="36"/>
  </w:num>
  <w:num w:numId="14" w16cid:durableId="396633162">
    <w:abstractNumId w:val="48"/>
  </w:num>
  <w:num w:numId="15" w16cid:durableId="9620317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8511459">
    <w:abstractNumId w:val="28"/>
  </w:num>
  <w:num w:numId="17" w16cid:durableId="1213422084">
    <w:abstractNumId w:val="3"/>
  </w:num>
  <w:num w:numId="18" w16cid:durableId="1294022404">
    <w:abstractNumId w:val="34"/>
  </w:num>
  <w:num w:numId="19" w16cid:durableId="1530795416">
    <w:abstractNumId w:val="38"/>
  </w:num>
  <w:num w:numId="20" w16cid:durableId="160122095">
    <w:abstractNumId w:val="2"/>
  </w:num>
  <w:num w:numId="21" w16cid:durableId="1796754397">
    <w:abstractNumId w:val="19"/>
  </w:num>
  <w:num w:numId="22" w16cid:durableId="1163083026">
    <w:abstractNumId w:val="7"/>
  </w:num>
  <w:num w:numId="23" w16cid:durableId="968170047">
    <w:abstractNumId w:val="14"/>
  </w:num>
  <w:num w:numId="24" w16cid:durableId="1562061837">
    <w:abstractNumId w:val="18"/>
  </w:num>
  <w:num w:numId="25" w16cid:durableId="222179934">
    <w:abstractNumId w:val="41"/>
  </w:num>
  <w:num w:numId="26" w16cid:durableId="800802163">
    <w:abstractNumId w:val="16"/>
  </w:num>
  <w:num w:numId="27" w16cid:durableId="508956873">
    <w:abstractNumId w:val="9"/>
  </w:num>
  <w:num w:numId="28" w16cid:durableId="1153762970">
    <w:abstractNumId w:val="31"/>
  </w:num>
  <w:num w:numId="29" w16cid:durableId="934283092">
    <w:abstractNumId w:val="10"/>
  </w:num>
  <w:num w:numId="30" w16cid:durableId="992831452">
    <w:abstractNumId w:val="12"/>
  </w:num>
  <w:num w:numId="31" w16cid:durableId="150148165">
    <w:abstractNumId w:val="1"/>
  </w:num>
  <w:num w:numId="32" w16cid:durableId="1347712455">
    <w:abstractNumId w:val="21"/>
  </w:num>
  <w:num w:numId="33" w16cid:durableId="453254819">
    <w:abstractNumId w:val="45"/>
  </w:num>
  <w:num w:numId="34" w16cid:durableId="1913850757">
    <w:abstractNumId w:val="29"/>
  </w:num>
  <w:num w:numId="35" w16cid:durableId="342055784">
    <w:abstractNumId w:val="35"/>
  </w:num>
  <w:num w:numId="36" w16cid:durableId="1033843562">
    <w:abstractNumId w:val="37"/>
  </w:num>
  <w:num w:numId="37" w16cid:durableId="87701717">
    <w:abstractNumId w:val="47"/>
  </w:num>
  <w:num w:numId="38" w16cid:durableId="1367489886">
    <w:abstractNumId w:val="32"/>
  </w:num>
  <w:num w:numId="39" w16cid:durableId="1689259805">
    <w:abstractNumId w:val="8"/>
  </w:num>
  <w:num w:numId="40" w16cid:durableId="1903969">
    <w:abstractNumId w:val="13"/>
  </w:num>
  <w:num w:numId="41" w16cid:durableId="586886208">
    <w:abstractNumId w:val="11"/>
  </w:num>
  <w:num w:numId="42" w16cid:durableId="679698612">
    <w:abstractNumId w:val="23"/>
  </w:num>
  <w:num w:numId="43" w16cid:durableId="884833979">
    <w:abstractNumId w:val="5"/>
  </w:num>
  <w:num w:numId="44" w16cid:durableId="985476429">
    <w:abstractNumId w:val="27"/>
  </w:num>
  <w:num w:numId="45" w16cid:durableId="122816678">
    <w:abstractNumId w:val="4"/>
  </w:num>
  <w:num w:numId="46" w16cid:durableId="1304695130">
    <w:abstractNumId w:val="43"/>
  </w:num>
  <w:num w:numId="47" w16cid:durableId="1078941437">
    <w:abstractNumId w:val="0"/>
  </w:num>
  <w:num w:numId="48" w16cid:durableId="395322575">
    <w:abstractNumId w:val="24"/>
  </w:num>
  <w:num w:numId="49" w16cid:durableId="210202431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567"/>
  <w:autoHyphenation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54"/>
    <w:rsid w:val="00001DD1"/>
    <w:rsid w:val="000246AA"/>
    <w:rsid w:val="00046C01"/>
    <w:rsid w:val="000625AE"/>
    <w:rsid w:val="000630DD"/>
    <w:rsid w:val="00076F7C"/>
    <w:rsid w:val="00091FE0"/>
    <w:rsid w:val="000A3BCA"/>
    <w:rsid w:val="000B3DB5"/>
    <w:rsid w:val="000C7929"/>
    <w:rsid w:val="000D3429"/>
    <w:rsid w:val="000E45C7"/>
    <w:rsid w:val="000F4030"/>
    <w:rsid w:val="00123927"/>
    <w:rsid w:val="00127F7B"/>
    <w:rsid w:val="00133034"/>
    <w:rsid w:val="00145662"/>
    <w:rsid w:val="00145D27"/>
    <w:rsid w:val="00146091"/>
    <w:rsid w:val="001739E0"/>
    <w:rsid w:val="00181559"/>
    <w:rsid w:val="00184C2A"/>
    <w:rsid w:val="00187178"/>
    <w:rsid w:val="0019023C"/>
    <w:rsid w:val="00192C43"/>
    <w:rsid w:val="00195CDA"/>
    <w:rsid w:val="00196209"/>
    <w:rsid w:val="001A4827"/>
    <w:rsid w:val="001B1789"/>
    <w:rsid w:val="001B3FAD"/>
    <w:rsid w:val="001B4384"/>
    <w:rsid w:val="001C725A"/>
    <w:rsid w:val="001D15DF"/>
    <w:rsid w:val="001D2420"/>
    <w:rsid w:val="001D41EB"/>
    <w:rsid w:val="001F7011"/>
    <w:rsid w:val="001F7FE0"/>
    <w:rsid w:val="00203442"/>
    <w:rsid w:val="00221BAC"/>
    <w:rsid w:val="00226537"/>
    <w:rsid w:val="00241215"/>
    <w:rsid w:val="00242073"/>
    <w:rsid w:val="00246F40"/>
    <w:rsid w:val="0025134F"/>
    <w:rsid w:val="0025304C"/>
    <w:rsid w:val="00254057"/>
    <w:rsid w:val="00255742"/>
    <w:rsid w:val="002578AD"/>
    <w:rsid w:val="00257FAF"/>
    <w:rsid w:val="00271A65"/>
    <w:rsid w:val="0029603D"/>
    <w:rsid w:val="002A4E45"/>
    <w:rsid w:val="002B35E5"/>
    <w:rsid w:val="002E3962"/>
    <w:rsid w:val="002F0D93"/>
    <w:rsid w:val="002F5EF7"/>
    <w:rsid w:val="00314B59"/>
    <w:rsid w:val="00330987"/>
    <w:rsid w:val="003330BA"/>
    <w:rsid w:val="00340884"/>
    <w:rsid w:val="00344F7B"/>
    <w:rsid w:val="00350723"/>
    <w:rsid w:val="0035470D"/>
    <w:rsid w:val="00354A19"/>
    <w:rsid w:val="00365C6B"/>
    <w:rsid w:val="0039753F"/>
    <w:rsid w:val="003A481B"/>
    <w:rsid w:val="003B34C2"/>
    <w:rsid w:val="003B5CCB"/>
    <w:rsid w:val="003D2C06"/>
    <w:rsid w:val="00406064"/>
    <w:rsid w:val="00411777"/>
    <w:rsid w:val="00414297"/>
    <w:rsid w:val="00416686"/>
    <w:rsid w:val="00416C6B"/>
    <w:rsid w:val="00422210"/>
    <w:rsid w:val="00424160"/>
    <w:rsid w:val="004340B4"/>
    <w:rsid w:val="00435B0B"/>
    <w:rsid w:val="00437BDF"/>
    <w:rsid w:val="00440828"/>
    <w:rsid w:val="004436D0"/>
    <w:rsid w:val="0044539E"/>
    <w:rsid w:val="004570FC"/>
    <w:rsid w:val="00463153"/>
    <w:rsid w:val="00465742"/>
    <w:rsid w:val="004776F5"/>
    <w:rsid w:val="00484E9E"/>
    <w:rsid w:val="004A0E28"/>
    <w:rsid w:val="004C51BF"/>
    <w:rsid w:val="004C580B"/>
    <w:rsid w:val="004C7A7E"/>
    <w:rsid w:val="004D3A35"/>
    <w:rsid w:val="004D44E1"/>
    <w:rsid w:val="005225C6"/>
    <w:rsid w:val="00527317"/>
    <w:rsid w:val="00551EE9"/>
    <w:rsid w:val="0055342A"/>
    <w:rsid w:val="00570E20"/>
    <w:rsid w:val="005829CD"/>
    <w:rsid w:val="0059198B"/>
    <w:rsid w:val="005935FD"/>
    <w:rsid w:val="005A66DE"/>
    <w:rsid w:val="005B2FE5"/>
    <w:rsid w:val="005B5843"/>
    <w:rsid w:val="005D38B8"/>
    <w:rsid w:val="005D69B7"/>
    <w:rsid w:val="005F5328"/>
    <w:rsid w:val="0060137F"/>
    <w:rsid w:val="00616588"/>
    <w:rsid w:val="00627F3B"/>
    <w:rsid w:val="00643F8C"/>
    <w:rsid w:val="00647AF6"/>
    <w:rsid w:val="00655FE3"/>
    <w:rsid w:val="006571DD"/>
    <w:rsid w:val="00680C87"/>
    <w:rsid w:val="006B0313"/>
    <w:rsid w:val="006C57B2"/>
    <w:rsid w:val="006C6B79"/>
    <w:rsid w:val="006E161F"/>
    <w:rsid w:val="006E2918"/>
    <w:rsid w:val="007063A1"/>
    <w:rsid w:val="00716ED5"/>
    <w:rsid w:val="00717004"/>
    <w:rsid w:val="007179D8"/>
    <w:rsid w:val="00726C76"/>
    <w:rsid w:val="007326AA"/>
    <w:rsid w:val="00733D88"/>
    <w:rsid w:val="00740867"/>
    <w:rsid w:val="00750C34"/>
    <w:rsid w:val="007743A1"/>
    <w:rsid w:val="00783168"/>
    <w:rsid w:val="007B5441"/>
    <w:rsid w:val="007C3206"/>
    <w:rsid w:val="007D3376"/>
    <w:rsid w:val="007F3C70"/>
    <w:rsid w:val="008000FB"/>
    <w:rsid w:val="008048A2"/>
    <w:rsid w:val="00805E98"/>
    <w:rsid w:val="00821B0F"/>
    <w:rsid w:val="00830347"/>
    <w:rsid w:val="00831354"/>
    <w:rsid w:val="00832D86"/>
    <w:rsid w:val="0083469F"/>
    <w:rsid w:val="008363BE"/>
    <w:rsid w:val="00841CB9"/>
    <w:rsid w:val="0089739C"/>
    <w:rsid w:val="008977D1"/>
    <w:rsid w:val="008A4FB0"/>
    <w:rsid w:val="008B5D7C"/>
    <w:rsid w:val="008C60EF"/>
    <w:rsid w:val="008C64E8"/>
    <w:rsid w:val="008C6B96"/>
    <w:rsid w:val="008D35BF"/>
    <w:rsid w:val="008D7306"/>
    <w:rsid w:val="008E496E"/>
    <w:rsid w:val="008F2033"/>
    <w:rsid w:val="009006EE"/>
    <w:rsid w:val="00907C6D"/>
    <w:rsid w:val="0091228D"/>
    <w:rsid w:val="0092394D"/>
    <w:rsid w:val="00925A0C"/>
    <w:rsid w:val="00925CAF"/>
    <w:rsid w:val="009330C6"/>
    <w:rsid w:val="00933B0C"/>
    <w:rsid w:val="0093536D"/>
    <w:rsid w:val="00947891"/>
    <w:rsid w:val="00952524"/>
    <w:rsid w:val="0096133D"/>
    <w:rsid w:val="009621AB"/>
    <w:rsid w:val="00966356"/>
    <w:rsid w:val="00995918"/>
    <w:rsid w:val="00995E4E"/>
    <w:rsid w:val="009A4BE7"/>
    <w:rsid w:val="009B591C"/>
    <w:rsid w:val="009C3A1E"/>
    <w:rsid w:val="009F4407"/>
    <w:rsid w:val="009F5F54"/>
    <w:rsid w:val="00A12555"/>
    <w:rsid w:val="00A13752"/>
    <w:rsid w:val="00A361B7"/>
    <w:rsid w:val="00A377DD"/>
    <w:rsid w:val="00A57577"/>
    <w:rsid w:val="00A74F92"/>
    <w:rsid w:val="00A84818"/>
    <w:rsid w:val="00A875DD"/>
    <w:rsid w:val="00A91E4A"/>
    <w:rsid w:val="00A93BD8"/>
    <w:rsid w:val="00AB65D5"/>
    <w:rsid w:val="00AC4B49"/>
    <w:rsid w:val="00AE6EBF"/>
    <w:rsid w:val="00B0242F"/>
    <w:rsid w:val="00B04022"/>
    <w:rsid w:val="00B11ECC"/>
    <w:rsid w:val="00B162EA"/>
    <w:rsid w:val="00B311E3"/>
    <w:rsid w:val="00B413FF"/>
    <w:rsid w:val="00B46C66"/>
    <w:rsid w:val="00B47B6B"/>
    <w:rsid w:val="00B549BA"/>
    <w:rsid w:val="00B5584C"/>
    <w:rsid w:val="00B63AF7"/>
    <w:rsid w:val="00B71EF8"/>
    <w:rsid w:val="00B7376E"/>
    <w:rsid w:val="00B836A7"/>
    <w:rsid w:val="00BA060C"/>
    <w:rsid w:val="00BA78BA"/>
    <w:rsid w:val="00BB2547"/>
    <w:rsid w:val="00BC01F6"/>
    <w:rsid w:val="00BC046E"/>
    <w:rsid w:val="00BC0855"/>
    <w:rsid w:val="00BC4EB9"/>
    <w:rsid w:val="00BD405E"/>
    <w:rsid w:val="00BE5EF8"/>
    <w:rsid w:val="00BF50C2"/>
    <w:rsid w:val="00C02336"/>
    <w:rsid w:val="00C20CDD"/>
    <w:rsid w:val="00C26816"/>
    <w:rsid w:val="00C47BD5"/>
    <w:rsid w:val="00C50EDD"/>
    <w:rsid w:val="00C5250E"/>
    <w:rsid w:val="00C54645"/>
    <w:rsid w:val="00C567D0"/>
    <w:rsid w:val="00C61050"/>
    <w:rsid w:val="00C72E78"/>
    <w:rsid w:val="00C73F72"/>
    <w:rsid w:val="00C754D3"/>
    <w:rsid w:val="00C76C9D"/>
    <w:rsid w:val="00C8316A"/>
    <w:rsid w:val="00C8454E"/>
    <w:rsid w:val="00C936AB"/>
    <w:rsid w:val="00C93B36"/>
    <w:rsid w:val="00C970C9"/>
    <w:rsid w:val="00CA4328"/>
    <w:rsid w:val="00CB1FE7"/>
    <w:rsid w:val="00CB302F"/>
    <w:rsid w:val="00CD5142"/>
    <w:rsid w:val="00CE1342"/>
    <w:rsid w:val="00CE15A9"/>
    <w:rsid w:val="00CF30C2"/>
    <w:rsid w:val="00CF7D2D"/>
    <w:rsid w:val="00D0252E"/>
    <w:rsid w:val="00D16E53"/>
    <w:rsid w:val="00D16F7E"/>
    <w:rsid w:val="00D215B0"/>
    <w:rsid w:val="00D21B4B"/>
    <w:rsid w:val="00D55AEC"/>
    <w:rsid w:val="00D67BB5"/>
    <w:rsid w:val="00D7155D"/>
    <w:rsid w:val="00D81E4B"/>
    <w:rsid w:val="00D8747D"/>
    <w:rsid w:val="00D87AC4"/>
    <w:rsid w:val="00D92ED9"/>
    <w:rsid w:val="00DA028F"/>
    <w:rsid w:val="00DC68E0"/>
    <w:rsid w:val="00DD22A0"/>
    <w:rsid w:val="00DD4C2C"/>
    <w:rsid w:val="00DE3867"/>
    <w:rsid w:val="00DF7599"/>
    <w:rsid w:val="00E113F1"/>
    <w:rsid w:val="00E1671A"/>
    <w:rsid w:val="00E30288"/>
    <w:rsid w:val="00E400DD"/>
    <w:rsid w:val="00E66262"/>
    <w:rsid w:val="00E84E4B"/>
    <w:rsid w:val="00E93979"/>
    <w:rsid w:val="00EB2027"/>
    <w:rsid w:val="00EC5505"/>
    <w:rsid w:val="00ED2332"/>
    <w:rsid w:val="00EE4A5D"/>
    <w:rsid w:val="00EF3497"/>
    <w:rsid w:val="00F037B1"/>
    <w:rsid w:val="00F2453F"/>
    <w:rsid w:val="00F44E1D"/>
    <w:rsid w:val="00F60933"/>
    <w:rsid w:val="00F66862"/>
    <w:rsid w:val="00F66933"/>
    <w:rsid w:val="00F70354"/>
    <w:rsid w:val="00F71683"/>
    <w:rsid w:val="00F73E9D"/>
    <w:rsid w:val="00F746EE"/>
    <w:rsid w:val="00F8319C"/>
    <w:rsid w:val="00F9336B"/>
    <w:rsid w:val="00FA4098"/>
    <w:rsid w:val="00FB149B"/>
    <w:rsid w:val="00FC2517"/>
    <w:rsid w:val="00FD32F7"/>
    <w:rsid w:val="00FF1AC2"/>
    <w:rsid w:val="00FF330A"/>
    <w:rsid w:val="00FF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1D00"/>
  <w15:chartTrackingRefBased/>
  <w15:docId w15:val="{013FBAF5-3694-7F4B-BBBA-1CA56355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P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F54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C6B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D4C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F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6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F5F54"/>
    <w:pPr>
      <w:keepNext/>
      <w:ind w:left="54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F54"/>
  </w:style>
  <w:style w:type="paragraph" w:styleId="Footer">
    <w:name w:val="footer"/>
    <w:basedOn w:val="Normal"/>
    <w:link w:val="FooterChar"/>
    <w:uiPriority w:val="99"/>
    <w:unhideWhenUsed/>
    <w:rsid w:val="009F5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F54"/>
  </w:style>
  <w:style w:type="character" w:customStyle="1" w:styleId="Heading7Char">
    <w:name w:val="Heading 7 Char"/>
    <w:basedOn w:val="DefaultParagraphFont"/>
    <w:link w:val="Heading7"/>
    <w:rsid w:val="009F5F54"/>
    <w:rPr>
      <w:rFonts w:ascii="Times New Roman" w:eastAsia="Times New Roman" w:hAnsi="Times New Roman" w:cs="Times New Roman"/>
      <w:b/>
      <w:bCs/>
      <w:lang w:val="en-PH" w:eastAsia="en-GB"/>
    </w:rPr>
  </w:style>
  <w:style w:type="paragraph" w:customStyle="1" w:styleId="Marge">
    <w:name w:val="Marge"/>
    <w:basedOn w:val="Normal"/>
    <w:link w:val="MargeChar"/>
    <w:qFormat/>
    <w:rsid w:val="009F5F54"/>
    <w:pPr>
      <w:spacing w:after="240"/>
      <w:jc w:val="both"/>
    </w:pPr>
    <w:rPr>
      <w:lang w:eastAsia="en-US"/>
    </w:rPr>
  </w:style>
  <w:style w:type="paragraph" w:customStyle="1" w:styleId="Docheading">
    <w:name w:val="Doc. heading"/>
    <w:basedOn w:val="Header"/>
    <w:rsid w:val="009F5F54"/>
    <w:pPr>
      <w:tabs>
        <w:tab w:val="clear" w:pos="4680"/>
        <w:tab w:val="clear" w:pos="9360"/>
        <w:tab w:val="center" w:pos="4153"/>
        <w:tab w:val="right" w:pos="8306"/>
      </w:tabs>
      <w:spacing w:after="480"/>
      <w:jc w:val="center"/>
    </w:pPr>
    <w:rPr>
      <w:rFonts w:ascii="Arial" w:hAnsi="Arial" w:cs="Arial"/>
      <w:b/>
      <w:bCs/>
      <w:lang w:eastAsia="en-US"/>
    </w:rPr>
  </w:style>
  <w:style w:type="character" w:customStyle="1" w:styleId="MargeChar">
    <w:name w:val="Marge Char"/>
    <w:link w:val="Marge"/>
    <w:qFormat/>
    <w:rsid w:val="009F5F54"/>
    <w:rPr>
      <w:rFonts w:ascii="Times New Roman" w:eastAsia="Times New Roman" w:hAnsi="Times New Roman" w:cs="Times New Roman"/>
      <w:lang w:val="en-PH" w:eastAsia="en-US"/>
    </w:rPr>
  </w:style>
  <w:style w:type="character" w:styleId="Hyperlink">
    <w:name w:val="Hyperlink"/>
    <w:uiPriority w:val="99"/>
    <w:rsid w:val="009F5F54"/>
    <w:rPr>
      <w:color w:val="0000FF"/>
      <w:u w:val="single"/>
    </w:rPr>
  </w:style>
  <w:style w:type="paragraph" w:customStyle="1" w:styleId="h">
    <w:name w:val="h"/>
    <w:basedOn w:val="Marge"/>
    <w:rsid w:val="009F5F54"/>
    <w:pPr>
      <w:tabs>
        <w:tab w:val="left" w:pos="567"/>
      </w:tabs>
      <w:snapToGrid w:val="0"/>
      <w:spacing w:after="120"/>
    </w:pPr>
    <w:rPr>
      <w:rFonts w:ascii="Arial" w:hAnsi="Arial" w:cs="Arial"/>
      <w:snapToGrid w:val="0"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6C6B"/>
    <w:rPr>
      <w:rFonts w:ascii="Calibri" w:eastAsiaTheme="majorEastAsia" w:hAnsi="Calibri" w:cstheme="majorBidi"/>
      <w:b/>
      <w:color w:val="000000" w:themeColor="text1"/>
      <w:sz w:val="36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F5F54"/>
    <w:rPr>
      <w:rFonts w:asciiTheme="majorHAnsi" w:eastAsiaTheme="majorEastAsia" w:hAnsiTheme="majorHAnsi" w:cstheme="majorBidi"/>
      <w:color w:val="1F3763" w:themeColor="accent1" w:themeShade="7F"/>
      <w:lang w:val="en-PH" w:eastAsia="en-GB"/>
    </w:rPr>
  </w:style>
  <w:style w:type="character" w:styleId="PageNumber">
    <w:name w:val="page number"/>
    <w:basedOn w:val="DefaultParagraphFont"/>
    <w:rsid w:val="009F5F54"/>
  </w:style>
  <w:style w:type="paragraph" w:styleId="TOC1">
    <w:name w:val="toc 1"/>
    <w:basedOn w:val="Normal"/>
    <w:next w:val="Normal"/>
    <w:autoRedefine/>
    <w:uiPriority w:val="39"/>
    <w:unhideWhenUsed/>
    <w:rsid w:val="003D2C06"/>
    <w:pPr>
      <w:tabs>
        <w:tab w:val="right" w:leader="dot" w:pos="8290"/>
      </w:tabs>
      <w:snapToGrid w:val="0"/>
      <w:spacing w:after="120"/>
    </w:pPr>
    <w:rPr>
      <w:rFonts w:ascii="Calibri" w:hAnsi="Calibri" w:cs="Calibri"/>
      <w:b/>
      <w:bCs/>
      <w:snapToGrid w:val="0"/>
      <w:sz w:val="22"/>
      <w:szCs w:val="22"/>
      <w:u w:val="single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9F5F54"/>
    <w:pPr>
      <w:snapToGrid w:val="0"/>
    </w:pPr>
    <w:rPr>
      <w:rFonts w:ascii="Calibri" w:hAnsi="Calibri" w:cs="Calibri"/>
      <w:smallCaps/>
      <w:snapToGrid w:val="0"/>
      <w:sz w:val="22"/>
      <w:szCs w:val="22"/>
      <w:lang w:eastAsia="en-US"/>
    </w:rPr>
  </w:style>
  <w:style w:type="paragraph" w:customStyle="1" w:styleId="paranumber">
    <w:name w:val="paranumber"/>
    <w:basedOn w:val="Normal"/>
    <w:autoRedefine/>
    <w:qFormat/>
    <w:rsid w:val="009F5F54"/>
    <w:pPr>
      <w:numPr>
        <w:numId w:val="1"/>
      </w:numPr>
      <w:tabs>
        <w:tab w:val="left" w:pos="709"/>
      </w:tabs>
      <w:spacing w:after="240"/>
      <w:ind w:left="0" w:firstLine="0"/>
      <w:jc w:val="both"/>
    </w:pPr>
    <w:rPr>
      <w:rFonts w:ascii="Arial" w:hAnsi="Arial"/>
      <w:sz w:val="22"/>
      <w:lang w:eastAsia="ja-JP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D16F7E"/>
    <w:pPr>
      <w:ind w:left="720"/>
      <w:contextualSpacing/>
    </w:pPr>
  </w:style>
  <w:style w:type="character" w:customStyle="1" w:styleId="None">
    <w:name w:val="None"/>
    <w:rsid w:val="00E400DD"/>
  </w:style>
  <w:style w:type="paragraph" w:customStyle="1" w:styleId="ListParagraph1">
    <w:name w:val="List Paragraph1"/>
    <w:basedOn w:val="ListParagraph"/>
    <w:qFormat/>
    <w:rsid w:val="00E400DD"/>
    <w:pPr>
      <w:numPr>
        <w:numId w:val="7"/>
      </w:numPr>
      <w:spacing w:after="240"/>
      <w:contextualSpacing w:val="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tyle2">
    <w:name w:val="Style2"/>
    <w:basedOn w:val="Normal"/>
    <w:link w:val="Style2Car"/>
    <w:qFormat/>
    <w:rsid w:val="002A4E45"/>
    <w:pPr>
      <w:shd w:val="clear" w:color="auto" w:fill="FFFFFF"/>
      <w:tabs>
        <w:tab w:val="num" w:pos="1400"/>
      </w:tabs>
      <w:spacing w:after="240"/>
      <w:ind w:left="720"/>
      <w:jc w:val="both"/>
    </w:pPr>
    <w:rPr>
      <w:rFonts w:ascii="Arial" w:hAnsi="Arial"/>
      <w:iCs/>
      <w:sz w:val="22"/>
      <w:szCs w:val="22"/>
    </w:rPr>
  </w:style>
  <w:style w:type="character" w:customStyle="1" w:styleId="Style2Car">
    <w:name w:val="Style2 Car"/>
    <w:basedOn w:val="DefaultParagraphFont"/>
    <w:link w:val="Style2"/>
    <w:rsid w:val="002A4E45"/>
    <w:rPr>
      <w:rFonts w:ascii="Arial" w:eastAsia="Times New Roman" w:hAnsi="Arial" w:cs="Times New Roman"/>
      <w:iCs/>
      <w:sz w:val="22"/>
      <w:szCs w:val="22"/>
      <w:shd w:val="clear" w:color="auto" w:fill="FFFFFF"/>
      <w:lang w:val="en-PH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D4C2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PH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995E4E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952524"/>
    <w:pPr>
      <w:tabs>
        <w:tab w:val="left" w:pos="567"/>
      </w:tabs>
      <w:snapToGrid w:val="0"/>
      <w:ind w:left="720"/>
      <w:contextualSpacing/>
    </w:pPr>
    <w:rPr>
      <w:snapToGrid w:val="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D41E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C0855"/>
    <w:pPr>
      <w:spacing w:before="100" w:beforeAutospacing="1" w:after="100" w:afterAutospacing="1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locked/>
    <w:rsid w:val="00717004"/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39753F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975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3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3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numbering" w:customStyle="1" w:styleId="CurrentList1">
    <w:name w:val="Current List1"/>
    <w:uiPriority w:val="99"/>
    <w:rsid w:val="00AC4B49"/>
    <w:pPr>
      <w:numPr>
        <w:numId w:val="25"/>
      </w:numPr>
    </w:pPr>
  </w:style>
  <w:style w:type="numbering" w:customStyle="1" w:styleId="CurrentList2">
    <w:name w:val="Current List2"/>
    <w:uiPriority w:val="99"/>
    <w:rsid w:val="00AC4B49"/>
    <w:pPr>
      <w:numPr>
        <w:numId w:val="26"/>
      </w:numPr>
    </w:pPr>
  </w:style>
  <w:style w:type="numbering" w:customStyle="1" w:styleId="CurrentList3">
    <w:name w:val="Current List3"/>
    <w:uiPriority w:val="99"/>
    <w:rsid w:val="00AC4B49"/>
    <w:pPr>
      <w:numPr>
        <w:numId w:val="27"/>
      </w:numPr>
    </w:pPr>
  </w:style>
  <w:style w:type="numbering" w:customStyle="1" w:styleId="CurrentList4">
    <w:name w:val="Current List4"/>
    <w:uiPriority w:val="99"/>
    <w:rsid w:val="00AC4B49"/>
    <w:pPr>
      <w:numPr>
        <w:numId w:val="29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54645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54645"/>
    <w:rPr>
      <w:rFonts w:ascii="Arial" w:hAnsi="Arial"/>
      <w:b w:val="0"/>
      <w:i w:val="0"/>
      <w:vertAlign w:val="superscript"/>
    </w:rPr>
  </w:style>
  <w:style w:type="paragraph" w:customStyle="1" w:styleId="Bullet-shortparagraph-3pt">
    <w:name w:val="Bullet - short paragraph - 3pt"/>
    <w:basedOn w:val="Normal"/>
    <w:qFormat/>
    <w:rsid w:val="00C54645"/>
    <w:pPr>
      <w:numPr>
        <w:numId w:val="33"/>
      </w:numPr>
      <w:spacing w:before="120" w:after="120" w:line="276" w:lineRule="auto"/>
      <w:ind w:left="340"/>
    </w:pPr>
    <w:rPr>
      <w:rFonts w:ascii="Arial" w:eastAsia="Arial" w:hAnsi="Arial" w:cstheme="minorBidi"/>
      <w:color w:val="FFFFFF" w:themeColor="background1"/>
      <w:sz w:val="20"/>
    </w:rPr>
  </w:style>
  <w:style w:type="paragraph" w:customStyle="1" w:styleId="Default">
    <w:name w:val="Default"/>
    <w:rsid w:val="0093536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0C3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0C34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46C66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46C66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2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8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0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9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39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0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79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29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6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94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133914A86DDA4ABCCCFF07E8C0D63B" ma:contentTypeVersion="25" ma:contentTypeDescription="Create a new document." ma:contentTypeScope="" ma:versionID="8985174ac8e620b0772837996f13b913">
  <xsd:schema xmlns:xsd="http://www.w3.org/2001/XMLSchema" xmlns:xs="http://www.w3.org/2001/XMLSchema" xmlns:p="http://schemas.microsoft.com/office/2006/metadata/properties" xmlns:ns2="37289dc8-d0c9-47c1-9240-66a74fc3f87d" xmlns:ns3="953775bb-7f87-4052-b16f-b02ba07db91b" targetNamespace="http://schemas.microsoft.com/office/2006/metadata/properties" ma:root="true" ma:fieldsID="e0442181f49239b11ea28cfaa1c52241" ns2:_="" ns3:_="">
    <xsd:import namespace="37289dc8-d0c9-47c1-9240-66a74fc3f87d"/>
    <xsd:import namespace="953775bb-7f87-4052-b16f-b02ba07db91b"/>
    <xsd:element name="properties">
      <xsd:complexType>
        <xsd:sequence>
          <xsd:element name="documentManagement">
            <xsd:complexType>
              <xsd:all>
                <xsd:element ref="ns2:Partner" minOccurs="0"/>
                <xsd:element ref="ns2:DocumentType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Audience" minOccurs="0"/>
                <xsd:element ref="ns2:MediaServiceObjectDetectorVersions" minOccurs="0"/>
                <xsd:element ref="ns2:Comments" minOccurs="0"/>
                <xsd:element ref="ns2:Project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89dc8-d0c9-47c1-9240-66a74fc3f87d" elementFormDefault="qualified">
    <xsd:import namespace="http://schemas.microsoft.com/office/2006/documentManagement/types"/>
    <xsd:import namespace="http://schemas.microsoft.com/office/infopath/2007/PartnerControls"/>
    <xsd:element name="Partner" ma:index="2" nillable="true" ma:displayName="Partner" ma:default="SDR Hub Internal" ma:format="Dropdown" ma:internalName="Partner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UNESCO"/>
                        <xsd:enumeration value="SDR Hub Internal"/>
                        <xsd:enumeration value="Ocean Panel"/>
                        <xsd:enumeration value="PBSP"/>
                        <xsd:enumeration value="GOA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format="Dropdown" ma:internalName="DocumentType">
      <xsd:simpleType>
        <xsd:restriction base="dms:Choice">
          <xsd:enumeration value="Concept Note"/>
          <xsd:enumeration value="Meeting Report"/>
          <xsd:enumeration value="Technical Note"/>
          <xsd:enumeration value="Technical Report"/>
          <xsd:enumeration value="Journal Article"/>
          <xsd:enumeration value="Briefing Paper"/>
          <xsd:enumeration value="Information sheet"/>
          <xsd:enumeration value="Event agenda"/>
          <xsd:enumeration value="Presentation"/>
          <xsd:enumeration value="Correspondence"/>
          <xsd:enumeration value="Internal Note"/>
          <xsd:enumeration value="Internal Proposal"/>
          <xsd:enumeration value="Blog post"/>
          <xsd:enumeration value="Visual Asset"/>
          <xsd:enumeration value="Codebase"/>
          <xsd:enumeration value="ML Training Data"/>
          <xsd:enumeration value="Knowledge"/>
          <xsd:enumeration value="Contract documentation"/>
          <xsd:enumeration value="External proposal"/>
          <xsd:enumeration value="Newsletter draft"/>
          <xsd:enumeration value="Comms Brief"/>
          <xsd:enumeration value="Invitation"/>
          <xsd:enumeration value="Invoice"/>
          <xsd:enumeration value="Budget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Audience" ma:index="21" nillable="true" ma:displayName="Audience" ma:format="Dropdown" ma:hidden="true" ma:internalName="Audience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BSP"/>
                        <xsd:enumeration value="GOAP"/>
                        <xsd:enumeration value="UNSW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5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Project" ma:index="26" ma:displayName="Project" ma:description="Use this column to specify a specific project, event or content theme" ma:format="Dropdown" ma:internalName="Project">
      <xsd:simpleType>
        <xsd:union memberTypes="dms:Text">
          <xsd:simpleType>
            <xsd:restriction base="dms:Choice">
              <xsd:enumeration value="Membership"/>
              <xsd:enumeration value="4th GD"/>
              <xsd:enumeration value="5th GD"/>
              <xsd:enumeration value="Communications"/>
              <xsd:enumeration value="SEEA Ocean WG"/>
              <xsd:enumeration value="Our Ocean 23"/>
              <xsd:enumeration value="Internal operations"/>
              <xsd:enumeration value="BPF"/>
              <xsd:enumeration value="BCAF"/>
              <xsd:enumeration value="Maldives"/>
            </xsd:restriction>
          </xsd:simpleType>
        </xsd:un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75bb-7f87-4052-b16f-b02ba07db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4" nillable="true" ma:displayName="Taxonomy Catch All Column" ma:hidden="true" ma:list="{04a3f4cd-7e24-43e3-bee0-c075c828180e}" ma:internalName="TaxCatchAll" ma:readOnly="false" ma:showField="CatchAllData" ma:web="953775bb-7f87-4052-b16f-b02ba07db9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89dc8-d0c9-47c1-9240-66a74fc3f87d">
      <Terms xmlns="http://schemas.microsoft.com/office/infopath/2007/PartnerControls"/>
    </lcf76f155ced4ddcb4097134ff3c332f>
    <Audience xmlns="37289dc8-d0c9-47c1-9240-66a74fc3f87d" xsi:nil="true"/>
    <Comments xmlns="37289dc8-d0c9-47c1-9240-66a74fc3f87d" xsi:nil="true"/>
    <Project xmlns="37289dc8-d0c9-47c1-9240-66a74fc3f87d">UNESCO</Project>
    <Partner xmlns="37289dc8-d0c9-47c1-9240-66a74fc3f87d">
      <Value>UNESCO</Value>
    </Partner>
    <DocumentType xmlns="37289dc8-d0c9-47c1-9240-66a74fc3f87d">Technical Note</DocumentType>
    <TaxCatchAll xmlns="953775bb-7f87-4052-b16f-b02ba07db9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23BD24-AA01-D449-B592-3CE4285E6B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1BFD6B-B220-4055-988E-1734BAD845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89dc8-d0c9-47c1-9240-66a74fc3f87d"/>
    <ds:schemaRef ds:uri="953775bb-7f87-4052-b16f-b02ba07db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C377C-553E-4405-90AE-B9004109060D}">
  <ds:schemaRefs>
    <ds:schemaRef ds:uri="http://schemas.microsoft.com/office/2006/metadata/properties"/>
    <ds:schemaRef ds:uri="http://purl.org/dc/terms/"/>
    <ds:schemaRef ds:uri="953775bb-7f87-4052-b16f-b02ba07db91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7289dc8-d0c9-47c1-9240-66a74fc3f87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DAEB31-C3A6-4602-AA99-83F446EA18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7994</Words>
  <Characters>45566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общей стратегии МОК по устойчивому планированию_x000d_
и управлению в сфере океана (2024-2030 гг.)</dc:title>
  <dc:subject>IOC/EC-57/4.3.Doc(1) Rev.</dc:subject>
  <dc:creator>Diwa, Johanna Paula</dc:creator>
  <cp:keywords/>
  <dc:description/>
  <cp:lastModifiedBy>Boned, Patrice</cp:lastModifiedBy>
  <cp:revision>3</cp:revision>
  <cp:lastPrinted>2024-06-19T17:01:00Z</cp:lastPrinted>
  <dcterms:created xsi:type="dcterms:W3CDTF">2024-06-19T16:59:00Z</dcterms:created>
  <dcterms:modified xsi:type="dcterms:W3CDTF">2024-06-19T17:01:00Z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0x01010071133914A86DDA4ABCCCFF07E8C0D63B</vt:lpwstr>
  </property>
  <property fmtid="{D5CDD505-2E9C-101B-9397-08002B2CF9AE}" pid="3" name="MediaServiceImageTags">
    <vt:lpwstr/>
  </property>
  <property fmtid="{D5CDD505-2E9C-101B-9397-08002B2CF9AE}" pid="4" name="TranslatedWith">
    <vt:lpwstr>Mercury</vt:lpwstr>
  </property>
  <property fmtid="{D5CDD505-2E9C-101B-9397-08002B2CF9AE}" pid="5" name="GeneratedBy">
    <vt:lpwstr>n_bogdanova</vt:lpwstr>
  </property>
  <property fmtid="{D5CDD505-2E9C-101B-9397-08002B2CF9AE}" pid="6" name="GeneratedDate">
    <vt:lpwstr>06/11/2024 09:11:36</vt:lpwstr>
  </property>
  <property fmtid="{D5CDD505-2E9C-101B-9397-08002B2CF9AE}" pid="7" name="OriginalDocID">
    <vt:lpwstr>1bb39ced-f40c-45f3-8008-143788867c69</vt:lpwstr>
  </property>
  <property fmtid="{D5CDD505-2E9C-101B-9397-08002B2CF9AE}" pid="8" name="JobDCPMS">
    <vt:lpwstr>2402841</vt:lpwstr>
  </property>
  <property fmtid="{D5CDD505-2E9C-101B-9397-08002B2CF9AE}" pid="9" name="Language">
    <vt:lpwstr>R</vt:lpwstr>
  </property>
</Properties>
</file>