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3C02D" w14:textId="7D8F7A8E" w:rsidR="009F5F54" w:rsidRPr="004C4B08" w:rsidRDefault="009F5F54" w:rsidP="009F5F54">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9F5F54" w:rsidRPr="00BF516E" w14:paraId="7AD1A8FE" w14:textId="77777777" w:rsidTr="00061180">
        <w:trPr>
          <w:jc w:val="center"/>
        </w:trPr>
        <w:tc>
          <w:tcPr>
            <w:tcW w:w="7654" w:type="dxa"/>
            <w:tcMar>
              <w:top w:w="170" w:type="dxa"/>
              <w:left w:w="170" w:type="dxa"/>
              <w:bottom w:w="170" w:type="dxa"/>
              <w:right w:w="170" w:type="dxa"/>
            </w:tcMar>
          </w:tcPr>
          <w:p w14:paraId="6BE04ED1" w14:textId="77777777" w:rsidR="009F5F54" w:rsidRPr="004C4B08" w:rsidRDefault="009F5F54" w:rsidP="00061180">
            <w:pPr>
              <w:pStyle w:val="Marge"/>
              <w:jc w:val="center"/>
              <w:rPr>
                <w:rFonts w:ascii="Arial" w:hAnsi="Arial" w:cs="Arial"/>
                <w:sz w:val="22"/>
                <w:szCs w:val="22"/>
                <w:lang w:val="es-ES"/>
              </w:rPr>
            </w:pPr>
            <w:r w:rsidRPr="004C4B08">
              <w:rPr>
                <w:rFonts w:ascii="Arial" w:hAnsi="Arial" w:cs="Arial"/>
                <w:sz w:val="22"/>
                <w:szCs w:val="22"/>
                <w:u w:val="single"/>
                <w:lang w:val="es-ES"/>
              </w:rPr>
              <w:t>Resumen</w:t>
            </w:r>
          </w:p>
          <w:p w14:paraId="173CAB47" w14:textId="5E9D6EFF" w:rsidR="009F5F54" w:rsidRPr="004C4B08" w:rsidRDefault="00D46946" w:rsidP="006E161F">
            <w:pPr>
              <w:pStyle w:val="Marge"/>
              <w:spacing w:after="120"/>
              <w:rPr>
                <w:rFonts w:ascii="Arial" w:hAnsi="Arial" w:cs="Arial"/>
                <w:sz w:val="22"/>
                <w:szCs w:val="22"/>
                <w:lang w:val="es-ES"/>
              </w:rPr>
            </w:pPr>
            <w:r w:rsidRPr="004C4B08">
              <w:rPr>
                <w:rFonts w:ascii="Arial" w:hAnsi="Arial" w:cs="Arial"/>
                <w:sz w:val="22"/>
                <w:szCs w:val="22"/>
                <w:lang w:val="es-ES"/>
              </w:rPr>
              <w:t>L</w:t>
            </w:r>
            <w:r w:rsidR="009F5F54" w:rsidRPr="004C4B08">
              <w:rPr>
                <w:rFonts w:ascii="Arial" w:hAnsi="Arial" w:cs="Arial"/>
                <w:sz w:val="22"/>
                <w:szCs w:val="22"/>
                <w:lang w:val="es-ES"/>
              </w:rPr>
              <w:t xml:space="preserve">a Asamblea de la COI, </w:t>
            </w:r>
            <w:r w:rsidRPr="004C4B08">
              <w:rPr>
                <w:rFonts w:ascii="Arial" w:hAnsi="Arial" w:cs="Arial"/>
                <w:sz w:val="22"/>
                <w:szCs w:val="22"/>
                <w:lang w:val="es-ES"/>
              </w:rPr>
              <w:t xml:space="preserve">en su decisión A-32/4.7 adoptada </w:t>
            </w:r>
            <w:r w:rsidR="009F5F54" w:rsidRPr="004C4B08">
              <w:rPr>
                <w:rFonts w:ascii="Arial" w:hAnsi="Arial" w:cs="Arial"/>
                <w:sz w:val="22"/>
                <w:szCs w:val="22"/>
                <w:lang w:val="es-ES"/>
              </w:rPr>
              <w:t xml:space="preserve">en su 32ª reunión, tomó nota del alcance y el proceso de elaboración de la estrategia para toda la COI sobre la planificación y gestión sostenibles del océano para el periodo 2024-2030, </w:t>
            </w:r>
            <w:r w:rsidRPr="004C4B08">
              <w:rPr>
                <w:rFonts w:ascii="Arial" w:hAnsi="Arial" w:cs="Arial"/>
                <w:sz w:val="22"/>
                <w:szCs w:val="22"/>
                <w:lang w:val="es-ES"/>
              </w:rPr>
              <w:t>la cual</w:t>
            </w:r>
            <w:r w:rsidR="009F5F54" w:rsidRPr="004C4B08">
              <w:rPr>
                <w:rFonts w:ascii="Arial" w:hAnsi="Arial" w:cs="Arial"/>
                <w:sz w:val="22"/>
                <w:szCs w:val="22"/>
                <w:lang w:val="es-ES"/>
              </w:rPr>
              <w:t xml:space="preserve"> figura en el documento </w:t>
            </w:r>
            <w:hyperlink r:id="rId11" w:history="1">
              <w:r w:rsidR="009F5F54" w:rsidRPr="004C4B08">
                <w:rPr>
                  <w:rStyle w:val="Hipervnculo"/>
                  <w:rFonts w:ascii="Arial" w:hAnsi="Arial" w:cs="Arial"/>
                  <w:sz w:val="22"/>
                  <w:szCs w:val="22"/>
                  <w:lang w:val="es-ES"/>
                </w:rPr>
                <w:t>IOC/A-32/4.7.Doc(1)</w:t>
              </w:r>
            </w:hyperlink>
            <w:r w:rsidR="009F5F54" w:rsidRPr="004C4B08">
              <w:rPr>
                <w:rFonts w:ascii="Arial" w:hAnsi="Arial" w:cs="Arial"/>
                <w:sz w:val="22"/>
                <w:szCs w:val="22"/>
                <w:lang w:val="es-ES"/>
              </w:rPr>
              <w:t xml:space="preserve">, y pidió a la Secretaría que recabara aportaciones de los Estados Miembros, los programas y órganos técnicos de la COI y otras partes interesadas pertinentes, y presentara una versión revisada del documento al Consejo Ejecutivo de la COI en su 57ª reunión. </w:t>
            </w:r>
          </w:p>
          <w:p w14:paraId="51EB9413" w14:textId="2DDC4556" w:rsidR="006E161F" w:rsidRPr="004C4B08" w:rsidRDefault="009F5F54" w:rsidP="006E161F">
            <w:pPr>
              <w:pStyle w:val="Marge"/>
              <w:spacing w:after="120"/>
              <w:rPr>
                <w:rFonts w:ascii="Arial" w:hAnsi="Arial" w:cs="Arial"/>
                <w:sz w:val="22"/>
                <w:szCs w:val="22"/>
                <w:lang w:val="es-ES"/>
              </w:rPr>
            </w:pPr>
            <w:r w:rsidRPr="004C4B08">
              <w:rPr>
                <w:rFonts w:ascii="Arial" w:hAnsi="Arial" w:cs="Arial"/>
                <w:sz w:val="22"/>
                <w:szCs w:val="22"/>
                <w:lang w:val="es-ES"/>
              </w:rPr>
              <w:t>El presente documento, elaborado sobre la base del documento IOC/A</w:t>
            </w:r>
            <w:r w:rsidR="00DF079E">
              <w:rPr>
                <w:rFonts w:ascii="Arial" w:hAnsi="Arial" w:cs="Arial"/>
                <w:sz w:val="22"/>
                <w:szCs w:val="22"/>
                <w:lang w:val="es-ES"/>
              </w:rPr>
              <w:noBreakHyphen/>
            </w:r>
            <w:r w:rsidRPr="004C4B08">
              <w:rPr>
                <w:rFonts w:ascii="Arial" w:hAnsi="Arial" w:cs="Arial"/>
                <w:sz w:val="22"/>
                <w:szCs w:val="22"/>
                <w:lang w:val="es-ES"/>
              </w:rPr>
              <w:t xml:space="preserve">32/4.7.Doc(1), se completó con las aportaciones solicitadas por medio de la circular </w:t>
            </w:r>
            <w:proofErr w:type="spellStart"/>
            <w:r w:rsidRPr="004C4B08">
              <w:rPr>
                <w:rFonts w:ascii="Arial" w:hAnsi="Arial" w:cs="Arial"/>
                <w:sz w:val="22"/>
                <w:szCs w:val="22"/>
                <w:lang w:val="es-ES"/>
              </w:rPr>
              <w:t>nº</w:t>
            </w:r>
            <w:proofErr w:type="spellEnd"/>
            <w:r w:rsidRPr="004C4B08">
              <w:rPr>
                <w:rFonts w:ascii="Arial" w:hAnsi="Arial" w:cs="Arial"/>
                <w:sz w:val="22"/>
                <w:szCs w:val="22"/>
                <w:lang w:val="es-ES"/>
              </w:rPr>
              <w:t xml:space="preserve"> </w:t>
            </w:r>
            <w:hyperlink r:id="rId12" w:history="1">
              <w:r w:rsidRPr="004C4B08">
                <w:rPr>
                  <w:rStyle w:val="Hipervnculo"/>
                  <w:rFonts w:ascii="Arial" w:hAnsi="Arial" w:cs="Arial"/>
                  <w:sz w:val="22"/>
                  <w:szCs w:val="22"/>
                  <w:lang w:val="es-ES"/>
                </w:rPr>
                <w:t>2968</w:t>
              </w:r>
            </w:hyperlink>
            <w:r w:rsidRPr="004C4B08">
              <w:rPr>
                <w:rFonts w:ascii="Arial" w:hAnsi="Arial" w:cs="Arial"/>
                <w:sz w:val="22"/>
                <w:szCs w:val="22"/>
                <w:lang w:val="es-ES"/>
              </w:rPr>
              <w:t xml:space="preserve"> de la COI y una encuesta </w:t>
            </w:r>
            <w:r w:rsidR="00D46946" w:rsidRPr="004C4B08">
              <w:rPr>
                <w:rFonts w:ascii="Arial" w:hAnsi="Arial" w:cs="Arial"/>
                <w:sz w:val="22"/>
                <w:szCs w:val="22"/>
                <w:lang w:val="es-ES"/>
              </w:rPr>
              <w:t>orientada a</w:t>
            </w:r>
            <w:r w:rsidRPr="004C4B08">
              <w:rPr>
                <w:rFonts w:ascii="Arial" w:hAnsi="Arial" w:cs="Arial"/>
                <w:sz w:val="22"/>
                <w:szCs w:val="22"/>
                <w:lang w:val="es-ES"/>
              </w:rPr>
              <w:t xml:space="preserve"> conocer mejor el panorama existente en materia de planificación y gestión sostenibles del océano y determinar las necesidades de las partes interesadas en términos de apoyo técnico y científico. Las aportaciones recibidas se resumen en el documento IOC/INF-1537 y su </w:t>
            </w:r>
            <w:proofErr w:type="spellStart"/>
            <w:r w:rsidRPr="004C4B08">
              <w:rPr>
                <w:rFonts w:ascii="Arial" w:hAnsi="Arial" w:cs="Arial"/>
                <w:sz w:val="22"/>
                <w:szCs w:val="22"/>
                <w:lang w:val="es-ES"/>
              </w:rPr>
              <w:t>addendum</w:t>
            </w:r>
            <w:proofErr w:type="spellEnd"/>
            <w:r w:rsidRPr="004C4B08">
              <w:rPr>
                <w:rFonts w:ascii="Arial" w:hAnsi="Arial" w:cs="Arial"/>
                <w:sz w:val="22"/>
                <w:szCs w:val="22"/>
                <w:lang w:val="es-ES"/>
              </w:rPr>
              <w:t>.</w:t>
            </w:r>
          </w:p>
          <w:p w14:paraId="1B14B711" w14:textId="4C6B2D43" w:rsidR="00440828" w:rsidRPr="004C4B08" w:rsidRDefault="006E161F" w:rsidP="00440828">
            <w:pPr>
              <w:pStyle w:val="Marge"/>
              <w:spacing w:after="120"/>
              <w:rPr>
                <w:rFonts w:ascii="Arial" w:hAnsi="Arial" w:cs="Arial"/>
                <w:sz w:val="22"/>
                <w:szCs w:val="22"/>
                <w:lang w:val="es-ES"/>
              </w:rPr>
            </w:pPr>
            <w:r w:rsidRPr="004C4B08">
              <w:rPr>
                <w:rFonts w:ascii="Arial" w:hAnsi="Arial" w:cs="Arial"/>
                <w:sz w:val="22"/>
                <w:szCs w:val="22"/>
                <w:lang w:val="es-ES"/>
              </w:rPr>
              <w:t xml:space="preserve">En mayo de 2024 se organizaron dos reuniones de consulta en línea para recabar comentarios adicionales de los Estados Miembros de la COI sobre el presente documento. En la estrategia se prevé la creación de un grupo de trabajo de la COI sobre planificación y gestión sostenibles del océano para </w:t>
            </w:r>
            <w:r w:rsidR="00D46946" w:rsidRPr="004C4B08">
              <w:rPr>
                <w:rFonts w:ascii="Arial" w:hAnsi="Arial" w:cs="Arial"/>
                <w:sz w:val="22"/>
                <w:szCs w:val="22"/>
                <w:lang w:val="es-ES"/>
              </w:rPr>
              <w:t>guiar</w:t>
            </w:r>
            <w:r w:rsidRPr="004C4B08">
              <w:rPr>
                <w:rFonts w:ascii="Arial" w:hAnsi="Arial" w:cs="Arial"/>
                <w:sz w:val="22"/>
                <w:szCs w:val="22"/>
                <w:lang w:val="es-ES"/>
              </w:rPr>
              <w:t xml:space="preserve"> su aplicación.</w:t>
            </w:r>
          </w:p>
          <w:p w14:paraId="46CE7E57" w14:textId="46B447AB" w:rsidR="009F5F54" w:rsidRPr="004C4B08" w:rsidRDefault="009F5F54" w:rsidP="00A84818">
            <w:pPr>
              <w:pStyle w:val="Marge"/>
              <w:spacing w:after="120"/>
              <w:rPr>
                <w:rFonts w:ascii="Arial" w:hAnsi="Arial" w:cs="Arial"/>
                <w:sz w:val="22"/>
                <w:szCs w:val="22"/>
                <w:u w:val="single"/>
                <w:lang w:val="es-ES"/>
              </w:rPr>
            </w:pPr>
            <w:r w:rsidRPr="004C4B08">
              <w:rPr>
                <w:rFonts w:ascii="Arial" w:hAnsi="Arial" w:cs="Arial"/>
                <w:sz w:val="22"/>
                <w:szCs w:val="22"/>
                <w:u w:val="single"/>
                <w:lang w:val="es-ES"/>
              </w:rPr>
              <w:t>La decisión propuesta</w:t>
            </w:r>
            <w:r w:rsidRPr="004C4B08">
              <w:rPr>
                <w:rFonts w:ascii="Arial" w:hAnsi="Arial" w:cs="Arial"/>
                <w:sz w:val="22"/>
                <w:szCs w:val="22"/>
                <w:lang w:val="es-ES"/>
              </w:rPr>
              <w:t xml:space="preserve"> lleva la referencia EC-57/4.3 en el documento de decisión de la reunión (documento IOC/EC-57/AP </w:t>
            </w:r>
            <w:proofErr w:type="spellStart"/>
            <w:r w:rsidRPr="004C4B08">
              <w:rPr>
                <w:rFonts w:ascii="Arial" w:hAnsi="Arial" w:cs="Arial"/>
                <w:sz w:val="22"/>
                <w:szCs w:val="22"/>
                <w:lang w:val="es-ES"/>
              </w:rPr>
              <w:t>Prov.Rev</w:t>
            </w:r>
            <w:proofErr w:type="spellEnd"/>
            <w:r w:rsidRPr="004C4B08">
              <w:rPr>
                <w:rFonts w:ascii="Arial" w:hAnsi="Arial" w:cs="Arial"/>
                <w:sz w:val="22"/>
                <w:szCs w:val="22"/>
                <w:lang w:val="es-ES"/>
              </w:rPr>
              <w:t>.).</w:t>
            </w:r>
          </w:p>
        </w:tc>
      </w:tr>
    </w:tbl>
    <w:p w14:paraId="709888C1" w14:textId="565F539F" w:rsidR="009F5F54" w:rsidRPr="004C4B08" w:rsidRDefault="009F5F54" w:rsidP="009F5F54">
      <w:pPr>
        <w:rPr>
          <w:lang w:val="es-ES"/>
        </w:rPr>
      </w:pPr>
    </w:p>
    <w:p w14:paraId="46E039E6" w14:textId="62D93508" w:rsidR="00947891" w:rsidRPr="004C4B08" w:rsidRDefault="009F5F54" w:rsidP="00C54645">
      <w:pPr>
        <w:pStyle w:val="Ttulo2"/>
        <w:tabs>
          <w:tab w:val="left" w:pos="737"/>
        </w:tabs>
        <w:snapToGrid w:val="0"/>
        <w:spacing w:before="0" w:after="240"/>
        <w:rPr>
          <w:rFonts w:cs="Arial"/>
          <w:bCs/>
          <w:lang w:val="es-ES"/>
        </w:rPr>
      </w:pPr>
      <w:r w:rsidRPr="004C4B08">
        <w:rPr>
          <w:lang w:val="es-ES"/>
        </w:rPr>
        <w:br w:type="page"/>
      </w:r>
      <w:bookmarkStart w:id="0" w:name="_Toc130909576"/>
    </w:p>
    <w:bookmarkEnd w:id="0"/>
    <w:p w14:paraId="5DED30B3" w14:textId="77777777" w:rsidR="00C54645" w:rsidRPr="003644D8" w:rsidRDefault="00C54645" w:rsidP="00716ED5">
      <w:pPr>
        <w:keepNext/>
        <w:keepLines/>
        <w:pBdr>
          <w:top w:val="nil"/>
          <w:left w:val="nil"/>
          <w:bottom w:val="single" w:sz="4" w:space="1" w:color="auto"/>
          <w:right w:val="nil"/>
          <w:between w:val="nil"/>
        </w:pBdr>
        <w:spacing w:before="480" w:after="360"/>
        <w:rPr>
          <w:rFonts w:asciiTheme="minorBidi" w:eastAsia="Georgia" w:hAnsiTheme="minorBidi" w:cstheme="minorBidi"/>
          <w:color w:val="000000"/>
          <w:lang w:val="es-ES"/>
        </w:rPr>
      </w:pPr>
      <w:r w:rsidRPr="003644D8">
        <w:rPr>
          <w:rFonts w:asciiTheme="minorBidi" w:hAnsiTheme="minorBidi" w:cstheme="minorBidi"/>
          <w:lang w:val="es-ES"/>
        </w:rPr>
        <w:lastRenderedPageBreak/>
        <w:t>Índice</w:t>
      </w:r>
    </w:p>
    <w:bookmarkStart w:id="1" w:name="_heading=h.3znysh7" w:colFirst="0" w:colLast="0" w:displacedByCustomXml="next"/>
    <w:bookmarkEnd w:id="1" w:displacedByCustomXml="next"/>
    <w:bookmarkStart w:id="2" w:name="_heading=h.d9g27omy57kv" w:colFirst="0" w:colLast="0" w:displacedByCustomXml="next"/>
    <w:bookmarkEnd w:id="2" w:displacedByCustomXml="next"/>
    <w:sdt>
      <w:sdtPr>
        <w:rPr>
          <w:lang w:val="es-ES"/>
        </w:rPr>
        <w:id w:val="1928926375"/>
        <w:docPartObj>
          <w:docPartGallery w:val="Table of Contents"/>
          <w:docPartUnique/>
        </w:docPartObj>
      </w:sdtPr>
      <w:sdtEndPr>
        <w:rPr>
          <w:b/>
          <w:bCs/>
        </w:rPr>
      </w:sdtEndPr>
      <w:sdtContent>
        <w:p w14:paraId="0C807C68" w14:textId="04FED553" w:rsidR="00F50C62" w:rsidRDefault="00B46C66">
          <w:pPr>
            <w:pStyle w:val="TDC2"/>
            <w:rPr>
              <w:rFonts w:asciiTheme="minorHAnsi" w:eastAsiaTheme="minorEastAsia" w:hAnsiTheme="minorHAnsi" w:cstheme="minorBidi"/>
              <w:noProof/>
              <w:kern w:val="2"/>
              <w:lang w:val="es-ES" w:eastAsia="zh-CN"/>
              <w14:ligatures w14:val="standardContextual"/>
            </w:rPr>
          </w:pPr>
          <w:r w:rsidRPr="002E1AB5">
            <w:rPr>
              <w:rFonts w:eastAsiaTheme="majorEastAsia"/>
              <w:color w:val="2F5496" w:themeColor="accent1" w:themeShade="BF"/>
              <w:lang w:val="es-ES" w:eastAsia="en-US"/>
            </w:rPr>
            <w:fldChar w:fldCharType="begin"/>
          </w:r>
          <w:r w:rsidRPr="002E1AB5">
            <w:rPr>
              <w:lang w:val="es-ES"/>
            </w:rPr>
            <w:instrText xml:space="preserve"> TOC \o "1-3" \h \z \u </w:instrText>
          </w:r>
          <w:r w:rsidRPr="002E1AB5">
            <w:rPr>
              <w:rFonts w:eastAsiaTheme="majorEastAsia"/>
              <w:color w:val="2F5496" w:themeColor="accent1" w:themeShade="BF"/>
              <w:lang w:val="es-ES" w:eastAsia="en-US"/>
            </w:rPr>
            <w:fldChar w:fldCharType="separate"/>
          </w:r>
          <w:hyperlink w:anchor="_Toc169082640" w:history="1">
            <w:r w:rsidR="00F50C62" w:rsidRPr="00B24AE0">
              <w:rPr>
                <w:rStyle w:val="Hipervnculo"/>
                <w:rFonts w:ascii="Arial" w:hAnsi="Arial" w:cs="Arial"/>
                <w:b/>
                <w:bCs/>
                <w:noProof/>
                <w:lang w:val="es-ES"/>
              </w:rPr>
              <w:t>I.</w:t>
            </w:r>
            <w:r w:rsidR="00F50C62">
              <w:rPr>
                <w:rFonts w:asciiTheme="minorHAnsi" w:eastAsiaTheme="minorEastAsia" w:hAnsiTheme="minorHAnsi" w:cstheme="minorBidi"/>
                <w:noProof/>
                <w:kern w:val="2"/>
                <w:lang w:val="es-ES" w:eastAsia="zh-CN"/>
                <w14:ligatures w14:val="standardContextual"/>
              </w:rPr>
              <w:tab/>
            </w:r>
            <w:r w:rsidR="00F50C62" w:rsidRPr="00B24AE0">
              <w:rPr>
                <w:rStyle w:val="Hipervnculo"/>
                <w:rFonts w:ascii="Arial" w:hAnsi="Arial" w:cs="Arial"/>
                <w:b/>
                <w:bCs/>
                <w:noProof/>
                <w:lang w:val="es-ES"/>
              </w:rPr>
              <w:t>Introducción</w:t>
            </w:r>
            <w:r w:rsidR="00F50C62">
              <w:rPr>
                <w:noProof/>
                <w:webHidden/>
              </w:rPr>
              <w:tab/>
            </w:r>
            <w:r w:rsidR="00F50C62">
              <w:rPr>
                <w:noProof/>
                <w:webHidden/>
              </w:rPr>
              <w:fldChar w:fldCharType="begin"/>
            </w:r>
            <w:r w:rsidR="00F50C62">
              <w:rPr>
                <w:noProof/>
                <w:webHidden/>
              </w:rPr>
              <w:instrText xml:space="preserve"> PAGEREF _Toc169082640 \h </w:instrText>
            </w:r>
            <w:r w:rsidR="00F50C62">
              <w:rPr>
                <w:noProof/>
                <w:webHidden/>
              </w:rPr>
            </w:r>
            <w:r w:rsidR="00F50C62">
              <w:rPr>
                <w:noProof/>
                <w:webHidden/>
              </w:rPr>
              <w:fldChar w:fldCharType="separate"/>
            </w:r>
            <w:r w:rsidR="00F50C62">
              <w:rPr>
                <w:noProof/>
                <w:webHidden/>
              </w:rPr>
              <w:t>3</w:t>
            </w:r>
            <w:r w:rsidR="00F50C62">
              <w:rPr>
                <w:noProof/>
                <w:webHidden/>
              </w:rPr>
              <w:fldChar w:fldCharType="end"/>
            </w:r>
          </w:hyperlink>
        </w:p>
        <w:p w14:paraId="38315F73" w14:textId="223B6E02" w:rsidR="00F50C62" w:rsidRDefault="00BF516E" w:rsidP="00BF516E">
          <w:pPr>
            <w:pStyle w:val="TDC2"/>
            <w:ind w:left="851" w:hanging="142"/>
            <w:rPr>
              <w:rFonts w:asciiTheme="minorHAnsi" w:eastAsiaTheme="minorEastAsia" w:hAnsiTheme="minorHAnsi" w:cstheme="minorBidi"/>
              <w:noProof/>
              <w:kern w:val="2"/>
              <w:lang w:val="es-ES" w:eastAsia="zh-CN"/>
              <w14:ligatures w14:val="standardContextual"/>
            </w:rPr>
          </w:pPr>
          <w:hyperlink w:anchor="_Toc169082641" w:history="1">
            <w:r w:rsidR="00F50C62" w:rsidRPr="00B24AE0">
              <w:rPr>
                <w:rStyle w:val="Hipervnculo"/>
                <w:rFonts w:ascii="Arial" w:hAnsi="Arial" w:cs="Arial"/>
                <w:noProof/>
                <w:lang w:val="es-ES"/>
              </w:rPr>
              <w:t>Planificación y gestión sostenibles del océano en la COI</w:t>
            </w:r>
            <w:r w:rsidR="00F50C62">
              <w:rPr>
                <w:noProof/>
                <w:webHidden/>
              </w:rPr>
              <w:tab/>
            </w:r>
            <w:r w:rsidR="00F50C62">
              <w:rPr>
                <w:noProof/>
                <w:webHidden/>
              </w:rPr>
              <w:fldChar w:fldCharType="begin"/>
            </w:r>
            <w:r w:rsidR="00F50C62">
              <w:rPr>
                <w:noProof/>
                <w:webHidden/>
              </w:rPr>
              <w:instrText xml:space="preserve"> PAGEREF _Toc169082641 \h </w:instrText>
            </w:r>
            <w:r w:rsidR="00F50C62">
              <w:rPr>
                <w:noProof/>
                <w:webHidden/>
              </w:rPr>
            </w:r>
            <w:r w:rsidR="00F50C62">
              <w:rPr>
                <w:noProof/>
                <w:webHidden/>
              </w:rPr>
              <w:fldChar w:fldCharType="separate"/>
            </w:r>
            <w:r w:rsidR="00F50C62">
              <w:rPr>
                <w:noProof/>
                <w:webHidden/>
              </w:rPr>
              <w:t>6</w:t>
            </w:r>
            <w:r w:rsidR="00F50C62">
              <w:rPr>
                <w:noProof/>
                <w:webHidden/>
              </w:rPr>
              <w:fldChar w:fldCharType="end"/>
            </w:r>
          </w:hyperlink>
        </w:p>
        <w:p w14:paraId="5927850F" w14:textId="4AB98B43" w:rsidR="00F50C62" w:rsidRDefault="00BF516E">
          <w:pPr>
            <w:pStyle w:val="TDC2"/>
            <w:rPr>
              <w:rFonts w:asciiTheme="minorHAnsi" w:eastAsiaTheme="minorEastAsia" w:hAnsiTheme="minorHAnsi" w:cstheme="minorBidi"/>
              <w:noProof/>
              <w:kern w:val="2"/>
              <w:lang w:val="es-ES" w:eastAsia="zh-CN"/>
              <w14:ligatures w14:val="standardContextual"/>
            </w:rPr>
          </w:pPr>
          <w:hyperlink w:anchor="_Toc169082642" w:history="1">
            <w:r w:rsidR="00F50C62" w:rsidRPr="00B24AE0">
              <w:rPr>
                <w:rStyle w:val="Hipervnculo"/>
                <w:rFonts w:ascii="Arial" w:hAnsi="Arial" w:cs="Arial"/>
                <w:b/>
                <w:bCs/>
                <w:noProof/>
                <w:lang w:val="es-ES"/>
              </w:rPr>
              <w:t>II.</w:t>
            </w:r>
            <w:r w:rsidR="00F50C62">
              <w:rPr>
                <w:rFonts w:asciiTheme="minorHAnsi" w:eastAsiaTheme="minorEastAsia" w:hAnsiTheme="minorHAnsi" w:cstheme="minorBidi"/>
                <w:noProof/>
                <w:kern w:val="2"/>
                <w:lang w:val="es-ES" w:eastAsia="zh-CN"/>
                <w14:ligatures w14:val="standardContextual"/>
              </w:rPr>
              <w:tab/>
            </w:r>
            <w:r w:rsidR="00F50C62" w:rsidRPr="00B24AE0">
              <w:rPr>
                <w:rStyle w:val="Hipervnculo"/>
                <w:rFonts w:ascii="Arial" w:hAnsi="Arial" w:cs="Arial"/>
                <w:b/>
                <w:bCs/>
                <w:noProof/>
                <w:lang w:val="es-ES"/>
              </w:rPr>
              <w:t>Visión y objetivos</w:t>
            </w:r>
            <w:r w:rsidR="00F50C62">
              <w:rPr>
                <w:noProof/>
                <w:webHidden/>
              </w:rPr>
              <w:tab/>
            </w:r>
            <w:r w:rsidR="00F50C62">
              <w:rPr>
                <w:noProof/>
                <w:webHidden/>
              </w:rPr>
              <w:fldChar w:fldCharType="begin"/>
            </w:r>
            <w:r w:rsidR="00F50C62">
              <w:rPr>
                <w:noProof/>
                <w:webHidden/>
              </w:rPr>
              <w:instrText xml:space="preserve"> PAGEREF _Toc169082642 \h </w:instrText>
            </w:r>
            <w:r w:rsidR="00F50C62">
              <w:rPr>
                <w:noProof/>
                <w:webHidden/>
              </w:rPr>
            </w:r>
            <w:r w:rsidR="00F50C62">
              <w:rPr>
                <w:noProof/>
                <w:webHidden/>
              </w:rPr>
              <w:fldChar w:fldCharType="separate"/>
            </w:r>
            <w:r w:rsidR="00F50C62">
              <w:rPr>
                <w:noProof/>
                <w:webHidden/>
              </w:rPr>
              <w:t>8</w:t>
            </w:r>
            <w:r w:rsidR="00F50C62">
              <w:rPr>
                <w:noProof/>
                <w:webHidden/>
              </w:rPr>
              <w:fldChar w:fldCharType="end"/>
            </w:r>
          </w:hyperlink>
        </w:p>
        <w:p w14:paraId="5C2878D3" w14:textId="28E566AD" w:rsidR="00F50C62" w:rsidRDefault="00BF516E">
          <w:pPr>
            <w:pStyle w:val="TDC2"/>
            <w:tabs>
              <w:tab w:val="left" w:pos="960"/>
            </w:tabs>
            <w:rPr>
              <w:rFonts w:asciiTheme="minorHAnsi" w:eastAsiaTheme="minorEastAsia" w:hAnsiTheme="minorHAnsi" w:cstheme="minorBidi"/>
              <w:noProof/>
              <w:kern w:val="2"/>
              <w:lang w:val="es-ES" w:eastAsia="zh-CN"/>
              <w14:ligatures w14:val="standardContextual"/>
            </w:rPr>
          </w:pPr>
          <w:hyperlink w:anchor="_Toc169082643" w:history="1">
            <w:r w:rsidR="00F50C62" w:rsidRPr="00B24AE0">
              <w:rPr>
                <w:rStyle w:val="Hipervnculo"/>
                <w:rFonts w:ascii="Arial" w:hAnsi="Arial" w:cs="Arial"/>
                <w:b/>
                <w:bCs/>
                <w:noProof/>
                <w:lang w:val="es-ES"/>
              </w:rPr>
              <w:t>III.</w:t>
            </w:r>
            <w:r w:rsidR="00F50C62">
              <w:rPr>
                <w:rFonts w:asciiTheme="minorHAnsi" w:eastAsiaTheme="minorEastAsia" w:hAnsiTheme="minorHAnsi" w:cstheme="minorBidi"/>
                <w:noProof/>
                <w:kern w:val="2"/>
                <w:lang w:val="es-ES" w:eastAsia="zh-CN"/>
                <w14:ligatures w14:val="standardContextual"/>
              </w:rPr>
              <w:tab/>
            </w:r>
            <w:r w:rsidR="00F50C62" w:rsidRPr="00B24AE0">
              <w:rPr>
                <w:rStyle w:val="Hipervnculo"/>
                <w:rFonts w:ascii="Arial" w:hAnsi="Arial" w:cs="Arial"/>
                <w:b/>
                <w:bCs/>
                <w:noProof/>
                <w:lang w:val="es-ES"/>
              </w:rPr>
              <w:t>Resultados y actividades</w:t>
            </w:r>
            <w:r w:rsidR="00F50C62">
              <w:rPr>
                <w:noProof/>
                <w:webHidden/>
              </w:rPr>
              <w:tab/>
            </w:r>
            <w:r w:rsidR="00F50C62">
              <w:rPr>
                <w:noProof/>
                <w:webHidden/>
              </w:rPr>
              <w:fldChar w:fldCharType="begin"/>
            </w:r>
            <w:r w:rsidR="00F50C62">
              <w:rPr>
                <w:noProof/>
                <w:webHidden/>
              </w:rPr>
              <w:instrText xml:space="preserve"> PAGEREF _Toc169082643 \h </w:instrText>
            </w:r>
            <w:r w:rsidR="00F50C62">
              <w:rPr>
                <w:noProof/>
                <w:webHidden/>
              </w:rPr>
            </w:r>
            <w:r w:rsidR="00F50C62">
              <w:rPr>
                <w:noProof/>
                <w:webHidden/>
              </w:rPr>
              <w:fldChar w:fldCharType="separate"/>
            </w:r>
            <w:r w:rsidR="00F50C62">
              <w:rPr>
                <w:noProof/>
                <w:webHidden/>
              </w:rPr>
              <w:t>9</w:t>
            </w:r>
            <w:r w:rsidR="00F50C62">
              <w:rPr>
                <w:noProof/>
                <w:webHidden/>
              </w:rPr>
              <w:fldChar w:fldCharType="end"/>
            </w:r>
          </w:hyperlink>
        </w:p>
        <w:p w14:paraId="17B01178" w14:textId="7C1B3D71" w:rsidR="00F50C62" w:rsidRDefault="00BF516E">
          <w:pPr>
            <w:pStyle w:val="TDC2"/>
            <w:tabs>
              <w:tab w:val="left" w:pos="960"/>
            </w:tabs>
            <w:rPr>
              <w:rFonts w:asciiTheme="minorHAnsi" w:eastAsiaTheme="minorEastAsia" w:hAnsiTheme="minorHAnsi" w:cstheme="minorBidi"/>
              <w:noProof/>
              <w:kern w:val="2"/>
              <w:lang w:val="es-ES" w:eastAsia="zh-CN"/>
              <w14:ligatures w14:val="standardContextual"/>
            </w:rPr>
          </w:pPr>
          <w:hyperlink w:anchor="_Toc169082644" w:history="1">
            <w:r w:rsidR="00F50C62" w:rsidRPr="00B24AE0">
              <w:rPr>
                <w:rStyle w:val="Hipervnculo"/>
                <w:rFonts w:ascii="Arial" w:hAnsi="Arial" w:cs="Arial"/>
                <w:b/>
                <w:bCs/>
                <w:noProof/>
                <w:lang w:val="es-ES"/>
              </w:rPr>
              <w:t>IV.</w:t>
            </w:r>
            <w:r w:rsidR="00F50C62">
              <w:rPr>
                <w:rFonts w:asciiTheme="minorHAnsi" w:eastAsiaTheme="minorEastAsia" w:hAnsiTheme="minorHAnsi" w:cstheme="minorBidi"/>
                <w:noProof/>
                <w:kern w:val="2"/>
                <w:lang w:val="es-ES" w:eastAsia="zh-CN"/>
                <w14:ligatures w14:val="standardContextual"/>
              </w:rPr>
              <w:tab/>
            </w:r>
            <w:r w:rsidR="00F50C62" w:rsidRPr="00B24AE0">
              <w:rPr>
                <w:rStyle w:val="Hipervnculo"/>
                <w:rFonts w:ascii="Arial" w:hAnsi="Arial" w:cs="Arial"/>
                <w:b/>
                <w:bCs/>
                <w:noProof/>
                <w:lang w:val="es-ES"/>
              </w:rPr>
              <w:t>Aplicación</w:t>
            </w:r>
            <w:r w:rsidR="00F50C62">
              <w:rPr>
                <w:noProof/>
                <w:webHidden/>
              </w:rPr>
              <w:tab/>
            </w:r>
            <w:r w:rsidR="00F50C62">
              <w:rPr>
                <w:noProof/>
                <w:webHidden/>
              </w:rPr>
              <w:fldChar w:fldCharType="begin"/>
            </w:r>
            <w:r w:rsidR="00F50C62">
              <w:rPr>
                <w:noProof/>
                <w:webHidden/>
              </w:rPr>
              <w:instrText xml:space="preserve"> PAGEREF _Toc169082644 \h </w:instrText>
            </w:r>
            <w:r w:rsidR="00F50C62">
              <w:rPr>
                <w:noProof/>
                <w:webHidden/>
              </w:rPr>
            </w:r>
            <w:r w:rsidR="00F50C62">
              <w:rPr>
                <w:noProof/>
                <w:webHidden/>
              </w:rPr>
              <w:fldChar w:fldCharType="separate"/>
            </w:r>
            <w:r w:rsidR="00F50C62">
              <w:rPr>
                <w:noProof/>
                <w:webHidden/>
              </w:rPr>
              <w:t>12</w:t>
            </w:r>
            <w:r w:rsidR="00F50C62">
              <w:rPr>
                <w:noProof/>
                <w:webHidden/>
              </w:rPr>
              <w:fldChar w:fldCharType="end"/>
            </w:r>
          </w:hyperlink>
        </w:p>
        <w:p w14:paraId="589AE1C3" w14:textId="0400B3AE" w:rsidR="00F50C62" w:rsidRDefault="00BF516E" w:rsidP="00BF516E">
          <w:pPr>
            <w:pStyle w:val="TDC2"/>
            <w:ind w:firstLine="0"/>
            <w:rPr>
              <w:rFonts w:asciiTheme="minorHAnsi" w:eastAsiaTheme="minorEastAsia" w:hAnsiTheme="minorHAnsi" w:cstheme="minorBidi"/>
              <w:noProof/>
              <w:kern w:val="2"/>
              <w:lang w:val="es-ES" w:eastAsia="zh-CN"/>
              <w14:ligatures w14:val="standardContextual"/>
            </w:rPr>
          </w:pPr>
          <w:hyperlink w:anchor="_Toc169082645" w:history="1">
            <w:r w:rsidR="00F50C62" w:rsidRPr="00B24AE0">
              <w:rPr>
                <w:rStyle w:val="Hipervnculo"/>
                <w:rFonts w:ascii="Arial" w:hAnsi="Arial" w:cs="Arial"/>
                <w:noProof/>
                <w:lang w:val="es-ES"/>
              </w:rPr>
              <w:t>Mecanismo de orientación</w:t>
            </w:r>
            <w:r w:rsidR="00F50C62">
              <w:rPr>
                <w:noProof/>
                <w:webHidden/>
              </w:rPr>
              <w:tab/>
            </w:r>
            <w:r w:rsidR="00F50C62">
              <w:rPr>
                <w:noProof/>
                <w:webHidden/>
              </w:rPr>
              <w:fldChar w:fldCharType="begin"/>
            </w:r>
            <w:r w:rsidR="00F50C62">
              <w:rPr>
                <w:noProof/>
                <w:webHidden/>
              </w:rPr>
              <w:instrText xml:space="preserve"> PAGEREF _Toc169082645 \h </w:instrText>
            </w:r>
            <w:r w:rsidR="00F50C62">
              <w:rPr>
                <w:noProof/>
                <w:webHidden/>
              </w:rPr>
            </w:r>
            <w:r w:rsidR="00F50C62">
              <w:rPr>
                <w:noProof/>
                <w:webHidden/>
              </w:rPr>
              <w:fldChar w:fldCharType="separate"/>
            </w:r>
            <w:r w:rsidR="00F50C62">
              <w:rPr>
                <w:noProof/>
                <w:webHidden/>
              </w:rPr>
              <w:t>14</w:t>
            </w:r>
            <w:r w:rsidR="00F50C62">
              <w:rPr>
                <w:noProof/>
                <w:webHidden/>
              </w:rPr>
              <w:fldChar w:fldCharType="end"/>
            </w:r>
          </w:hyperlink>
        </w:p>
        <w:p w14:paraId="5983D6ED" w14:textId="48D3E662" w:rsidR="00B46C66" w:rsidRPr="004C4B08" w:rsidRDefault="00B46C66">
          <w:pPr>
            <w:rPr>
              <w:lang w:val="es-ES"/>
            </w:rPr>
          </w:pPr>
          <w:r w:rsidRPr="002E1AB5">
            <w:rPr>
              <w:rFonts w:asciiTheme="minorBidi" w:hAnsiTheme="minorBidi" w:cstheme="minorBidi"/>
              <w:b/>
              <w:bCs/>
              <w:sz w:val="22"/>
              <w:szCs w:val="22"/>
              <w:lang w:val="es-ES"/>
            </w:rPr>
            <w:fldChar w:fldCharType="end"/>
          </w:r>
        </w:p>
      </w:sdtContent>
    </w:sdt>
    <w:p w14:paraId="2C560F3E" w14:textId="77777777" w:rsidR="00422210" w:rsidRPr="004C4B08" w:rsidRDefault="00422210">
      <w:pPr>
        <w:rPr>
          <w:rFonts w:ascii="Arial" w:eastAsiaTheme="majorEastAsia" w:hAnsi="Arial" w:cstheme="majorBidi"/>
          <w:b/>
          <w:bCs/>
          <w:color w:val="2F5496" w:themeColor="accent1" w:themeShade="BF"/>
          <w:sz w:val="22"/>
          <w:szCs w:val="22"/>
          <w:lang w:val="es-ES"/>
        </w:rPr>
      </w:pPr>
      <w:r w:rsidRPr="004C4B08">
        <w:rPr>
          <w:rFonts w:ascii="Arial" w:hAnsi="Arial"/>
          <w:b/>
          <w:bCs/>
          <w:sz w:val="22"/>
          <w:szCs w:val="22"/>
          <w:lang w:val="es-ES"/>
        </w:rPr>
        <w:br w:type="page"/>
      </w:r>
    </w:p>
    <w:p w14:paraId="11824831" w14:textId="7AB3CBA2" w:rsidR="00C54645" w:rsidRPr="004C4B08" w:rsidRDefault="00C54645" w:rsidP="007A7DA0">
      <w:pPr>
        <w:pStyle w:val="Ttulo2"/>
        <w:numPr>
          <w:ilvl w:val="0"/>
          <w:numId w:val="42"/>
        </w:numPr>
        <w:spacing w:before="240" w:after="240"/>
        <w:ind w:left="567" w:hanging="567"/>
        <w:rPr>
          <w:rFonts w:ascii="Arial" w:hAnsi="Arial" w:cs="Arial"/>
          <w:b/>
          <w:bCs/>
          <w:color w:val="000000" w:themeColor="text1"/>
          <w:sz w:val="22"/>
          <w:szCs w:val="22"/>
          <w:lang w:val="es-ES"/>
        </w:rPr>
      </w:pPr>
      <w:bookmarkStart w:id="3" w:name="_Toc169082640"/>
      <w:r w:rsidRPr="004C4B08">
        <w:rPr>
          <w:rFonts w:ascii="Arial" w:hAnsi="Arial" w:cs="Arial"/>
          <w:b/>
          <w:bCs/>
          <w:color w:val="000000" w:themeColor="text1"/>
          <w:sz w:val="22"/>
          <w:szCs w:val="22"/>
          <w:lang w:val="es-ES"/>
        </w:rPr>
        <w:lastRenderedPageBreak/>
        <w:t>Introducción</w:t>
      </w:r>
      <w:bookmarkEnd w:id="3"/>
    </w:p>
    <w:p w14:paraId="2600BD97" w14:textId="3FF1D973" w:rsidR="00CD5142"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El océano es fundamental tanto para la economía mundial como para la salud de nuestro planeta. Esta relación pone de relieve el papel </w:t>
      </w:r>
      <w:r w:rsidR="007F097B">
        <w:rPr>
          <w:rFonts w:ascii="Arial" w:hAnsi="Arial" w:cs="Arial"/>
          <w:sz w:val="22"/>
          <w:szCs w:val="22"/>
          <w:lang w:val="es-ES"/>
        </w:rPr>
        <w:t>esencial</w:t>
      </w:r>
      <w:r w:rsidRPr="004C4B08">
        <w:rPr>
          <w:rFonts w:ascii="Arial" w:hAnsi="Arial" w:cs="Arial"/>
          <w:sz w:val="22"/>
          <w:szCs w:val="22"/>
          <w:lang w:val="es-ES"/>
        </w:rPr>
        <w:t xml:space="preserve"> que deben desempeñar la planificación y la gestión sostenibles del océano para adaptarse a la naturaleza dinámica del cambio climático, garantizando la vitalidad de los sistemas ecológicos, sociales y económicos en el futuro. La integración de enfoques de planificación y gestión sostenibles del océano en los procesos de formulación de políticas y toma de decisiones no solo favorece las funciones vitales del océano, sino que también mejora la viabilidad económica futura.</w:t>
      </w:r>
    </w:p>
    <w:p w14:paraId="74512ED5" w14:textId="0540F190" w:rsidR="004C580B" w:rsidRPr="004C4B08" w:rsidRDefault="004C580B" w:rsidP="00716ED5">
      <w:pPr>
        <w:pStyle w:val="Prrafodelista"/>
        <w:numPr>
          <w:ilvl w:val="0"/>
          <w:numId w:val="37"/>
        </w:numPr>
        <w:tabs>
          <w:tab w:val="left" w:pos="709"/>
        </w:tabs>
        <w:spacing w:after="120"/>
        <w:ind w:left="0" w:firstLine="0"/>
        <w:contextualSpacing w:val="0"/>
        <w:jc w:val="both"/>
        <w:rPr>
          <w:rFonts w:ascii="Arial" w:hAnsi="Arial" w:cs="Arial"/>
          <w:sz w:val="22"/>
          <w:szCs w:val="22"/>
          <w:lang w:val="es-ES"/>
        </w:rPr>
      </w:pPr>
      <w:r w:rsidRPr="004C4B08">
        <w:rPr>
          <w:rFonts w:ascii="Arial" w:hAnsi="Arial" w:cs="Arial"/>
          <w:sz w:val="22"/>
          <w:szCs w:val="22"/>
          <w:lang w:val="es-ES"/>
        </w:rPr>
        <w:t>El reconocimiento de la importancia de un enfoque integrado de la gestión del océano se refleja en diversos compromisos internacionales, tanto dentro como fuera de la COI, como los Objetivos de Desarrollo Sostenible (ODS) de las Naciones Unidas (especialmente el ODS 14), el Acuerdo en el marco de la Convención de las Naciones Unidas sobre el Derecho del Mar relativo a la Conservación y el Uso Sostenible de la Diversidad Biológica Marina de las Zonas Situadas Fuera de la Jurisdicción Nacional, el Decenio de las Naciones Unidas de las Ciencias Oceánicas para el Desarrollo Sostenible (Decenio del Océano), la Convención Marco de las Naciones Unidas sobre el Cambio Climático (CMNUCC) y su Acuerdo de París, el Panel de Alto Nivel para una Economía Oceánica Sostenible y la Declaración de Lisboa de la Conferencia sobre el Océano de las Naciones Unidas. Dado que las obligaciones internacionales relativas a la gestión del océano ahora</w:t>
      </w:r>
      <w:r w:rsidR="00DA16E4" w:rsidRPr="004C4B08">
        <w:rPr>
          <w:rFonts w:ascii="Arial" w:hAnsi="Arial" w:cs="Arial"/>
          <w:sz w:val="22"/>
          <w:szCs w:val="22"/>
          <w:lang w:val="es-ES"/>
        </w:rPr>
        <w:t xml:space="preserve"> dependen</w:t>
      </w:r>
      <w:r w:rsidRPr="004C4B08">
        <w:rPr>
          <w:rFonts w:ascii="Arial" w:hAnsi="Arial" w:cs="Arial"/>
          <w:sz w:val="22"/>
          <w:szCs w:val="22"/>
          <w:lang w:val="es-ES"/>
        </w:rPr>
        <w:t xml:space="preserve"> más de las ciencias, la COI está en buenas condiciones para aprovechar su liderazgo y posición mundiales a fin de ayudar a las naciones a cumplir sus compromisos, aportándoles sus sólidas competencias científicas, técnicas y en materia de datos. Esta función se ve reforzada por el mandato fundacional de la COI, que figura en el artículo 2.1 de sus Estatutos y reza de la siguiente manera:</w:t>
      </w:r>
      <w:bookmarkStart w:id="4" w:name="_Hlk168064855"/>
      <w:bookmarkEnd w:id="4"/>
    </w:p>
    <w:p w14:paraId="44C627F1" w14:textId="7DA5A5AE" w:rsidR="00C54645" w:rsidRPr="004C4B08" w:rsidRDefault="002E1AB5" w:rsidP="00716ED5">
      <w:pPr>
        <w:spacing w:after="240"/>
        <w:ind w:left="720" w:right="700"/>
        <w:rPr>
          <w:rFonts w:ascii="Arial" w:hAnsi="Arial" w:cs="Arial"/>
          <w:i/>
          <w:iCs/>
          <w:sz w:val="22"/>
          <w:szCs w:val="22"/>
          <w:lang w:val="es-ES"/>
        </w:rPr>
      </w:pPr>
      <w:r>
        <w:rPr>
          <w:rFonts w:ascii="Arial" w:hAnsi="Arial" w:cs="Arial"/>
          <w:i/>
          <w:iCs/>
          <w:sz w:val="22"/>
          <w:szCs w:val="22"/>
          <w:lang w:val="es-ES"/>
        </w:rPr>
        <w:t>“</w:t>
      </w:r>
      <w:r w:rsidR="00C54645" w:rsidRPr="004C4B08">
        <w:rPr>
          <w:rFonts w:ascii="Arial" w:hAnsi="Arial" w:cs="Arial"/>
          <w:i/>
          <w:iCs/>
          <w:sz w:val="22"/>
          <w:szCs w:val="22"/>
          <w:lang w:val="es-ES"/>
        </w:rPr>
        <w:t>[...] fomentar la cooperación internacional y coordinar programas en la investigación, los servicios y la creación de capacidad, a fin de conocer mejor la naturaleza y los recursos del océano y las zonas costeras y aplicar ese conocimiento para mejorar la gestión, el desarrollo sostenible, la protección del medio ambiente marino y el proceso de adopción de decisiones de sus Estados Miembros</w:t>
      </w:r>
      <w:r>
        <w:rPr>
          <w:rFonts w:ascii="Arial" w:hAnsi="Arial" w:cs="Arial"/>
          <w:i/>
          <w:iCs/>
          <w:sz w:val="22"/>
          <w:szCs w:val="22"/>
          <w:lang w:val="es-ES"/>
        </w:rPr>
        <w:t>”</w:t>
      </w:r>
      <w:r w:rsidR="00C54645" w:rsidRPr="004C4B08">
        <w:rPr>
          <w:rFonts w:ascii="Arial" w:hAnsi="Arial" w:cs="Arial"/>
          <w:i/>
          <w:iCs/>
          <w:sz w:val="22"/>
          <w:szCs w:val="22"/>
          <w:lang w:val="es-ES"/>
        </w:rPr>
        <w:t>.</w:t>
      </w:r>
    </w:p>
    <w:p w14:paraId="00F72577" w14:textId="277FE13A" w:rsidR="00C54645" w:rsidRPr="004C4B08" w:rsidRDefault="00C54645" w:rsidP="00716ED5">
      <w:pPr>
        <w:pStyle w:val="Prrafodelista"/>
        <w:numPr>
          <w:ilvl w:val="0"/>
          <w:numId w:val="37"/>
        </w:numPr>
        <w:tabs>
          <w:tab w:val="left" w:pos="709"/>
        </w:tabs>
        <w:spacing w:after="12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En septiembre de 2021, la División de Servicios de Supervisión Interna de la UNESCO publicó la </w:t>
      </w:r>
      <w:hyperlink r:id="rId13" w:history="1">
        <w:r w:rsidRPr="004C4B08">
          <w:rPr>
            <w:rStyle w:val="Hipervnculo"/>
            <w:rFonts w:ascii="Arial" w:hAnsi="Arial" w:cs="Arial"/>
            <w:i/>
            <w:iCs/>
            <w:sz w:val="22"/>
            <w:szCs w:val="22"/>
            <w:lang w:val="es-ES"/>
          </w:rPr>
          <w:t>Evaluación del posicionamiento estratégico de la COI de la UNESCO</w:t>
        </w:r>
      </w:hyperlink>
      <w:r w:rsidR="009B61D5" w:rsidRPr="004C4B08">
        <w:rPr>
          <w:rFonts w:ascii="Arial" w:hAnsi="Arial" w:cs="Arial"/>
          <w:sz w:val="22"/>
          <w:szCs w:val="22"/>
          <w:lang w:val="es-ES"/>
        </w:rPr>
        <w:t xml:space="preserve">, </w:t>
      </w:r>
      <w:r w:rsidRPr="004C4B08">
        <w:rPr>
          <w:rFonts w:ascii="Arial" w:hAnsi="Arial" w:cs="Arial"/>
          <w:sz w:val="22"/>
          <w:szCs w:val="22"/>
          <w:lang w:val="es-ES"/>
        </w:rPr>
        <w:t>que contenía un conjunto de seis recomendaciones y medidas propuestas. Además, ponía de relieve la creciente importancia de la COI para la gestión sostenible del océano y el papel central que deb</w:t>
      </w:r>
      <w:r w:rsidR="00A90FC5" w:rsidRPr="004C4B08">
        <w:rPr>
          <w:rFonts w:ascii="Arial" w:hAnsi="Arial" w:cs="Arial"/>
          <w:sz w:val="22"/>
          <w:szCs w:val="22"/>
          <w:lang w:val="es-ES"/>
        </w:rPr>
        <w:t>ía</w:t>
      </w:r>
      <w:r w:rsidRPr="004C4B08">
        <w:rPr>
          <w:rFonts w:ascii="Arial" w:hAnsi="Arial" w:cs="Arial"/>
          <w:sz w:val="22"/>
          <w:szCs w:val="22"/>
          <w:lang w:val="es-ES"/>
        </w:rPr>
        <w:t xml:space="preserve"> desempeñar la Comisión.</w:t>
      </w:r>
    </w:p>
    <w:p w14:paraId="246502B3" w14:textId="01E289E8" w:rsidR="00C54645" w:rsidRPr="004C4B08" w:rsidRDefault="002E1AB5" w:rsidP="00716ED5">
      <w:pPr>
        <w:spacing w:after="240"/>
        <w:ind w:left="720" w:right="697"/>
        <w:rPr>
          <w:rFonts w:ascii="Arial" w:hAnsi="Arial" w:cs="Arial"/>
          <w:sz w:val="22"/>
          <w:szCs w:val="22"/>
          <w:lang w:val="es-ES"/>
        </w:rPr>
      </w:pPr>
      <w:r>
        <w:rPr>
          <w:rFonts w:ascii="Arial" w:hAnsi="Arial" w:cs="Arial"/>
          <w:i/>
          <w:iCs/>
          <w:sz w:val="22"/>
          <w:szCs w:val="22"/>
          <w:lang w:val="es-ES"/>
        </w:rPr>
        <w:t>“</w:t>
      </w:r>
      <w:r w:rsidR="006B0313" w:rsidRPr="004C4B08">
        <w:rPr>
          <w:rFonts w:ascii="Arial" w:hAnsi="Arial" w:cs="Arial"/>
          <w:i/>
          <w:iCs/>
          <w:sz w:val="22"/>
          <w:szCs w:val="22"/>
          <w:lang w:val="es-ES"/>
        </w:rPr>
        <w:t>[Con] la Agenda 2030, el papel de la COI cobra cada vez más importancia.</w:t>
      </w:r>
      <w:r w:rsidR="006B0313" w:rsidRPr="004C4B08">
        <w:rPr>
          <w:rFonts w:ascii="Arial" w:hAnsi="Arial" w:cs="Arial"/>
          <w:sz w:val="22"/>
          <w:szCs w:val="22"/>
          <w:lang w:val="es-ES"/>
        </w:rPr>
        <w:t xml:space="preserve"> </w:t>
      </w:r>
      <w:r w:rsidR="006B0313" w:rsidRPr="004C4B08">
        <w:rPr>
          <w:rFonts w:ascii="Arial" w:hAnsi="Arial" w:cs="Arial"/>
          <w:i/>
          <w:iCs/>
          <w:sz w:val="22"/>
          <w:szCs w:val="22"/>
          <w:lang w:val="es-ES"/>
        </w:rPr>
        <w:t>El Decenio es, por tanto, una oportunidad para que la COI reafirme su posición de liderazgo mundial y su pertinencia para los miembros de ONU-Océanos, los responsables políticos y el mundo en general en lo que se refiere al logro de una gestión más sostenible del océano</w:t>
      </w:r>
      <w:r>
        <w:rPr>
          <w:rFonts w:ascii="Arial" w:hAnsi="Arial" w:cs="Arial"/>
          <w:i/>
          <w:iCs/>
          <w:sz w:val="22"/>
          <w:szCs w:val="22"/>
          <w:lang w:val="es-ES"/>
        </w:rPr>
        <w:t>”</w:t>
      </w:r>
      <w:r w:rsidR="006B0313" w:rsidRPr="004C4B08">
        <w:rPr>
          <w:rFonts w:ascii="Arial" w:hAnsi="Arial" w:cs="Arial"/>
          <w:i/>
          <w:iCs/>
          <w:sz w:val="22"/>
          <w:szCs w:val="22"/>
          <w:lang w:val="es-ES"/>
        </w:rPr>
        <w:t>.</w:t>
      </w:r>
    </w:p>
    <w:p w14:paraId="49BACB5B" w14:textId="223EC43C" w:rsidR="002E1AB5" w:rsidRPr="002E1AB5" w:rsidRDefault="00C54645" w:rsidP="002146F2">
      <w:pPr>
        <w:pStyle w:val="Prrafodelista"/>
        <w:numPr>
          <w:ilvl w:val="0"/>
          <w:numId w:val="37"/>
        </w:numPr>
        <w:tabs>
          <w:tab w:val="left" w:pos="709"/>
        </w:tabs>
        <w:ind w:left="0" w:firstLine="0"/>
        <w:jc w:val="both"/>
        <w:rPr>
          <w:rFonts w:ascii="Arial" w:hAnsi="Arial" w:cs="Arial"/>
          <w:sz w:val="22"/>
          <w:szCs w:val="22"/>
          <w:lang w:val="es-ES"/>
        </w:rPr>
      </w:pPr>
      <w:r w:rsidRPr="002E1AB5">
        <w:rPr>
          <w:rFonts w:ascii="Arial" w:hAnsi="Arial" w:cs="Arial"/>
          <w:sz w:val="22"/>
          <w:szCs w:val="22"/>
          <w:lang w:val="es-ES"/>
        </w:rPr>
        <w:t xml:space="preserve">La estrategia para toda la COI sobre la planificación y gestión sostenibles del océano para 2024-2030 (en adelante, </w:t>
      </w:r>
      <w:r w:rsidR="002E1AB5" w:rsidRPr="002E1AB5">
        <w:rPr>
          <w:rFonts w:ascii="Arial" w:hAnsi="Arial" w:cs="Arial"/>
          <w:sz w:val="22"/>
          <w:szCs w:val="22"/>
          <w:lang w:val="es-ES"/>
        </w:rPr>
        <w:t>“</w:t>
      </w:r>
      <w:r w:rsidRPr="002E1AB5">
        <w:rPr>
          <w:rFonts w:ascii="Arial" w:hAnsi="Arial" w:cs="Arial"/>
          <w:sz w:val="22"/>
          <w:szCs w:val="22"/>
          <w:lang w:val="es-ES"/>
        </w:rPr>
        <w:t>la estrategia</w:t>
      </w:r>
      <w:r w:rsidR="002E1AB5" w:rsidRPr="002E1AB5">
        <w:rPr>
          <w:rFonts w:ascii="Arial" w:hAnsi="Arial" w:cs="Arial"/>
          <w:sz w:val="22"/>
          <w:szCs w:val="22"/>
          <w:lang w:val="es-ES"/>
        </w:rPr>
        <w:t>”</w:t>
      </w:r>
      <w:r w:rsidRPr="002E1AB5">
        <w:rPr>
          <w:rFonts w:ascii="Arial" w:hAnsi="Arial" w:cs="Arial"/>
          <w:sz w:val="22"/>
          <w:szCs w:val="22"/>
          <w:lang w:val="es-ES"/>
        </w:rPr>
        <w:t>) se ajusta a los actuales objetivos de alto nivel y las funciones de la COI (</w:t>
      </w:r>
      <w:r w:rsidRPr="002E1AB5">
        <w:rPr>
          <w:rFonts w:ascii="Arial" w:hAnsi="Arial" w:cs="Arial"/>
          <w:sz w:val="22"/>
          <w:szCs w:val="22"/>
          <w:u w:val="single"/>
          <w:lang w:val="es-ES"/>
        </w:rPr>
        <w:t>figura 1</w:t>
      </w:r>
      <w:r w:rsidRPr="002E1AB5">
        <w:rPr>
          <w:rFonts w:ascii="Arial" w:hAnsi="Arial" w:cs="Arial"/>
          <w:sz w:val="22"/>
          <w:szCs w:val="22"/>
          <w:lang w:val="es-ES"/>
        </w:rPr>
        <w:t>). Los actuales objetivos de alto nivel y las funciones de la COI se entrelazan en el marco de la estrategia para facilitar un enfoque global y eficaz de la planificación y gestión sostenibles del océano fundamentado en la mejor información científica. Esta alineación permite a la estrategia sacar provecho de los puntos fuertes actuales de la COI, al tiempo que aumenta sus repercusiones globales y amplía su alcance mundial.</w:t>
      </w:r>
      <w:r w:rsidR="002E1AB5" w:rsidRPr="002E1AB5">
        <w:rPr>
          <w:rFonts w:ascii="Arial" w:hAnsi="Arial" w:cs="Arial"/>
          <w:sz w:val="22"/>
          <w:szCs w:val="22"/>
          <w:lang w:val="es-ES"/>
        </w:rPr>
        <w:br w:type="page"/>
      </w:r>
    </w:p>
    <w:tbl>
      <w:tblPr>
        <w:tblW w:w="8070" w:type="dxa"/>
        <w:tblInd w:w="6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6750"/>
      </w:tblGrid>
      <w:tr w:rsidR="00C54645" w:rsidRPr="00BF516E" w14:paraId="3AFAE0E6" w14:textId="77777777" w:rsidTr="00061180">
        <w:trPr>
          <w:trHeight w:val="343"/>
        </w:trPr>
        <w:tc>
          <w:tcPr>
            <w:tcW w:w="1320" w:type="dxa"/>
            <w:vMerge w:val="restart"/>
            <w:tcBorders>
              <w:top w:val="single" w:sz="12" w:space="0" w:color="000000"/>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D83EB5D" w14:textId="7BF9F58B"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lastRenderedPageBreak/>
              <w:t>Objetivos de alto nivel</w:t>
            </w:r>
          </w:p>
        </w:tc>
        <w:tc>
          <w:tcPr>
            <w:tcW w:w="6750" w:type="dxa"/>
            <w:tcBorders>
              <w:top w:val="single" w:sz="12" w:space="0" w:color="000000"/>
              <w:left w:val="single" w:sz="8" w:space="0" w:color="FFFFFF"/>
              <w:bottom w:val="single" w:sz="8" w:space="0" w:color="434343"/>
              <w:right w:val="single" w:sz="8" w:space="0" w:color="FFFFFF"/>
            </w:tcBorders>
            <w:shd w:val="clear" w:color="auto" w:fill="auto"/>
            <w:tcMar>
              <w:top w:w="-13" w:type="dxa"/>
              <w:left w:w="-13" w:type="dxa"/>
              <w:bottom w:w="-13" w:type="dxa"/>
              <w:right w:w="-13" w:type="dxa"/>
            </w:tcMar>
            <w:vAlign w:val="center"/>
          </w:tcPr>
          <w:p w14:paraId="48E958A7" w14:textId="3F4DDA7F"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Un océano saludable y mantenimiento de los servicios de los ecosistemas oceánicos</w:t>
            </w:r>
          </w:p>
        </w:tc>
      </w:tr>
      <w:tr w:rsidR="00C54645" w:rsidRPr="00BF516E" w14:paraId="72C21CD9" w14:textId="77777777" w:rsidTr="00061180">
        <w:trPr>
          <w:trHeight w:val="383"/>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592B66A" w14:textId="77777777" w:rsidR="00C54645" w:rsidRPr="004C4B08" w:rsidRDefault="00C54645" w:rsidP="00061180">
            <w:pPr>
              <w:rPr>
                <w:rFonts w:ascii="Arial" w:hAnsi="Arial" w:cs="Arial"/>
                <w:sz w:val="22"/>
                <w:szCs w:val="22"/>
                <w:lang w:val="es-ES"/>
              </w:rPr>
            </w:pPr>
          </w:p>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13" w:type="dxa"/>
              <w:left w:w="-13" w:type="dxa"/>
              <w:bottom w:w="-13" w:type="dxa"/>
              <w:right w:w="-13" w:type="dxa"/>
            </w:tcMar>
            <w:vAlign w:val="center"/>
          </w:tcPr>
          <w:p w14:paraId="286CD8B3" w14:textId="050AED7F"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Sistemas de alerta eficaces y preparación frente a los tsunamis y otros peligros relacionados con el océano</w:t>
            </w:r>
          </w:p>
        </w:tc>
      </w:tr>
      <w:tr w:rsidR="00C54645" w:rsidRPr="00BF516E" w14:paraId="2ADCBE1D" w14:textId="77777777" w:rsidTr="00061180">
        <w:trPr>
          <w:trHeight w:val="343"/>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BD99829" w14:textId="77777777" w:rsidR="00C54645" w:rsidRPr="004C4B08" w:rsidRDefault="00C54645" w:rsidP="00061180">
            <w:pPr>
              <w:rPr>
                <w:rFonts w:ascii="Arial" w:hAnsi="Arial" w:cs="Arial"/>
                <w:sz w:val="22"/>
                <w:szCs w:val="22"/>
                <w:lang w:val="es-ES"/>
              </w:rPr>
            </w:pPr>
          </w:p>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13" w:type="dxa"/>
              <w:left w:w="-13" w:type="dxa"/>
              <w:bottom w:w="-13" w:type="dxa"/>
              <w:right w:w="-13" w:type="dxa"/>
            </w:tcMar>
            <w:vAlign w:val="center"/>
          </w:tcPr>
          <w:p w14:paraId="05AF22F5" w14:textId="0F45D9A3"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Resiliencia ante el cambio climático y contribución a su mitigación</w:t>
            </w:r>
          </w:p>
        </w:tc>
      </w:tr>
      <w:tr w:rsidR="00C54645" w:rsidRPr="00BF516E" w14:paraId="430788C4" w14:textId="77777777" w:rsidTr="00061180">
        <w:trPr>
          <w:trHeight w:val="286"/>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1761F58" w14:textId="77777777" w:rsidR="00C54645" w:rsidRPr="004C4B08" w:rsidRDefault="00C54645" w:rsidP="00061180">
            <w:pPr>
              <w:rPr>
                <w:rFonts w:ascii="Arial" w:hAnsi="Arial" w:cs="Arial"/>
                <w:sz w:val="22"/>
                <w:szCs w:val="22"/>
                <w:lang w:val="es-ES"/>
              </w:rPr>
            </w:pPr>
          </w:p>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13" w:type="dxa"/>
              <w:left w:w="-13" w:type="dxa"/>
              <w:bottom w:w="-13" w:type="dxa"/>
              <w:right w:w="-13" w:type="dxa"/>
            </w:tcMar>
            <w:vAlign w:val="center"/>
          </w:tcPr>
          <w:p w14:paraId="5B9D77BE" w14:textId="05BAF40C"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Servicios basados en la ciencia para la economía oceánica sostenible</w:t>
            </w:r>
          </w:p>
        </w:tc>
      </w:tr>
      <w:tr w:rsidR="00C54645" w:rsidRPr="00BF516E" w14:paraId="75095B20" w14:textId="77777777" w:rsidTr="00061180">
        <w:trPr>
          <w:trHeight w:val="345"/>
        </w:trPr>
        <w:tc>
          <w:tcPr>
            <w:tcW w:w="1320" w:type="dxa"/>
            <w:vMerge/>
            <w:tcBorders>
              <w:top w:val="single" w:sz="8" w:space="0" w:color="FFFFFF"/>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1316B1C1" w14:textId="77777777" w:rsidR="00C54645" w:rsidRPr="004C4B08" w:rsidRDefault="00C54645" w:rsidP="00061180">
            <w:pPr>
              <w:rPr>
                <w:rFonts w:ascii="Arial" w:hAnsi="Arial" w:cs="Arial"/>
                <w:sz w:val="22"/>
                <w:szCs w:val="22"/>
                <w:lang w:val="es-ES"/>
              </w:rPr>
            </w:pPr>
          </w:p>
        </w:tc>
        <w:tc>
          <w:tcPr>
            <w:tcW w:w="6750" w:type="dxa"/>
            <w:tcBorders>
              <w:top w:val="single" w:sz="8" w:space="0" w:color="434343"/>
              <w:left w:val="single" w:sz="8" w:space="0" w:color="FFFFFF"/>
              <w:bottom w:val="single" w:sz="12" w:space="0" w:color="000000"/>
              <w:right w:val="single" w:sz="8" w:space="0" w:color="FFFFFF"/>
            </w:tcBorders>
            <w:shd w:val="clear" w:color="auto" w:fill="auto"/>
            <w:tcMar>
              <w:top w:w="43" w:type="dxa"/>
              <w:left w:w="43" w:type="dxa"/>
              <w:bottom w:w="43" w:type="dxa"/>
              <w:right w:w="43" w:type="dxa"/>
            </w:tcMar>
            <w:vAlign w:val="center"/>
          </w:tcPr>
          <w:p w14:paraId="68ADF7D3" w14:textId="70311BD1"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Prospectiva sobre cuestiones emergentes en el ámbito de las ciencias oceánicas</w:t>
            </w:r>
          </w:p>
        </w:tc>
      </w:tr>
      <w:tr w:rsidR="00C54645" w:rsidRPr="00BF516E" w14:paraId="79244832" w14:textId="77777777" w:rsidTr="00061180">
        <w:trPr>
          <w:trHeight w:val="400"/>
        </w:trPr>
        <w:tc>
          <w:tcPr>
            <w:tcW w:w="1320" w:type="dxa"/>
            <w:vMerge w:val="restart"/>
            <w:tcBorders>
              <w:top w:val="single" w:sz="12" w:space="0" w:color="000000"/>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2F9D609" w14:textId="77777777"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Funciones</w:t>
            </w:r>
          </w:p>
        </w:tc>
        <w:tc>
          <w:tcPr>
            <w:tcW w:w="6750" w:type="dxa"/>
            <w:tcBorders>
              <w:top w:val="single" w:sz="12" w:space="0" w:color="000000"/>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4594D10A" w14:textId="77777777"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Investigación oceánica: fomentar la investigación para fortalecer los conocimientos acerca de los procesos oceánicos y costeros y los efectos de las actividades humanas sobre ellos</w:t>
            </w:r>
          </w:p>
        </w:tc>
      </w:tr>
      <w:tr w:rsidR="00C54645" w:rsidRPr="00BF516E" w14:paraId="56F85522" w14:textId="77777777" w:rsidTr="00061180">
        <w:trPr>
          <w:trHeight w:val="400"/>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FF295A7" w14:textId="77777777" w:rsidR="00C54645" w:rsidRPr="004C4B08" w:rsidRDefault="00C54645" w:rsidP="00061180">
            <w:pPr>
              <w:rPr>
                <w:rFonts w:ascii="Arial" w:hAnsi="Arial" w:cs="Arial"/>
                <w:sz w:val="22"/>
                <w:szCs w:val="22"/>
                <w:lang w:val="es-ES"/>
              </w:rPr>
            </w:pPr>
          </w:p>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186432AA" w14:textId="77777777"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Sistemas de observación y gestión de datos: mantener, fortalecer e integrar los sistemas mundiales de observación, predicción de datos e información sobre el océano</w:t>
            </w:r>
          </w:p>
        </w:tc>
      </w:tr>
      <w:tr w:rsidR="00C54645" w:rsidRPr="00BF516E" w14:paraId="67490A18" w14:textId="77777777" w:rsidTr="00061180">
        <w:trPr>
          <w:trHeight w:val="400"/>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E6EE18" w14:textId="77777777" w:rsidR="00C54645" w:rsidRPr="004C4B08" w:rsidRDefault="00C54645" w:rsidP="00061180">
            <w:pPr>
              <w:rPr>
                <w:rFonts w:ascii="Arial" w:hAnsi="Arial" w:cs="Arial"/>
                <w:sz w:val="22"/>
                <w:szCs w:val="22"/>
                <w:lang w:val="es-ES"/>
              </w:rPr>
            </w:pPr>
          </w:p>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2948C20C" w14:textId="77777777"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Alerta temprana y servicios: desarrollar los sistemas de alerta temprana, los servicios y la preparación para los riesgos de tsunami y otros peligros relacionados con el océano</w:t>
            </w:r>
          </w:p>
        </w:tc>
      </w:tr>
      <w:tr w:rsidR="00C54645" w:rsidRPr="00BF516E" w14:paraId="1CDB48EF" w14:textId="77777777" w:rsidTr="00061180">
        <w:trPr>
          <w:trHeight w:val="400"/>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8151C59" w14:textId="77777777" w:rsidR="00C54645" w:rsidRPr="004C4B08" w:rsidRDefault="00C54645" w:rsidP="00061180">
            <w:pPr>
              <w:rPr>
                <w:rFonts w:ascii="Arial" w:hAnsi="Arial" w:cs="Arial"/>
                <w:sz w:val="22"/>
                <w:szCs w:val="22"/>
                <w:lang w:val="es-ES"/>
              </w:rPr>
            </w:pPr>
          </w:p>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5CED762B" w14:textId="77777777"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Evaluación e información para la formulación de políticas: apoyar la evaluación y el suministro de información mediante la relación entre la ciencia y las políticas</w:t>
            </w:r>
          </w:p>
        </w:tc>
      </w:tr>
      <w:tr w:rsidR="00C54645" w:rsidRPr="00BF516E" w14:paraId="3C4ED011" w14:textId="77777777" w:rsidTr="00061180">
        <w:trPr>
          <w:trHeight w:val="400"/>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389AF39" w14:textId="77777777" w:rsidR="00C54645" w:rsidRPr="004C4B08" w:rsidRDefault="00C54645" w:rsidP="00061180">
            <w:pPr>
              <w:rPr>
                <w:rFonts w:ascii="Arial" w:hAnsi="Arial" w:cs="Arial"/>
                <w:sz w:val="22"/>
                <w:szCs w:val="22"/>
                <w:lang w:val="es-ES"/>
              </w:rPr>
            </w:pPr>
          </w:p>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7413F299" w14:textId="77777777"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Gestión sostenible y gobernanza: mejorar la gobernanza del océano mediante una base de conocimientos compartida y una mejor cooperación regional</w:t>
            </w:r>
          </w:p>
        </w:tc>
      </w:tr>
      <w:tr w:rsidR="00C54645" w:rsidRPr="00BF516E" w14:paraId="0F4335A5" w14:textId="77777777" w:rsidTr="00061180">
        <w:trPr>
          <w:trHeight w:val="400"/>
        </w:trPr>
        <w:tc>
          <w:tcPr>
            <w:tcW w:w="1320" w:type="dxa"/>
            <w:vMerge/>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690F903" w14:textId="77777777" w:rsidR="00C54645" w:rsidRPr="004C4B08" w:rsidRDefault="00C54645" w:rsidP="00061180">
            <w:pPr>
              <w:rPr>
                <w:rFonts w:ascii="Arial" w:hAnsi="Arial" w:cs="Arial"/>
                <w:sz w:val="22"/>
                <w:szCs w:val="22"/>
                <w:lang w:val="es-ES"/>
              </w:rPr>
            </w:pPr>
          </w:p>
        </w:tc>
        <w:tc>
          <w:tcPr>
            <w:tcW w:w="6750" w:type="dxa"/>
            <w:tcBorders>
              <w:top w:val="single" w:sz="8" w:space="0" w:color="434343"/>
              <w:left w:val="single" w:sz="8" w:space="0" w:color="FFFFFF"/>
              <w:bottom w:val="single" w:sz="8" w:space="0" w:color="434343"/>
              <w:right w:val="single" w:sz="8" w:space="0" w:color="FFFFFF"/>
            </w:tcBorders>
            <w:shd w:val="clear" w:color="auto" w:fill="auto"/>
            <w:tcMar>
              <w:top w:w="43" w:type="dxa"/>
              <w:left w:w="43" w:type="dxa"/>
              <w:bottom w:w="43" w:type="dxa"/>
              <w:right w:w="43" w:type="dxa"/>
            </w:tcMar>
          </w:tcPr>
          <w:p w14:paraId="72ADC3F3" w14:textId="404396B8" w:rsidR="00C54645" w:rsidRPr="004C4B08" w:rsidRDefault="00C54645" w:rsidP="00061180">
            <w:pPr>
              <w:rPr>
                <w:rFonts w:ascii="Arial" w:hAnsi="Arial" w:cs="Arial"/>
                <w:sz w:val="22"/>
                <w:szCs w:val="22"/>
                <w:lang w:val="es-ES"/>
              </w:rPr>
            </w:pPr>
            <w:r w:rsidRPr="004C4B08">
              <w:rPr>
                <w:rFonts w:ascii="Arial" w:hAnsi="Arial" w:cs="Arial"/>
                <w:sz w:val="22"/>
                <w:szCs w:val="22"/>
                <w:lang w:val="es-ES"/>
              </w:rPr>
              <w:t>Desarrollo de capacidades: desarrollar las capacidades institucionales en relación con todas las funciones descritas, como función transversal</w:t>
            </w:r>
          </w:p>
        </w:tc>
      </w:tr>
    </w:tbl>
    <w:p w14:paraId="2B4D4A98" w14:textId="74BD9730" w:rsidR="00C54645" w:rsidRPr="004C4B08" w:rsidRDefault="00C54645" w:rsidP="002E1AB5">
      <w:pPr>
        <w:pBdr>
          <w:top w:val="nil"/>
          <w:left w:val="nil"/>
          <w:bottom w:val="nil"/>
          <w:right w:val="nil"/>
          <w:between w:val="nil"/>
        </w:pBdr>
        <w:spacing w:before="240" w:after="240"/>
        <w:rPr>
          <w:rFonts w:ascii="Arial" w:hAnsi="Arial" w:cs="Arial"/>
          <w:sz w:val="22"/>
          <w:szCs w:val="22"/>
          <w:lang w:val="es-ES"/>
        </w:rPr>
      </w:pPr>
      <w:bookmarkStart w:id="5" w:name="_heading=h.tyjcwt" w:colFirst="0" w:colLast="0"/>
      <w:bookmarkEnd w:id="5"/>
      <w:r w:rsidRPr="004C4B08">
        <w:rPr>
          <w:rFonts w:ascii="Arial" w:hAnsi="Arial" w:cs="Arial"/>
          <w:b/>
          <w:bCs/>
          <w:sz w:val="22"/>
          <w:szCs w:val="22"/>
          <w:lang w:val="es-ES"/>
        </w:rPr>
        <w:t>Figura 1.</w:t>
      </w:r>
      <w:r w:rsidRPr="004C4B08">
        <w:rPr>
          <w:rFonts w:ascii="Arial" w:hAnsi="Arial" w:cs="Arial"/>
          <w:sz w:val="22"/>
          <w:szCs w:val="22"/>
          <w:lang w:val="es-ES"/>
        </w:rPr>
        <w:t xml:space="preserve"> Objetivos de alto nivel y funciones de la COI (</w:t>
      </w:r>
      <w:hyperlink r:id="rId14" w:history="1">
        <w:r w:rsidRPr="00795488">
          <w:rPr>
            <w:rStyle w:val="Hipervnculo"/>
            <w:rFonts w:ascii="Arial" w:hAnsi="Arial" w:cs="Arial"/>
            <w:sz w:val="22"/>
            <w:szCs w:val="22"/>
            <w:lang w:val="es-ES"/>
          </w:rPr>
          <w:t>Estrategia a Plazo Medio de la COI para 2022-2029</w:t>
        </w:r>
      </w:hyperlink>
      <w:r w:rsidRPr="004C4B08">
        <w:rPr>
          <w:rFonts w:ascii="Arial" w:hAnsi="Arial" w:cs="Arial"/>
          <w:sz w:val="22"/>
          <w:szCs w:val="22"/>
          <w:lang w:val="es-ES"/>
        </w:rPr>
        <w:t>)</w:t>
      </w:r>
    </w:p>
    <w:p w14:paraId="4F3384DB" w14:textId="79665854" w:rsidR="00C54645" w:rsidRPr="004C4B08" w:rsidRDefault="00C54645" w:rsidP="00716ED5">
      <w:pPr>
        <w:pStyle w:val="Prrafodelista"/>
        <w:numPr>
          <w:ilvl w:val="0"/>
          <w:numId w:val="37"/>
        </w:numPr>
        <w:tabs>
          <w:tab w:val="left" w:pos="709"/>
        </w:tabs>
        <w:spacing w:after="12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Por otra parte, una tarea importante de la COI es prestar asistencia </w:t>
      </w:r>
      <w:r w:rsidR="00A45D96">
        <w:rPr>
          <w:rFonts w:ascii="Arial" w:hAnsi="Arial" w:cs="Arial"/>
          <w:sz w:val="22"/>
          <w:szCs w:val="22"/>
          <w:lang w:val="es-ES"/>
        </w:rPr>
        <w:t>para</w:t>
      </w:r>
      <w:r w:rsidRPr="004C4B08">
        <w:rPr>
          <w:rFonts w:ascii="Arial" w:hAnsi="Arial" w:cs="Arial"/>
          <w:sz w:val="22"/>
          <w:szCs w:val="22"/>
          <w:lang w:val="es-ES"/>
        </w:rPr>
        <w:t xml:space="preserve"> facilitar la ejecución del Decenio del Océano. Los siete resultados del Decenio del Océano, que figuran a continuación, ponen de relieve la necesidad de contar con una estrategia global de planificación y gestión del océano para alcanzar estos objetivos.</w:t>
      </w:r>
    </w:p>
    <w:p w14:paraId="067CA505" w14:textId="77777777" w:rsidR="00C54645" w:rsidRPr="004C4B08"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lang w:val="es-ES"/>
        </w:rPr>
      </w:pPr>
      <w:r w:rsidRPr="004C4B08">
        <w:rPr>
          <w:rFonts w:ascii="Arial" w:hAnsi="Arial" w:cs="Arial"/>
          <w:sz w:val="22"/>
          <w:szCs w:val="22"/>
          <w:lang w:val="es-ES"/>
        </w:rPr>
        <w:t>Un océano limpio donde se detectan, reducen o eliminan las fuentes de contaminación.</w:t>
      </w:r>
    </w:p>
    <w:p w14:paraId="76D37406" w14:textId="77777777" w:rsidR="00C54645" w:rsidRPr="004C4B08"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lang w:val="es-ES"/>
        </w:rPr>
      </w:pPr>
      <w:r w:rsidRPr="004C4B08">
        <w:rPr>
          <w:rFonts w:ascii="Arial" w:hAnsi="Arial" w:cs="Arial"/>
          <w:sz w:val="22"/>
          <w:szCs w:val="22"/>
          <w:lang w:val="es-ES"/>
        </w:rPr>
        <w:t>Un océano saludable y resiliente donde se entienden y gestionan los ecosistemas marinos.</w:t>
      </w:r>
    </w:p>
    <w:p w14:paraId="291707C3" w14:textId="77777777" w:rsidR="00C54645" w:rsidRPr="004C4B08"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lang w:val="es-ES"/>
        </w:rPr>
      </w:pPr>
      <w:r w:rsidRPr="004C4B08">
        <w:rPr>
          <w:rFonts w:ascii="Arial" w:hAnsi="Arial" w:cs="Arial"/>
          <w:sz w:val="22"/>
          <w:szCs w:val="22"/>
          <w:lang w:val="es-ES"/>
        </w:rPr>
        <w:t>Un océano productivo que sustenta el suministro sostenible de alimentos y una economía oceánica sostenible.</w:t>
      </w:r>
    </w:p>
    <w:p w14:paraId="739187CC" w14:textId="77777777" w:rsidR="00C54645" w:rsidRPr="004C4B08"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lang w:val="es-ES"/>
        </w:rPr>
      </w:pPr>
      <w:r w:rsidRPr="004C4B08">
        <w:rPr>
          <w:rFonts w:ascii="Arial" w:hAnsi="Arial" w:cs="Arial"/>
          <w:sz w:val="22"/>
          <w:szCs w:val="22"/>
          <w:lang w:val="es-ES"/>
        </w:rPr>
        <w:lastRenderedPageBreak/>
        <w:t>Un océano predecible cuyas condiciones cambiantes son entendidas por la sociedad, que está capacitada para responder a ellas.</w:t>
      </w:r>
    </w:p>
    <w:p w14:paraId="311393A6" w14:textId="77777777" w:rsidR="00C54645" w:rsidRPr="004C4B08"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lang w:val="es-ES"/>
        </w:rPr>
      </w:pPr>
      <w:r w:rsidRPr="004C4B08">
        <w:rPr>
          <w:rFonts w:ascii="Arial" w:hAnsi="Arial" w:cs="Arial"/>
          <w:sz w:val="22"/>
          <w:szCs w:val="22"/>
          <w:lang w:val="es-ES"/>
        </w:rPr>
        <w:t>Un océano seguro donde la vida y los medios de subsistencia están protegidos de los peligros relacionados con el océano.</w:t>
      </w:r>
    </w:p>
    <w:p w14:paraId="57140891" w14:textId="4763F371" w:rsidR="00C54645" w:rsidRPr="004C4B08" w:rsidRDefault="00C54645" w:rsidP="00716ED5">
      <w:pPr>
        <w:numPr>
          <w:ilvl w:val="0"/>
          <w:numId w:val="32"/>
        </w:numPr>
        <w:pBdr>
          <w:top w:val="nil"/>
          <w:left w:val="nil"/>
          <w:bottom w:val="nil"/>
          <w:right w:val="nil"/>
          <w:between w:val="nil"/>
        </w:pBdr>
        <w:spacing w:after="120" w:line="259" w:lineRule="auto"/>
        <w:ind w:left="1276" w:hanging="572"/>
        <w:rPr>
          <w:rFonts w:ascii="Arial" w:hAnsi="Arial" w:cs="Arial"/>
          <w:sz w:val="22"/>
          <w:szCs w:val="22"/>
          <w:lang w:val="es-ES"/>
        </w:rPr>
      </w:pPr>
      <w:r w:rsidRPr="004C4B08">
        <w:rPr>
          <w:rFonts w:ascii="Arial" w:hAnsi="Arial" w:cs="Arial"/>
          <w:sz w:val="22"/>
          <w:szCs w:val="22"/>
          <w:lang w:val="es-ES"/>
        </w:rPr>
        <w:t xml:space="preserve">Un océano accesible con un acceso abierto y equitativo a los datos, la información y la tecnología y la innovación. </w:t>
      </w:r>
    </w:p>
    <w:p w14:paraId="36998488" w14:textId="3D3675B7" w:rsidR="00C54645" w:rsidRPr="004C4B08" w:rsidRDefault="00C54645" w:rsidP="00716ED5">
      <w:pPr>
        <w:numPr>
          <w:ilvl w:val="0"/>
          <w:numId w:val="32"/>
        </w:numPr>
        <w:pBdr>
          <w:top w:val="nil"/>
          <w:left w:val="nil"/>
          <w:bottom w:val="nil"/>
          <w:right w:val="nil"/>
          <w:between w:val="nil"/>
        </w:pBdr>
        <w:spacing w:after="160" w:line="259" w:lineRule="auto"/>
        <w:ind w:left="1276" w:hanging="572"/>
        <w:rPr>
          <w:rFonts w:ascii="Arial" w:hAnsi="Arial" w:cs="Arial"/>
          <w:sz w:val="22"/>
          <w:szCs w:val="22"/>
          <w:lang w:val="es-ES"/>
        </w:rPr>
      </w:pPr>
      <w:r w:rsidRPr="004C4B08">
        <w:rPr>
          <w:rFonts w:ascii="Arial" w:hAnsi="Arial" w:cs="Arial"/>
          <w:sz w:val="22"/>
          <w:szCs w:val="22"/>
          <w:lang w:val="es-ES"/>
        </w:rPr>
        <w:t>Un océano inspirador y estimulante que la sociedad entiende y valora en relación con el bienestar humano y el desarrollo sostenible.</w:t>
      </w:r>
    </w:p>
    <w:p w14:paraId="3A7E37CA" w14:textId="3E118739"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Habida cuenta de estos compromisos y en consonancia con los objetivos de la COI, la adopción de la estrategia es oportuna e indispensable. La estrategia seguirá defendiendo los valores básicos de la COI, </w:t>
      </w:r>
      <w:r w:rsidR="00734AF2">
        <w:rPr>
          <w:rFonts w:ascii="Arial" w:hAnsi="Arial" w:cs="Arial"/>
          <w:sz w:val="22"/>
          <w:szCs w:val="22"/>
          <w:lang w:val="es-ES"/>
        </w:rPr>
        <w:t>mientras que</w:t>
      </w:r>
      <w:r w:rsidRPr="004C4B08">
        <w:rPr>
          <w:rFonts w:ascii="Arial" w:hAnsi="Arial" w:cs="Arial"/>
          <w:sz w:val="22"/>
          <w:szCs w:val="22"/>
          <w:lang w:val="es-ES"/>
        </w:rPr>
        <w:t xml:space="preserve"> sus procesos de formulación de políticas y de toma de decisiones reposarán en la ciencia y la investigación. </w:t>
      </w:r>
      <w:r w:rsidR="00A8530B">
        <w:rPr>
          <w:rFonts w:ascii="Arial" w:hAnsi="Arial" w:cs="Arial"/>
          <w:sz w:val="22"/>
          <w:szCs w:val="22"/>
          <w:lang w:val="es-ES"/>
        </w:rPr>
        <w:t>La estrategia</w:t>
      </w:r>
      <w:r w:rsidRPr="004C4B08">
        <w:rPr>
          <w:rFonts w:ascii="Arial" w:hAnsi="Arial" w:cs="Arial"/>
          <w:sz w:val="22"/>
          <w:szCs w:val="22"/>
          <w:lang w:val="es-ES"/>
        </w:rPr>
        <w:t xml:space="preserve"> se nutrirá del rico legado de la COI, que ya cuenta con un historial de aplicación de principios clave de planificación y gestión sostenibles del océano. </w:t>
      </w:r>
      <w:r w:rsidR="00A8530B">
        <w:rPr>
          <w:rFonts w:ascii="Arial" w:hAnsi="Arial" w:cs="Arial"/>
          <w:sz w:val="22"/>
          <w:szCs w:val="22"/>
          <w:lang w:val="es-ES"/>
        </w:rPr>
        <w:t>Además,</w:t>
      </w:r>
      <w:r w:rsidRPr="004C4B08">
        <w:rPr>
          <w:rFonts w:ascii="Arial" w:hAnsi="Arial" w:cs="Arial"/>
          <w:sz w:val="22"/>
          <w:szCs w:val="22"/>
          <w:lang w:val="es-ES"/>
        </w:rPr>
        <w:t xml:space="preserve"> permitirá a la COI contribuir de forma más sistemática al nuevo programa del Decenio sobre planificación sostenible del océano, puesto en marcha en la Conferencia del Decenio del Océano de 2024</w:t>
      </w:r>
      <w:r w:rsidR="00A8530B">
        <w:rPr>
          <w:rFonts w:ascii="Arial" w:hAnsi="Arial" w:cs="Arial"/>
          <w:sz w:val="22"/>
          <w:szCs w:val="22"/>
          <w:lang w:val="es-ES"/>
        </w:rPr>
        <w:t xml:space="preserve"> en Barcelona</w:t>
      </w:r>
      <w:r w:rsidRPr="004C4B08">
        <w:rPr>
          <w:rFonts w:ascii="Arial" w:hAnsi="Arial" w:cs="Arial"/>
          <w:sz w:val="22"/>
          <w:szCs w:val="22"/>
          <w:lang w:val="es-ES"/>
        </w:rPr>
        <w:t>.</w:t>
      </w:r>
    </w:p>
    <w:p w14:paraId="172F06D1" w14:textId="16691851"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Para lograr lo anterior, las funciones de la estrategia </w:t>
      </w:r>
      <w:r w:rsidR="00C95659">
        <w:rPr>
          <w:rFonts w:ascii="Arial" w:hAnsi="Arial" w:cs="Arial"/>
          <w:sz w:val="22"/>
          <w:szCs w:val="22"/>
          <w:lang w:val="es-ES"/>
        </w:rPr>
        <w:t>estarán siempre</w:t>
      </w:r>
      <w:r w:rsidRPr="004C4B08">
        <w:rPr>
          <w:rFonts w:ascii="Arial" w:hAnsi="Arial" w:cs="Arial"/>
          <w:sz w:val="22"/>
          <w:szCs w:val="22"/>
          <w:lang w:val="es-ES"/>
        </w:rPr>
        <w:t xml:space="preserve"> profundamente entrelazadas con los programas existentes de la COI y se ampliarán a partir de ellos. Esto incluirá programas y proyectos como </w:t>
      </w:r>
      <w:proofErr w:type="spellStart"/>
      <w:r w:rsidRPr="004C4B08">
        <w:rPr>
          <w:rFonts w:ascii="Arial" w:hAnsi="Arial" w:cs="Arial"/>
          <w:sz w:val="22"/>
          <w:szCs w:val="22"/>
          <w:lang w:val="es-ES"/>
        </w:rPr>
        <w:t>MSPglobal</w:t>
      </w:r>
      <w:proofErr w:type="spellEnd"/>
      <w:r w:rsidRPr="004C4B08">
        <w:rPr>
          <w:rFonts w:ascii="Arial" w:hAnsi="Arial" w:cs="Arial"/>
          <w:sz w:val="22"/>
          <w:szCs w:val="22"/>
          <w:lang w:val="es-ES"/>
        </w:rPr>
        <w:t xml:space="preserve">, el Sistema Mundial de Observación del Océano (GOOS) y el Intercambio Internacional de Datos e Información Oceanográficos (IODE), así como varias iniciativas en el marco de los programas de ciencias oceánicas y tsunamis. La estrategia servirá de marco de orientación para la labor de la COI en sus diversos programas (véase el </w:t>
      </w:r>
      <w:r w:rsidRPr="004C4B08">
        <w:rPr>
          <w:rFonts w:ascii="Arial" w:hAnsi="Arial" w:cs="Arial"/>
          <w:sz w:val="22"/>
          <w:szCs w:val="22"/>
          <w:u w:val="single"/>
          <w:lang w:val="es-ES"/>
        </w:rPr>
        <w:t>cuadro 2</w:t>
      </w:r>
      <w:r w:rsidRPr="004C4B08">
        <w:rPr>
          <w:rFonts w:ascii="Arial" w:hAnsi="Arial" w:cs="Arial"/>
          <w:sz w:val="22"/>
          <w:szCs w:val="22"/>
          <w:lang w:val="es-ES"/>
        </w:rPr>
        <w:t xml:space="preserve"> que muestra la posible contribución de los programas de la COI al logro de los objetivos estratégicos), dado que facilitará las futuras observaciones, la recopilación y gestión de datos, los servicios de alerta temprana, las evaluaciones y la elaboración de herramientas innovadoras, productos de conocimiento e iniciativas de desarrollo de capacidades adaptadas a las necesidades de la comunidad de planificación sostenible del océano. </w:t>
      </w:r>
    </w:p>
    <w:p w14:paraId="02254FE1" w14:textId="68ABE38C"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La estrategia, al conjugar los conocimientos científicos existentes con las prácticas de gestión, procura colmar las lagunas, garantizando que las actividades científicas de la COI se traduzcan en soluciones concretas para la gestión sostenible de nuestro océano. Así pues, representa un enfoque holístico, en el que las herramientas e iniciativas dotarán a los Estados Miembros y a las partes interesadas de los conocimientos científicos y los recursos prácticos necesarios para afrontar con eficacia los complejos retos de la gestión del océano.</w:t>
      </w:r>
    </w:p>
    <w:p w14:paraId="6C7616F2" w14:textId="1874C38C"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La estrategia aborda los diversos factores interconectados a escala mundial, regional y nacional. </w:t>
      </w:r>
      <w:r w:rsidR="00275A49">
        <w:rPr>
          <w:rFonts w:ascii="Arial" w:hAnsi="Arial" w:cs="Arial"/>
          <w:sz w:val="22"/>
          <w:szCs w:val="22"/>
          <w:lang w:val="es-ES"/>
        </w:rPr>
        <w:t>La</w:t>
      </w:r>
      <w:r w:rsidRPr="004C4B08">
        <w:rPr>
          <w:rFonts w:ascii="Arial" w:hAnsi="Arial" w:cs="Arial"/>
          <w:sz w:val="22"/>
          <w:szCs w:val="22"/>
          <w:lang w:val="es-ES"/>
        </w:rPr>
        <w:t xml:space="preserve"> COI</w:t>
      </w:r>
      <w:r w:rsidR="008C6BF0">
        <w:rPr>
          <w:rFonts w:ascii="Arial" w:hAnsi="Arial" w:cs="Arial"/>
          <w:sz w:val="22"/>
          <w:szCs w:val="22"/>
          <w:lang w:val="es-ES"/>
        </w:rPr>
        <w:t>,</w:t>
      </w:r>
      <w:r w:rsidR="008C6BF0" w:rsidRPr="008C6BF0">
        <w:rPr>
          <w:rFonts w:ascii="Arial" w:hAnsi="Arial" w:cs="Arial"/>
          <w:sz w:val="22"/>
          <w:szCs w:val="22"/>
          <w:lang w:val="es-ES"/>
        </w:rPr>
        <w:t xml:space="preserve"> </w:t>
      </w:r>
      <w:r w:rsidR="008C6BF0">
        <w:rPr>
          <w:rFonts w:ascii="Arial" w:hAnsi="Arial" w:cs="Arial"/>
          <w:sz w:val="22"/>
          <w:szCs w:val="22"/>
          <w:lang w:val="es-ES"/>
        </w:rPr>
        <w:t xml:space="preserve">dado que </w:t>
      </w:r>
      <w:r w:rsidR="008C6BF0" w:rsidRPr="004C4B08">
        <w:rPr>
          <w:rFonts w:ascii="Arial" w:hAnsi="Arial" w:cs="Arial"/>
          <w:sz w:val="22"/>
          <w:szCs w:val="22"/>
          <w:lang w:val="es-ES"/>
        </w:rPr>
        <w:t xml:space="preserve">es un organismo de confianza en </w:t>
      </w:r>
      <w:r w:rsidR="008C6BF0">
        <w:rPr>
          <w:rFonts w:ascii="Arial" w:hAnsi="Arial" w:cs="Arial"/>
          <w:sz w:val="22"/>
          <w:szCs w:val="22"/>
          <w:lang w:val="es-ES"/>
        </w:rPr>
        <w:t>est</w:t>
      </w:r>
      <w:r w:rsidR="001612C4">
        <w:rPr>
          <w:rFonts w:ascii="Arial" w:hAnsi="Arial" w:cs="Arial"/>
          <w:sz w:val="22"/>
          <w:szCs w:val="22"/>
          <w:lang w:val="es-ES"/>
        </w:rPr>
        <w:t>os</w:t>
      </w:r>
      <w:r w:rsidR="008C6BF0">
        <w:rPr>
          <w:rFonts w:ascii="Arial" w:hAnsi="Arial" w:cs="Arial"/>
          <w:sz w:val="22"/>
          <w:szCs w:val="22"/>
          <w:lang w:val="es-ES"/>
        </w:rPr>
        <w:t xml:space="preserve"> </w:t>
      </w:r>
      <w:r w:rsidR="008C6BF0" w:rsidRPr="004C4B08">
        <w:rPr>
          <w:rFonts w:ascii="Arial" w:hAnsi="Arial" w:cs="Arial"/>
          <w:sz w:val="22"/>
          <w:szCs w:val="22"/>
          <w:lang w:val="es-ES"/>
        </w:rPr>
        <w:t>ámbito</w:t>
      </w:r>
      <w:r w:rsidR="001612C4">
        <w:rPr>
          <w:rFonts w:ascii="Arial" w:hAnsi="Arial" w:cs="Arial"/>
          <w:sz w:val="22"/>
          <w:szCs w:val="22"/>
          <w:lang w:val="es-ES"/>
        </w:rPr>
        <w:t>s</w:t>
      </w:r>
      <w:r w:rsidR="008C6BF0">
        <w:rPr>
          <w:rFonts w:ascii="Arial" w:hAnsi="Arial" w:cs="Arial"/>
          <w:sz w:val="22"/>
          <w:szCs w:val="22"/>
          <w:lang w:val="es-ES"/>
        </w:rPr>
        <w:t>,</w:t>
      </w:r>
      <w:r w:rsidRPr="004C4B08">
        <w:rPr>
          <w:rFonts w:ascii="Arial" w:hAnsi="Arial" w:cs="Arial"/>
          <w:sz w:val="22"/>
          <w:szCs w:val="22"/>
          <w:lang w:val="es-ES"/>
        </w:rPr>
        <w:t xml:space="preserve"> </w:t>
      </w:r>
      <w:r w:rsidR="00917DB9">
        <w:rPr>
          <w:rFonts w:ascii="Arial" w:hAnsi="Arial" w:cs="Arial"/>
          <w:sz w:val="22"/>
          <w:szCs w:val="22"/>
          <w:lang w:val="es-ES"/>
        </w:rPr>
        <w:t>puede</w:t>
      </w:r>
      <w:r w:rsidRPr="004C4B08">
        <w:rPr>
          <w:rFonts w:ascii="Arial" w:hAnsi="Arial" w:cs="Arial"/>
          <w:sz w:val="22"/>
          <w:szCs w:val="22"/>
          <w:lang w:val="es-ES"/>
        </w:rPr>
        <w:t xml:space="preserve"> proporcionar un enfoque cohesionado y coordinado para ayudar a los Estados Miembros a lograr sus objetivos de desarrollo sostenible, promover la conservación y el uso sostenible de los recursos marinos, y fomentar una gobernanza eficaz del océano.</w:t>
      </w:r>
    </w:p>
    <w:p w14:paraId="095B2234" w14:textId="74EE5EF3" w:rsidR="00C54645" w:rsidRPr="004C4B08" w:rsidRDefault="00C54645" w:rsidP="002E1AB5">
      <w:pPr>
        <w:pStyle w:val="Prrafodelista"/>
        <w:numPr>
          <w:ilvl w:val="0"/>
          <w:numId w:val="37"/>
        </w:numPr>
        <w:spacing w:after="12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La COI, aprovechando sus conocimientos y experiencia con el apoyo de los Estados Miembros, </w:t>
      </w:r>
      <w:r w:rsidR="00917DB9">
        <w:rPr>
          <w:rFonts w:ascii="Arial" w:hAnsi="Arial" w:cs="Arial"/>
          <w:sz w:val="22"/>
          <w:szCs w:val="22"/>
          <w:lang w:val="es-ES"/>
        </w:rPr>
        <w:t>puede</w:t>
      </w:r>
      <w:r w:rsidRPr="004C4B08">
        <w:rPr>
          <w:rFonts w:ascii="Arial" w:hAnsi="Arial" w:cs="Arial"/>
          <w:sz w:val="22"/>
          <w:szCs w:val="22"/>
          <w:lang w:val="es-ES"/>
        </w:rPr>
        <w:t xml:space="preserve"> alcanzar los siguientes objetivos en el marco de esta estrategia:</w:t>
      </w:r>
    </w:p>
    <w:p w14:paraId="083BD8AB" w14:textId="58E43DE8" w:rsidR="00C54645" w:rsidRPr="004C4B08" w:rsidRDefault="00C54645" w:rsidP="002E1AB5">
      <w:pPr>
        <w:numPr>
          <w:ilvl w:val="0"/>
          <w:numId w:val="47"/>
        </w:numPr>
        <w:pBdr>
          <w:top w:val="nil"/>
          <w:left w:val="nil"/>
          <w:bottom w:val="nil"/>
          <w:right w:val="nil"/>
          <w:between w:val="nil"/>
        </w:pBdr>
        <w:spacing w:after="120"/>
        <w:ind w:left="1276" w:hanging="567"/>
        <w:rPr>
          <w:rFonts w:ascii="Arial" w:hAnsi="Arial" w:cs="Arial"/>
          <w:color w:val="000000"/>
          <w:sz w:val="22"/>
          <w:szCs w:val="22"/>
          <w:lang w:val="es-ES"/>
        </w:rPr>
      </w:pPr>
      <w:r w:rsidRPr="004C4B08">
        <w:rPr>
          <w:rFonts w:ascii="Arial" w:hAnsi="Arial" w:cs="Arial"/>
          <w:sz w:val="22"/>
          <w:szCs w:val="22"/>
          <w:lang w:val="es-ES"/>
        </w:rPr>
        <w:t>mayor integración e incorporación de enfoques de planificación y gestión sostenibles del océano;</w:t>
      </w:r>
    </w:p>
    <w:p w14:paraId="7AF3DF4D" w14:textId="687FBDE6" w:rsidR="00C54645" w:rsidRPr="004C4B08" w:rsidRDefault="00C54645" w:rsidP="002E1AB5">
      <w:pPr>
        <w:numPr>
          <w:ilvl w:val="0"/>
          <w:numId w:val="47"/>
        </w:numPr>
        <w:pBdr>
          <w:top w:val="nil"/>
          <w:left w:val="nil"/>
          <w:bottom w:val="nil"/>
          <w:right w:val="nil"/>
          <w:between w:val="nil"/>
        </w:pBdr>
        <w:spacing w:after="120"/>
        <w:ind w:left="1276" w:hanging="567"/>
        <w:rPr>
          <w:rFonts w:ascii="Arial" w:hAnsi="Arial" w:cs="Arial"/>
          <w:sz w:val="22"/>
          <w:szCs w:val="22"/>
          <w:lang w:val="es-ES"/>
        </w:rPr>
      </w:pPr>
      <w:r w:rsidRPr="004C4B08">
        <w:rPr>
          <w:rFonts w:ascii="Arial" w:hAnsi="Arial" w:cs="Arial"/>
          <w:sz w:val="22"/>
          <w:szCs w:val="22"/>
          <w:lang w:val="es-ES"/>
        </w:rPr>
        <w:lastRenderedPageBreak/>
        <w:t>mejora de la observación, los datos, los marcos de datos</w:t>
      </w:r>
      <w:r w:rsidRPr="004C4B08">
        <w:rPr>
          <w:rFonts w:ascii="Arial" w:eastAsia="Arial" w:hAnsi="Arial" w:cs="Arial"/>
          <w:color w:val="000000"/>
          <w:sz w:val="22"/>
          <w:szCs w:val="22"/>
          <w:vertAlign w:val="superscript"/>
          <w:lang w:val="es-ES"/>
        </w:rPr>
        <w:footnoteReference w:id="1"/>
      </w:r>
      <w:r w:rsidRPr="004C4B08">
        <w:rPr>
          <w:rFonts w:ascii="Arial" w:hAnsi="Arial" w:cs="Arial"/>
          <w:sz w:val="22"/>
          <w:szCs w:val="22"/>
          <w:lang w:val="es-ES"/>
        </w:rPr>
        <w:t xml:space="preserve"> y la gestión del conocimiento para la gestión basada en los ecosistemas y las aplicaciones sectoriales;</w:t>
      </w:r>
    </w:p>
    <w:p w14:paraId="78CA7C3D" w14:textId="01E22F08" w:rsidR="00C54645" w:rsidRPr="004C4B08" w:rsidRDefault="00B314FA" w:rsidP="002E1AB5">
      <w:pPr>
        <w:numPr>
          <w:ilvl w:val="0"/>
          <w:numId w:val="47"/>
        </w:numPr>
        <w:pBdr>
          <w:top w:val="nil"/>
          <w:left w:val="nil"/>
          <w:bottom w:val="nil"/>
          <w:right w:val="nil"/>
          <w:between w:val="nil"/>
        </w:pBdr>
        <w:spacing w:after="120"/>
        <w:ind w:left="1276" w:hanging="567"/>
        <w:rPr>
          <w:rFonts w:ascii="Arial" w:hAnsi="Arial" w:cs="Arial"/>
          <w:sz w:val="22"/>
          <w:szCs w:val="22"/>
          <w:lang w:val="es-ES"/>
        </w:rPr>
      </w:pPr>
      <w:r>
        <w:rPr>
          <w:rFonts w:ascii="Arial" w:hAnsi="Arial" w:cs="Arial"/>
          <w:sz w:val="22"/>
          <w:szCs w:val="22"/>
          <w:lang w:val="es-ES"/>
        </w:rPr>
        <w:t>r</w:t>
      </w:r>
      <w:r w:rsidR="00C54645" w:rsidRPr="004C4B08">
        <w:rPr>
          <w:rFonts w:ascii="Arial" w:hAnsi="Arial" w:cs="Arial"/>
          <w:sz w:val="22"/>
          <w:szCs w:val="22"/>
          <w:lang w:val="es-ES"/>
        </w:rPr>
        <w:t>efuerzo de la coordinación intersectorial y transfronteriza;</w:t>
      </w:r>
    </w:p>
    <w:p w14:paraId="0B0D2653" w14:textId="6AF33FEF" w:rsidR="00C54645" w:rsidRPr="004C4B08" w:rsidRDefault="00C54645" w:rsidP="002E1AB5">
      <w:pPr>
        <w:numPr>
          <w:ilvl w:val="0"/>
          <w:numId w:val="47"/>
        </w:numPr>
        <w:pBdr>
          <w:top w:val="nil"/>
          <w:left w:val="nil"/>
          <w:bottom w:val="nil"/>
          <w:right w:val="nil"/>
          <w:between w:val="nil"/>
        </w:pBdr>
        <w:spacing w:after="240"/>
        <w:ind w:left="1276" w:hanging="567"/>
        <w:rPr>
          <w:rFonts w:ascii="Arial" w:hAnsi="Arial" w:cs="Arial"/>
          <w:sz w:val="22"/>
          <w:szCs w:val="22"/>
          <w:lang w:val="es-ES"/>
        </w:rPr>
      </w:pPr>
      <w:r w:rsidRPr="004C4B08">
        <w:rPr>
          <w:rFonts w:ascii="Arial" w:hAnsi="Arial" w:cs="Arial"/>
          <w:sz w:val="22"/>
          <w:szCs w:val="22"/>
          <w:lang w:val="es-ES"/>
        </w:rPr>
        <w:t>ampliación del desarrollo de capacidades.</w:t>
      </w:r>
    </w:p>
    <w:p w14:paraId="128402DD" w14:textId="716DB8B8" w:rsidR="00C54645" w:rsidRPr="00455EFA" w:rsidRDefault="00C54645" w:rsidP="00716ED5">
      <w:pPr>
        <w:pStyle w:val="Ttulo2"/>
        <w:spacing w:before="240" w:after="240"/>
        <w:rPr>
          <w:rFonts w:ascii="Arial" w:hAnsi="Arial" w:cs="Arial"/>
          <w:color w:val="000000" w:themeColor="text1"/>
          <w:sz w:val="22"/>
          <w:szCs w:val="22"/>
          <w:u w:val="single"/>
          <w:lang w:val="es-ES"/>
        </w:rPr>
      </w:pPr>
      <w:bookmarkStart w:id="6" w:name="_Toc169082641"/>
      <w:r w:rsidRPr="00455EFA">
        <w:rPr>
          <w:rFonts w:ascii="Arial" w:hAnsi="Arial" w:cs="Arial"/>
          <w:color w:val="000000" w:themeColor="text1"/>
          <w:sz w:val="22"/>
          <w:szCs w:val="22"/>
          <w:u w:val="single"/>
          <w:lang w:val="es-ES"/>
        </w:rPr>
        <w:t>Planificación y gestión sostenibles del océano en la COI</w:t>
      </w:r>
      <w:bookmarkEnd w:id="6"/>
    </w:p>
    <w:p w14:paraId="6D6EA16A" w14:textId="6FAA6B53"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La economía del océano es intrínsecamente compleja, ya que abarca a múltiples usuarios dedicados a actividades</w:t>
      </w:r>
      <w:r w:rsidR="00635C17" w:rsidRPr="00635C17">
        <w:rPr>
          <w:rFonts w:ascii="Arial" w:hAnsi="Arial" w:cs="Arial"/>
          <w:sz w:val="22"/>
          <w:szCs w:val="22"/>
          <w:lang w:val="es-ES"/>
        </w:rPr>
        <w:t xml:space="preserve"> </w:t>
      </w:r>
      <w:r w:rsidR="00635C17" w:rsidRPr="004C4B08">
        <w:rPr>
          <w:rFonts w:ascii="Arial" w:hAnsi="Arial" w:cs="Arial"/>
          <w:sz w:val="22"/>
          <w:szCs w:val="22"/>
          <w:lang w:val="es-ES"/>
        </w:rPr>
        <w:t>diversas</w:t>
      </w:r>
      <w:r w:rsidRPr="004C4B08">
        <w:rPr>
          <w:rFonts w:ascii="Arial" w:hAnsi="Arial" w:cs="Arial"/>
          <w:sz w:val="22"/>
          <w:szCs w:val="22"/>
          <w:lang w:val="es-ES"/>
        </w:rPr>
        <w:t xml:space="preserve"> que a menudo pueden </w:t>
      </w:r>
      <w:r w:rsidR="0028187D">
        <w:rPr>
          <w:rFonts w:ascii="Arial" w:hAnsi="Arial" w:cs="Arial"/>
          <w:sz w:val="22"/>
          <w:szCs w:val="22"/>
          <w:lang w:val="es-ES"/>
        </w:rPr>
        <w:t>ser incompatibles</w:t>
      </w:r>
      <w:r w:rsidRPr="004C4B08">
        <w:rPr>
          <w:rFonts w:ascii="Arial" w:hAnsi="Arial" w:cs="Arial"/>
          <w:sz w:val="22"/>
          <w:szCs w:val="22"/>
          <w:lang w:val="es-ES"/>
        </w:rPr>
        <w:t xml:space="preserve"> o </w:t>
      </w:r>
      <w:r w:rsidR="00635C17">
        <w:rPr>
          <w:rFonts w:ascii="Arial" w:hAnsi="Arial" w:cs="Arial"/>
          <w:sz w:val="22"/>
          <w:szCs w:val="22"/>
          <w:lang w:val="es-ES"/>
        </w:rPr>
        <w:t>desfavorables para el</w:t>
      </w:r>
      <w:r w:rsidRPr="004C4B08">
        <w:rPr>
          <w:rFonts w:ascii="Arial" w:hAnsi="Arial" w:cs="Arial"/>
          <w:sz w:val="22"/>
          <w:szCs w:val="22"/>
          <w:lang w:val="es-ES"/>
        </w:rPr>
        <w:t xml:space="preserve"> medio ambiente. Una economía oceánica sostenible se logra cuando estas actividades económicas se combinan con la gestión sostenible de los ecosistemas oceánicos, ajustándose a su capacidad a largo plazo para apoyar estas actividades</w:t>
      </w:r>
      <w:r w:rsidR="006E791D">
        <w:rPr>
          <w:rFonts w:ascii="Arial" w:hAnsi="Arial" w:cs="Arial"/>
          <w:sz w:val="22"/>
          <w:szCs w:val="22"/>
          <w:lang w:val="es-ES"/>
        </w:rPr>
        <w:t>,</w:t>
      </w:r>
      <w:r w:rsidRPr="004C4B08">
        <w:rPr>
          <w:rFonts w:ascii="Arial" w:hAnsi="Arial" w:cs="Arial"/>
          <w:sz w:val="22"/>
          <w:szCs w:val="22"/>
          <w:lang w:val="es-ES"/>
        </w:rPr>
        <w:t xml:space="preserve"> al tiempo que se mejora la resiliencia, la salud y el bienestar</w:t>
      </w:r>
      <w:r w:rsidRPr="004C4B08">
        <w:rPr>
          <w:rFonts w:ascii="Arial" w:eastAsia="Arial" w:hAnsi="Arial" w:cs="Arial"/>
          <w:sz w:val="22"/>
          <w:szCs w:val="22"/>
          <w:vertAlign w:val="superscript"/>
          <w:lang w:val="es-ES"/>
        </w:rPr>
        <w:footnoteReference w:id="2"/>
      </w:r>
      <w:r w:rsidRPr="004C4B08">
        <w:rPr>
          <w:rFonts w:ascii="Arial" w:hAnsi="Arial" w:cs="Arial"/>
          <w:sz w:val="22"/>
          <w:szCs w:val="22"/>
          <w:lang w:val="es-ES"/>
        </w:rPr>
        <w:t>. Para manejar y gestionar eficazmente esta complejidad, se necesita un enfoque integrado, transfronterizo e intersectorial que reconozca la interdependencia de los distintos usos del océano y sus repercusiones en un océano sano y que funciona correctamente.</w:t>
      </w:r>
    </w:p>
    <w:p w14:paraId="48334423" w14:textId="3D6F4435"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La planificación y gestión sostenibles del océano </w:t>
      </w:r>
      <w:r w:rsidR="001D3A6B">
        <w:rPr>
          <w:rFonts w:ascii="Arial" w:hAnsi="Arial" w:cs="Arial"/>
          <w:sz w:val="22"/>
          <w:szCs w:val="22"/>
          <w:lang w:val="es-ES"/>
        </w:rPr>
        <w:t>constituyen</w:t>
      </w:r>
      <w:r w:rsidRPr="004C4B08">
        <w:rPr>
          <w:rFonts w:ascii="Arial" w:hAnsi="Arial" w:cs="Arial"/>
          <w:sz w:val="22"/>
          <w:szCs w:val="22"/>
          <w:lang w:val="es-ES"/>
        </w:rPr>
        <w:t xml:space="preserve"> un enfoque estratégico destinado a garantizar la salud y productividad a largo plazo de los medios marinos, fomentando al mismo tiempo el crecimiento económico, los beneficios sociales y la resiliencia ante el clima. </w:t>
      </w:r>
      <w:r w:rsidR="001C6ABA">
        <w:rPr>
          <w:rFonts w:ascii="Arial" w:hAnsi="Arial" w:cs="Arial"/>
          <w:sz w:val="22"/>
          <w:szCs w:val="22"/>
          <w:lang w:val="es-ES"/>
        </w:rPr>
        <w:t xml:space="preserve">En ellas se incorpora y promueve </w:t>
      </w:r>
      <w:r w:rsidRPr="004C4B08">
        <w:rPr>
          <w:rFonts w:ascii="Arial" w:hAnsi="Arial" w:cs="Arial"/>
          <w:sz w:val="22"/>
          <w:szCs w:val="22"/>
          <w:lang w:val="es-ES"/>
        </w:rPr>
        <w:t>el trabajo de la COI en diversos enfoques y escalas, como el Programa de Gestión Integrada de las Zonas Costeras (ICAM), la planificación espacial marina (PEM), la planificación y gestión sostenibles del océano y los grandes ecosistemas marinos (GEM). Para lograr este equilibrio se requiere una planificación y una gestión sólidas, fundamentadas por observaciones oceánicas, productos de datos especializados, evaluaciones científicas y un seguimiento de la salud ecosistémica y el desarrollo económico. Los enfoques de gestión del océano basados en el conocimiento, como la planificación espacial marina, la gestión de las zonas costeras, las zonas marinas protegidas y la gestión de los grandes ecosistemas marinos, cump</w:t>
      </w:r>
      <w:r w:rsidR="001D3A6B">
        <w:rPr>
          <w:rFonts w:ascii="Arial" w:hAnsi="Arial" w:cs="Arial"/>
          <w:sz w:val="22"/>
          <w:szCs w:val="22"/>
          <w:lang w:val="es-ES"/>
        </w:rPr>
        <w:t>len</w:t>
      </w:r>
      <w:r w:rsidRPr="004C4B08">
        <w:rPr>
          <w:rFonts w:ascii="Arial" w:hAnsi="Arial" w:cs="Arial"/>
          <w:sz w:val="22"/>
          <w:szCs w:val="22"/>
          <w:lang w:val="es-ES"/>
        </w:rPr>
        <w:t xml:space="preserve"> una función esencial para establecer objetivos, planes operacionales, límites seguros y directrices para las actividades oceánicas, reduciendo los conflictos entre los múltiples usos del océano.</w:t>
      </w:r>
    </w:p>
    <w:p w14:paraId="71C9CA74" w14:textId="70D29B12"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La influencia de la labor de la COI en la difusión de conocimientos adecuados para elaborar marcos de políticas y lograr resultados sostenibles es evidente. A lo largo de los tres últimos decenios, la COI ha realizado importantes avances en materia de planificación y gestión sostenibles del océano, un componente esencial de su misión de lograr </w:t>
      </w:r>
      <w:r w:rsidR="002E1AB5">
        <w:rPr>
          <w:rFonts w:ascii="Arial" w:hAnsi="Arial" w:cs="Arial"/>
          <w:sz w:val="22"/>
          <w:szCs w:val="22"/>
          <w:lang w:val="es-ES"/>
        </w:rPr>
        <w:t>“</w:t>
      </w:r>
      <w:r w:rsidR="00CD4830">
        <w:rPr>
          <w:rFonts w:ascii="Arial" w:hAnsi="Arial" w:cs="Arial"/>
          <w:i/>
          <w:iCs/>
          <w:sz w:val="22"/>
          <w:szCs w:val="22"/>
          <w:lang w:val="es-ES"/>
        </w:rPr>
        <w:t>e</w:t>
      </w:r>
      <w:r w:rsidRPr="004C4B08">
        <w:rPr>
          <w:rFonts w:ascii="Arial" w:hAnsi="Arial" w:cs="Arial"/>
          <w:i/>
          <w:iCs/>
          <w:sz w:val="22"/>
          <w:szCs w:val="22"/>
          <w:lang w:val="es-ES"/>
        </w:rPr>
        <w:t>l océano que necesitamos para el futuro que queremos</w:t>
      </w:r>
      <w:r w:rsidR="002E1AB5">
        <w:rPr>
          <w:rFonts w:ascii="Arial" w:hAnsi="Arial" w:cs="Arial"/>
          <w:sz w:val="22"/>
          <w:szCs w:val="22"/>
          <w:lang w:val="es-ES"/>
        </w:rPr>
        <w:t>”</w:t>
      </w:r>
      <w:r w:rsidRPr="004C4B08">
        <w:rPr>
          <w:rFonts w:ascii="Arial" w:hAnsi="Arial" w:cs="Arial"/>
          <w:sz w:val="22"/>
          <w:szCs w:val="22"/>
          <w:lang w:val="es-ES"/>
        </w:rPr>
        <w:t>. En particular, en 2009, la COI elaboró las primeras directrices internacionales de planificación espacial marina, integrando componentes espaciales, enfoques basados en los ecosistemas y procesos participativos en las políticas marinas. Esto ha desempeñado un papel esencial a la hora de impulsar la adopción mundial de planes de planificación espacial marina, ya que</w:t>
      </w:r>
      <w:r w:rsidR="00B67F1B">
        <w:rPr>
          <w:rFonts w:ascii="Arial" w:hAnsi="Arial" w:cs="Arial"/>
          <w:sz w:val="22"/>
          <w:szCs w:val="22"/>
          <w:lang w:val="es-ES"/>
        </w:rPr>
        <w:t>,</w:t>
      </w:r>
      <w:r w:rsidRPr="004C4B08">
        <w:rPr>
          <w:rFonts w:ascii="Arial" w:hAnsi="Arial" w:cs="Arial"/>
          <w:sz w:val="22"/>
          <w:szCs w:val="22"/>
          <w:lang w:val="es-ES"/>
        </w:rPr>
        <w:t xml:space="preserve"> a finales de 2023, 126 países y territorios se habían comprometido en favor de iniciativas de planificación espacial marina</w:t>
      </w:r>
      <w:r w:rsidRPr="004C4B08">
        <w:rPr>
          <w:rFonts w:ascii="Arial" w:hAnsi="Arial" w:cs="Arial"/>
          <w:sz w:val="22"/>
          <w:szCs w:val="22"/>
          <w:vertAlign w:val="superscript"/>
          <w:lang w:val="es-ES"/>
        </w:rPr>
        <w:footnoteReference w:id="3"/>
      </w:r>
      <w:r w:rsidRPr="004C4B08">
        <w:rPr>
          <w:rFonts w:ascii="Arial" w:hAnsi="Arial" w:cs="Arial"/>
          <w:sz w:val="22"/>
          <w:szCs w:val="22"/>
          <w:lang w:val="es-ES"/>
        </w:rPr>
        <w:t xml:space="preserve">. </w:t>
      </w:r>
    </w:p>
    <w:p w14:paraId="6568B8E1" w14:textId="3859C708" w:rsidR="00C54645" w:rsidRPr="004C4B08" w:rsidRDefault="00C54645" w:rsidP="00061180">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Una estrategia global de planificación y gestión sostenibles del océano servirá de marco unificador </w:t>
      </w:r>
      <w:r w:rsidR="000D3EA4">
        <w:rPr>
          <w:rFonts w:ascii="Arial" w:hAnsi="Arial" w:cs="Arial"/>
          <w:sz w:val="22"/>
          <w:szCs w:val="22"/>
          <w:lang w:val="es-ES"/>
        </w:rPr>
        <w:t>para</w:t>
      </w:r>
      <w:r w:rsidRPr="004C4B08">
        <w:rPr>
          <w:rFonts w:ascii="Arial" w:hAnsi="Arial" w:cs="Arial"/>
          <w:sz w:val="22"/>
          <w:szCs w:val="22"/>
          <w:lang w:val="es-ES"/>
        </w:rPr>
        <w:t xml:space="preserve"> garanti</w:t>
      </w:r>
      <w:r w:rsidR="000D3EA4">
        <w:rPr>
          <w:rFonts w:ascii="Arial" w:hAnsi="Arial" w:cs="Arial"/>
          <w:sz w:val="22"/>
          <w:szCs w:val="22"/>
          <w:lang w:val="es-ES"/>
        </w:rPr>
        <w:t>zar</w:t>
      </w:r>
      <w:r w:rsidRPr="004C4B08">
        <w:rPr>
          <w:rFonts w:ascii="Arial" w:hAnsi="Arial" w:cs="Arial"/>
          <w:sz w:val="22"/>
          <w:szCs w:val="22"/>
          <w:lang w:val="es-ES"/>
        </w:rPr>
        <w:t xml:space="preserve"> el avance coordinado de los programas y proyectos existentes de la COI, </w:t>
      </w:r>
      <w:r w:rsidR="004D7787">
        <w:rPr>
          <w:rFonts w:ascii="Arial" w:hAnsi="Arial" w:cs="Arial"/>
          <w:sz w:val="22"/>
          <w:szCs w:val="22"/>
          <w:lang w:val="es-ES"/>
        </w:rPr>
        <w:t>sobre la base</w:t>
      </w:r>
      <w:r w:rsidRPr="004C4B08">
        <w:rPr>
          <w:rFonts w:ascii="Arial" w:hAnsi="Arial" w:cs="Arial"/>
          <w:sz w:val="22"/>
          <w:szCs w:val="22"/>
          <w:lang w:val="es-ES"/>
        </w:rPr>
        <w:t xml:space="preserve"> </w:t>
      </w:r>
      <w:r w:rsidR="004D7787">
        <w:rPr>
          <w:rFonts w:ascii="Arial" w:hAnsi="Arial" w:cs="Arial"/>
          <w:sz w:val="22"/>
          <w:szCs w:val="22"/>
          <w:lang w:val="es-ES"/>
        </w:rPr>
        <w:t>de</w:t>
      </w:r>
      <w:r w:rsidRPr="004C4B08">
        <w:rPr>
          <w:rFonts w:ascii="Arial" w:hAnsi="Arial" w:cs="Arial"/>
          <w:sz w:val="22"/>
          <w:szCs w:val="22"/>
          <w:lang w:val="es-ES"/>
        </w:rPr>
        <w:t xml:space="preserve"> la </w:t>
      </w:r>
      <w:hyperlink r:id="rId15" w:history="1">
        <w:r w:rsidR="00204A4C">
          <w:rPr>
            <w:rStyle w:val="Hipervnculo"/>
            <w:rFonts w:ascii="Arial" w:hAnsi="Arial" w:cs="Arial"/>
            <w:sz w:val="22"/>
            <w:szCs w:val="22"/>
            <w:lang w:val="es-ES"/>
          </w:rPr>
          <w:t>E</w:t>
        </w:r>
        <w:r w:rsidRPr="000D3EA4">
          <w:rPr>
            <w:rStyle w:val="Hipervnculo"/>
            <w:rFonts w:ascii="Arial" w:hAnsi="Arial" w:cs="Arial"/>
            <w:sz w:val="22"/>
            <w:szCs w:val="22"/>
            <w:lang w:val="es-ES"/>
          </w:rPr>
          <w:t>strategia del Programa de Gestión Integrada de las Zonas Costeras (ICAM) de la COI</w:t>
        </w:r>
      </w:hyperlink>
      <w:r w:rsidRPr="004C4B08">
        <w:rPr>
          <w:rFonts w:ascii="Arial" w:hAnsi="Arial" w:cs="Arial"/>
          <w:sz w:val="22"/>
          <w:szCs w:val="22"/>
          <w:lang w:val="es-ES"/>
        </w:rPr>
        <w:t xml:space="preserve"> aprobada por los Estados Miembros en 2015. </w:t>
      </w:r>
      <w:r w:rsidR="00F63EDA">
        <w:rPr>
          <w:rFonts w:ascii="Arial" w:hAnsi="Arial" w:cs="Arial"/>
          <w:sz w:val="22"/>
          <w:szCs w:val="22"/>
          <w:lang w:val="es-ES"/>
        </w:rPr>
        <w:t>La</w:t>
      </w:r>
      <w:r w:rsidRPr="004C4B08">
        <w:rPr>
          <w:rFonts w:ascii="Arial" w:hAnsi="Arial" w:cs="Arial"/>
          <w:sz w:val="22"/>
          <w:szCs w:val="22"/>
          <w:lang w:val="es-ES"/>
        </w:rPr>
        <w:t xml:space="preserve"> estrategia mejora las capacidades </w:t>
      </w:r>
      <w:r w:rsidRPr="004C4B08">
        <w:rPr>
          <w:rFonts w:ascii="Arial" w:hAnsi="Arial" w:cs="Arial"/>
          <w:sz w:val="22"/>
          <w:szCs w:val="22"/>
          <w:lang w:val="es-ES"/>
        </w:rPr>
        <w:lastRenderedPageBreak/>
        <w:t>colectivas para hacer frente a los nuevos problemas oceánicos</w:t>
      </w:r>
      <w:r w:rsidR="000D3EA4">
        <w:rPr>
          <w:rFonts w:ascii="Arial" w:hAnsi="Arial" w:cs="Arial"/>
          <w:sz w:val="22"/>
          <w:szCs w:val="22"/>
          <w:lang w:val="es-ES"/>
        </w:rPr>
        <w:t>,</w:t>
      </w:r>
      <w:r w:rsidRPr="004C4B08">
        <w:rPr>
          <w:rFonts w:ascii="Arial" w:hAnsi="Arial" w:cs="Arial"/>
          <w:sz w:val="22"/>
          <w:szCs w:val="22"/>
          <w:lang w:val="es-ES"/>
        </w:rPr>
        <w:t xml:space="preserve"> gracias a herramientas de gestión basada en los ecosistemas, promueve la adaptación al cambio climático y la resiliencia ante los peligros oceánicos, y aumenta los conocimientos en los que reposan las medidas de gestión de los ecosistemas costeros y marinos. Las actividades en curso de la COI en materia de investigación y conocimiento del océano contribuyen a la estrategia, </w:t>
      </w:r>
      <w:r w:rsidR="000D3EA4">
        <w:rPr>
          <w:rFonts w:ascii="Arial" w:hAnsi="Arial" w:cs="Arial"/>
          <w:sz w:val="22"/>
          <w:szCs w:val="22"/>
          <w:lang w:val="es-ES"/>
        </w:rPr>
        <w:t>ya</w:t>
      </w:r>
      <w:r w:rsidRPr="004C4B08">
        <w:rPr>
          <w:rFonts w:ascii="Arial" w:hAnsi="Arial" w:cs="Arial"/>
          <w:sz w:val="22"/>
          <w:szCs w:val="22"/>
          <w:lang w:val="es-ES"/>
        </w:rPr>
        <w:t xml:space="preserve"> que crean una base de conocimientos para respaldar la adopción de decisiones fundamentadas sobre gestión del océano, basándose en la acción de la Comisión en materia de ciencias de los ecosistemas, incluidos los múltiples factores de perturbación oceánicos, y productos de evaluación integrada. </w:t>
      </w:r>
      <w:r w:rsidR="000D3EA4">
        <w:rPr>
          <w:rFonts w:ascii="Arial" w:hAnsi="Arial" w:cs="Arial"/>
          <w:sz w:val="22"/>
          <w:szCs w:val="22"/>
          <w:lang w:val="es-ES"/>
        </w:rPr>
        <w:t>Asimismo</w:t>
      </w:r>
      <w:r w:rsidRPr="004C4B08">
        <w:rPr>
          <w:rFonts w:ascii="Arial" w:hAnsi="Arial" w:cs="Arial"/>
          <w:sz w:val="22"/>
          <w:szCs w:val="22"/>
          <w:lang w:val="es-ES"/>
        </w:rPr>
        <w:t xml:space="preserve">, la estrategia, aprovechando los puntos fuertes de la COI por medio de iniciativas como el Sistema de Información sobre la Biodiversidad Oceánica (OBIS) y el Sistema de Datos e Información Oceanográficos (ODIS), busca mejorar la accesibilidad, calidad y disponibilidad de los datos, centrándose en encontrar y modelizar productos de predicción oceánica adaptados, lo que </w:t>
      </w:r>
      <w:r w:rsidR="00035E2F">
        <w:rPr>
          <w:rFonts w:ascii="Arial" w:hAnsi="Arial" w:cs="Arial"/>
          <w:sz w:val="22"/>
          <w:szCs w:val="22"/>
          <w:lang w:val="es-ES"/>
        </w:rPr>
        <w:t>ofrece</w:t>
      </w:r>
      <w:r w:rsidRPr="004C4B08">
        <w:rPr>
          <w:rFonts w:ascii="Arial" w:hAnsi="Arial" w:cs="Arial"/>
          <w:sz w:val="22"/>
          <w:szCs w:val="22"/>
          <w:lang w:val="es-ES"/>
        </w:rPr>
        <w:t xml:space="preserve"> a los responsables de la toma de decisiones y a las partes interesadas una información completa y fiable. En última instancia, este enfoque unificado tiene por objeto mejorar la colaboración entre las partes interesadas, facilitar la toma de decisiones con base empírica y promover prácticas o metodologías convenidas, fomentando el compromiso de la COI en favor de la resiliencia costera, las herramientas de ayuda para la toma de decisiones y las soluciones basadas en datos.</w:t>
      </w:r>
    </w:p>
    <w:p w14:paraId="3CDDC790" w14:textId="1B99189C" w:rsidR="00CD5142"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La estrategia de planificación y gestión sostenibles del océano permitirá a la COI </w:t>
      </w:r>
      <w:r w:rsidR="006D0B7E">
        <w:rPr>
          <w:rFonts w:ascii="Arial" w:hAnsi="Arial" w:cs="Arial"/>
          <w:sz w:val="22"/>
          <w:szCs w:val="22"/>
          <w:lang w:val="es-ES"/>
        </w:rPr>
        <w:t>ejercer</w:t>
      </w:r>
      <w:r w:rsidRPr="004C4B08">
        <w:rPr>
          <w:rFonts w:ascii="Arial" w:hAnsi="Arial" w:cs="Arial"/>
          <w:sz w:val="22"/>
          <w:szCs w:val="22"/>
          <w:lang w:val="es-ES"/>
        </w:rPr>
        <w:t xml:space="preserve"> </w:t>
      </w:r>
      <w:r w:rsidR="006D0B7E">
        <w:rPr>
          <w:rFonts w:ascii="Arial" w:hAnsi="Arial" w:cs="Arial"/>
          <w:sz w:val="22"/>
          <w:szCs w:val="22"/>
          <w:lang w:val="es-ES"/>
        </w:rPr>
        <w:t>una</w:t>
      </w:r>
      <w:r w:rsidRPr="004C4B08">
        <w:rPr>
          <w:rFonts w:ascii="Arial" w:hAnsi="Arial" w:cs="Arial"/>
          <w:sz w:val="22"/>
          <w:szCs w:val="22"/>
          <w:lang w:val="es-ES"/>
        </w:rPr>
        <w:t xml:space="preserve"> influencia más allá de los programas y proyectos existentes, sobrepasando los límites de las actividades actuales para participar de manera significativa en diálogos más amplios sobre la economía oceánica. Esta ampliación estratégica tiene por </w:t>
      </w:r>
      <w:r w:rsidR="00FC2ED1">
        <w:rPr>
          <w:rFonts w:ascii="Arial" w:hAnsi="Arial" w:cs="Arial"/>
          <w:sz w:val="22"/>
          <w:szCs w:val="22"/>
          <w:lang w:val="es-ES"/>
        </w:rPr>
        <w:t>finalidad</w:t>
      </w:r>
      <w:r w:rsidRPr="004C4B08">
        <w:rPr>
          <w:rFonts w:ascii="Arial" w:hAnsi="Arial" w:cs="Arial"/>
          <w:sz w:val="22"/>
          <w:szCs w:val="22"/>
          <w:lang w:val="es-ES"/>
        </w:rPr>
        <w:t xml:space="preserve"> impulsar la influencia en las políticas, reforzar el compromiso de las partes interesadas del ámbito económico y político, facilitar la planificación transfronteriza e intersectorial</w:t>
      </w:r>
      <w:r w:rsidR="00FC2ED1">
        <w:rPr>
          <w:rFonts w:ascii="Arial" w:hAnsi="Arial" w:cs="Arial"/>
          <w:sz w:val="22"/>
          <w:szCs w:val="22"/>
          <w:lang w:val="es-ES"/>
        </w:rPr>
        <w:t>,</w:t>
      </w:r>
      <w:r w:rsidRPr="004C4B08">
        <w:rPr>
          <w:rFonts w:ascii="Arial" w:hAnsi="Arial" w:cs="Arial"/>
          <w:sz w:val="22"/>
          <w:szCs w:val="22"/>
          <w:lang w:val="es-ES"/>
        </w:rPr>
        <w:t xml:space="preserve"> y seguir mejorando los esfuerzos existentes para armonizar los datos que poseen diversas instituciones, países y asociados dentro de un marco unificado que promueva los diferentes enfoques relacionados con la planificación y gestión sostenibles del océano. La estrategia, al alinearse con marcos existentes y apoyarlos </w:t>
      </w:r>
      <w:r w:rsidR="00FC2ED1">
        <w:rPr>
          <w:rFonts w:ascii="Arial" w:hAnsi="Arial" w:cs="Arial"/>
          <w:sz w:val="22"/>
          <w:szCs w:val="22"/>
          <w:lang w:val="es-ES"/>
        </w:rPr>
        <w:t>—</w:t>
      </w:r>
      <w:r w:rsidR="00CC5B21">
        <w:rPr>
          <w:rFonts w:ascii="Arial" w:hAnsi="Arial" w:cs="Arial"/>
          <w:sz w:val="22"/>
          <w:szCs w:val="22"/>
          <w:lang w:val="es-ES"/>
        </w:rPr>
        <w:t>ya sean</w:t>
      </w:r>
      <w:r w:rsidRPr="004C4B08">
        <w:rPr>
          <w:rFonts w:ascii="Arial" w:hAnsi="Arial" w:cs="Arial"/>
          <w:sz w:val="22"/>
          <w:szCs w:val="22"/>
          <w:lang w:val="es-ES"/>
        </w:rPr>
        <w:t xml:space="preserve"> planes para la sostenibilidad del océano, hojas de ruta para una economía oceánica sostenible, la contabilidad nacional del océano </w:t>
      </w:r>
      <w:r w:rsidR="00CC5B21">
        <w:rPr>
          <w:rFonts w:ascii="Arial" w:hAnsi="Arial" w:cs="Arial"/>
          <w:sz w:val="22"/>
          <w:szCs w:val="22"/>
          <w:lang w:val="es-ES"/>
        </w:rPr>
        <w:t>o</w:t>
      </w:r>
      <w:r w:rsidRPr="004C4B08">
        <w:rPr>
          <w:rFonts w:ascii="Arial" w:hAnsi="Arial" w:cs="Arial"/>
          <w:sz w:val="22"/>
          <w:szCs w:val="22"/>
          <w:lang w:val="es-ES"/>
        </w:rPr>
        <w:t xml:space="preserve"> evaluaciones del capital natural</w:t>
      </w:r>
      <w:r w:rsidR="00FC2ED1">
        <w:rPr>
          <w:rFonts w:ascii="Arial" w:hAnsi="Arial" w:cs="Arial"/>
          <w:sz w:val="22"/>
          <w:szCs w:val="22"/>
          <w:lang w:val="es-ES"/>
        </w:rPr>
        <w:t>—</w:t>
      </w:r>
      <w:r w:rsidRPr="004C4B08">
        <w:rPr>
          <w:rFonts w:ascii="Arial" w:hAnsi="Arial" w:cs="Arial"/>
          <w:sz w:val="22"/>
          <w:szCs w:val="22"/>
          <w:lang w:val="es-ES"/>
        </w:rPr>
        <w:t xml:space="preserve"> pretende </w:t>
      </w:r>
      <w:r w:rsidR="00CC5B21">
        <w:rPr>
          <w:rFonts w:ascii="Arial" w:hAnsi="Arial" w:cs="Arial"/>
          <w:sz w:val="22"/>
          <w:szCs w:val="22"/>
          <w:lang w:val="es-ES"/>
        </w:rPr>
        <w:t>ampliar</w:t>
      </w:r>
      <w:r w:rsidRPr="004C4B08">
        <w:rPr>
          <w:rFonts w:ascii="Arial" w:hAnsi="Arial" w:cs="Arial"/>
          <w:sz w:val="22"/>
          <w:szCs w:val="22"/>
          <w:lang w:val="es-ES"/>
        </w:rPr>
        <w:t xml:space="preserve"> la pertinencia de la COI e impulsar un cambio positivo a escala mundial.</w:t>
      </w:r>
    </w:p>
    <w:p w14:paraId="4F9666A9" w14:textId="4FDD0DA4" w:rsidR="008D35BF"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De igual modo, la estrategia capitaliza la experiencia y los conocimientos regionales aportados por las cuatro subcomisiones de la COI (IOCARIBE, IOCAFRICA, WESTPAC e IOCINDIO), que son fundamentales para determinar las necesidades específicas de planificación y gestión del océano y las especificidades regionales. Esto permite a la estrategia ser reactiva y adaptarse, velando por que las características y desafíos regionales se aborden de forma eficaz y que la aplicación de la planificación y gestión sostenibles del océano se ajuste a los contextos únicos de las distintas regiones. Por último, la COI podrá aprovechar la experiencia de la UNESCO en otros ámbitos (por ejemplo, la conservación de la biodiversidad, los sistemas de conocimientos indígenas y locales, la hidrología, etc.) para poner en marcha su estrategia y ofrecer un enfoque interdisciplinario único de la gestión del océano en el seno de las Naciones Unidas</w:t>
      </w:r>
      <w:r w:rsidR="00750C34" w:rsidRPr="004C4B08">
        <w:rPr>
          <w:rStyle w:val="Refdenotaalpie"/>
          <w:rFonts w:cs="Arial"/>
          <w:sz w:val="22"/>
          <w:szCs w:val="22"/>
          <w:lang w:val="es-ES"/>
        </w:rPr>
        <w:footnoteReference w:id="4"/>
      </w:r>
      <w:r w:rsidRPr="004C4B08">
        <w:rPr>
          <w:rFonts w:ascii="Arial" w:hAnsi="Arial" w:cs="Arial"/>
          <w:sz w:val="22"/>
          <w:szCs w:val="22"/>
          <w:lang w:val="es-ES"/>
        </w:rPr>
        <w:t>.</w:t>
      </w:r>
    </w:p>
    <w:p w14:paraId="0316B63B" w14:textId="47281683" w:rsidR="00C54645" w:rsidRPr="004C4B08" w:rsidRDefault="005D6122"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Pr>
          <w:rFonts w:ascii="Arial" w:hAnsi="Arial" w:cs="Arial"/>
          <w:sz w:val="22"/>
          <w:szCs w:val="22"/>
          <w:lang w:val="es-ES"/>
        </w:rPr>
        <w:t>Aplicar</w:t>
      </w:r>
      <w:r w:rsidR="00C54645" w:rsidRPr="004C4B08">
        <w:rPr>
          <w:rFonts w:ascii="Arial" w:hAnsi="Arial" w:cs="Arial"/>
          <w:sz w:val="22"/>
          <w:szCs w:val="22"/>
          <w:lang w:val="es-ES"/>
        </w:rPr>
        <w:t xml:space="preserve"> la estrategia</w:t>
      </w:r>
      <w:r>
        <w:rPr>
          <w:rFonts w:ascii="Arial" w:hAnsi="Arial" w:cs="Arial"/>
          <w:sz w:val="22"/>
          <w:szCs w:val="22"/>
          <w:lang w:val="es-ES"/>
        </w:rPr>
        <w:t xml:space="preserve"> permitirá a</w:t>
      </w:r>
      <w:r w:rsidR="00C54645" w:rsidRPr="004C4B08">
        <w:rPr>
          <w:rFonts w:ascii="Arial" w:hAnsi="Arial" w:cs="Arial"/>
          <w:sz w:val="22"/>
          <w:szCs w:val="22"/>
          <w:lang w:val="es-ES"/>
        </w:rPr>
        <w:t xml:space="preserve"> los Estados Miembros recibir orientación y asistencia técnica</w:t>
      </w:r>
      <w:r w:rsidR="0087079B">
        <w:rPr>
          <w:rFonts w:ascii="Arial" w:hAnsi="Arial" w:cs="Arial"/>
          <w:sz w:val="22"/>
          <w:szCs w:val="22"/>
          <w:lang w:val="es-ES"/>
        </w:rPr>
        <w:t>,</w:t>
      </w:r>
      <w:r w:rsidR="00C54645" w:rsidRPr="004C4B08">
        <w:rPr>
          <w:rFonts w:ascii="Arial" w:hAnsi="Arial" w:cs="Arial"/>
          <w:sz w:val="22"/>
          <w:szCs w:val="22"/>
          <w:lang w:val="es-ES"/>
        </w:rPr>
        <w:t xml:space="preserve"> y armonizar sus políticas nacionales con los marcos mundiales y regionales y las buenas prácticas mundiales. Este enfoque de colaboración fomenta el desarrollo de capacidades y el intercambio de conocimientos, lo que mejora en última instancia la aplicación de prácticas sostenibles de planificación y gestión del océano.</w:t>
      </w:r>
    </w:p>
    <w:p w14:paraId="1959AB3C" w14:textId="1F781038"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La COI, basándose en su mandato único de fomentar la cooperación internacional en materia de ciencias oceánicas, observación y desarrollo de capacidades, está bien posicionada para alcanzar los objetivos de esta estrategia. Sus conocimientos especializados le permiten ofrecer un apoyo técnico decisivo y orientación científica basada en pruebas para la formulación de políticas </w:t>
      </w:r>
      <w:r w:rsidRPr="004C4B08">
        <w:rPr>
          <w:rFonts w:ascii="Arial" w:hAnsi="Arial" w:cs="Arial"/>
          <w:sz w:val="22"/>
          <w:szCs w:val="22"/>
          <w:lang w:val="es-ES"/>
        </w:rPr>
        <w:lastRenderedPageBreak/>
        <w:t xml:space="preserve">marinas relacionadas con la planificación y gestión sostenibles del océano. Esto, a su vez, facilita la integración fluida de los principios científicos y las buenas prácticas en los procesos de toma de decisiones. </w:t>
      </w:r>
    </w:p>
    <w:p w14:paraId="77F0A766" w14:textId="1AB95170" w:rsidR="00C54645" w:rsidRPr="00394E87" w:rsidRDefault="00C54645" w:rsidP="007A7DA0">
      <w:pPr>
        <w:pStyle w:val="Ttulo2"/>
        <w:numPr>
          <w:ilvl w:val="0"/>
          <w:numId w:val="42"/>
        </w:numPr>
        <w:spacing w:before="360" w:after="240"/>
        <w:ind w:left="567" w:hanging="567"/>
        <w:rPr>
          <w:rFonts w:ascii="Arial" w:hAnsi="Arial" w:cs="Arial"/>
          <w:b/>
          <w:bCs/>
          <w:color w:val="000000" w:themeColor="text1"/>
          <w:sz w:val="22"/>
          <w:szCs w:val="22"/>
          <w:lang w:val="es-ES"/>
        </w:rPr>
      </w:pPr>
      <w:bookmarkStart w:id="7" w:name="_Toc169082642"/>
      <w:r w:rsidRPr="00394E87">
        <w:rPr>
          <w:rFonts w:ascii="Arial" w:hAnsi="Arial" w:cs="Arial"/>
          <w:b/>
          <w:bCs/>
          <w:color w:val="000000" w:themeColor="text1"/>
          <w:sz w:val="22"/>
          <w:szCs w:val="22"/>
          <w:lang w:val="es-ES"/>
        </w:rPr>
        <w:t>Visión y objetivos</w:t>
      </w:r>
      <w:bookmarkEnd w:id="7"/>
    </w:p>
    <w:p w14:paraId="6652E3FF" w14:textId="2E5275E8" w:rsidR="00C54645" w:rsidRPr="004C4B08" w:rsidRDefault="00C54645" w:rsidP="00716ED5">
      <w:pPr>
        <w:pStyle w:val="Prrafodelista"/>
        <w:numPr>
          <w:ilvl w:val="0"/>
          <w:numId w:val="37"/>
        </w:numPr>
        <w:tabs>
          <w:tab w:val="left" w:pos="709"/>
        </w:tabs>
        <w:spacing w:after="12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La visión de la estrategia </w:t>
      </w:r>
      <w:r w:rsidR="009F002C">
        <w:rPr>
          <w:rFonts w:ascii="Arial" w:hAnsi="Arial" w:cs="Arial"/>
          <w:sz w:val="22"/>
          <w:szCs w:val="22"/>
          <w:lang w:val="es-ES"/>
        </w:rPr>
        <w:t>para toda</w:t>
      </w:r>
      <w:r w:rsidRPr="004C4B08">
        <w:rPr>
          <w:rFonts w:ascii="Arial" w:hAnsi="Arial" w:cs="Arial"/>
          <w:sz w:val="22"/>
          <w:szCs w:val="22"/>
          <w:lang w:val="es-ES"/>
        </w:rPr>
        <w:t xml:space="preserve"> la COI sobre la planificación y gestión sostenibles del océano consiste en lograr lo siguiente:</w:t>
      </w:r>
    </w:p>
    <w:p w14:paraId="6BB277C6" w14:textId="20C8609A" w:rsidR="00C54645" w:rsidRPr="004C4B08" w:rsidRDefault="002E1AB5" w:rsidP="00716ED5">
      <w:pPr>
        <w:spacing w:after="240"/>
        <w:ind w:left="709" w:right="697"/>
        <w:rPr>
          <w:rFonts w:ascii="Arial" w:hAnsi="Arial" w:cs="Arial"/>
          <w:i/>
          <w:sz w:val="22"/>
          <w:szCs w:val="22"/>
          <w:lang w:val="es-ES"/>
        </w:rPr>
      </w:pPr>
      <w:r>
        <w:rPr>
          <w:rFonts w:ascii="Arial" w:hAnsi="Arial" w:cs="Arial"/>
          <w:i/>
          <w:iCs/>
          <w:sz w:val="22"/>
          <w:szCs w:val="22"/>
          <w:lang w:val="es-ES"/>
        </w:rPr>
        <w:t>“</w:t>
      </w:r>
      <w:r w:rsidR="0019023C" w:rsidRPr="004C4B08">
        <w:rPr>
          <w:rFonts w:ascii="Arial" w:hAnsi="Arial" w:cs="Arial"/>
          <w:i/>
          <w:iCs/>
          <w:sz w:val="22"/>
          <w:szCs w:val="22"/>
          <w:lang w:val="es-ES"/>
        </w:rPr>
        <w:t>Un marco global para aportar conocimientos y capacidades que permitan satisfacer las necesidades de planificación y gestión sostenibles del océano de los Estados Miembros de la COI</w:t>
      </w:r>
      <w:r>
        <w:rPr>
          <w:rFonts w:ascii="Arial" w:hAnsi="Arial" w:cs="Arial"/>
          <w:i/>
          <w:iCs/>
          <w:sz w:val="22"/>
          <w:szCs w:val="22"/>
          <w:lang w:val="es-ES"/>
        </w:rPr>
        <w:t>”</w:t>
      </w:r>
      <w:r w:rsidR="0019023C" w:rsidRPr="004C4B08">
        <w:rPr>
          <w:rFonts w:ascii="Arial" w:hAnsi="Arial" w:cs="Arial"/>
          <w:i/>
          <w:iCs/>
          <w:sz w:val="22"/>
          <w:szCs w:val="22"/>
          <w:lang w:val="es-ES"/>
        </w:rPr>
        <w:t>.</w:t>
      </w:r>
    </w:p>
    <w:p w14:paraId="1FE268AC" w14:textId="6E96B188"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La estrategia expone los principios para aplicar prácticas eficaces de planificación y gestión de los ecosistemas oceánicos y sus correspondientes marcos para garantizar una toma de decisiones fundamentada. Orienta colectivamente los programas y proyectos de la COI de forma coordinada y sobre la base de prácticas acordadas a fin de facilitar la gestión integrada del océano, la planificación y la toma de decisiones. </w:t>
      </w:r>
      <w:r w:rsidR="00204A4C">
        <w:rPr>
          <w:rFonts w:ascii="Arial" w:hAnsi="Arial" w:cs="Arial"/>
          <w:sz w:val="22"/>
          <w:szCs w:val="22"/>
          <w:lang w:val="es-ES"/>
        </w:rPr>
        <w:t>S</w:t>
      </w:r>
      <w:r w:rsidRPr="004C4B08">
        <w:rPr>
          <w:rFonts w:ascii="Arial" w:hAnsi="Arial" w:cs="Arial"/>
          <w:sz w:val="22"/>
          <w:szCs w:val="22"/>
          <w:lang w:val="es-ES"/>
        </w:rPr>
        <w:t xml:space="preserve">e ajusta a la Estrategia a Plazo Medio de la COI para 2022-2029 y sus funciones conexas. </w:t>
      </w:r>
      <w:r w:rsidR="00204A4C">
        <w:rPr>
          <w:rFonts w:ascii="Arial" w:hAnsi="Arial" w:cs="Arial"/>
          <w:sz w:val="22"/>
          <w:szCs w:val="22"/>
          <w:lang w:val="es-ES"/>
        </w:rPr>
        <w:t>Además, l</w:t>
      </w:r>
      <w:r w:rsidRPr="004C4B08">
        <w:rPr>
          <w:rFonts w:ascii="Arial" w:hAnsi="Arial" w:cs="Arial"/>
          <w:sz w:val="22"/>
          <w:szCs w:val="22"/>
          <w:lang w:val="es-ES"/>
        </w:rPr>
        <w:t xml:space="preserve">a estrategia toma en consideración los planes estratégicos y los resultados de los programas existentes, en especial la </w:t>
      </w:r>
      <w:r w:rsidR="00204A4C">
        <w:rPr>
          <w:rFonts w:ascii="Arial" w:hAnsi="Arial" w:cs="Arial"/>
          <w:sz w:val="22"/>
          <w:szCs w:val="22"/>
          <w:lang w:val="es-ES"/>
        </w:rPr>
        <w:t>E</w:t>
      </w:r>
      <w:r w:rsidRPr="004C4B08">
        <w:rPr>
          <w:rFonts w:ascii="Arial" w:hAnsi="Arial" w:cs="Arial"/>
          <w:sz w:val="22"/>
          <w:szCs w:val="22"/>
          <w:lang w:val="es-ES"/>
        </w:rPr>
        <w:t xml:space="preserve">strategia de la COI para el ICAM (2015), el Plan Estratégico de la COI para la Gestión de Datos e Información Oceanográficos (2023-2029), la Estrategia del Sistema Mundial de Observación del Océano para 2030 y la Estrategia de Desarrollo de Capacidades de la COI </w:t>
      </w:r>
      <w:r w:rsidR="00204A4C">
        <w:rPr>
          <w:rFonts w:ascii="Arial" w:hAnsi="Arial" w:cs="Arial"/>
          <w:sz w:val="22"/>
          <w:szCs w:val="22"/>
          <w:lang w:val="es-ES"/>
        </w:rPr>
        <w:t>(</w:t>
      </w:r>
      <w:r w:rsidRPr="004C4B08">
        <w:rPr>
          <w:rFonts w:ascii="Arial" w:hAnsi="Arial" w:cs="Arial"/>
          <w:sz w:val="22"/>
          <w:szCs w:val="22"/>
          <w:lang w:val="es-ES"/>
        </w:rPr>
        <w:t>2023-2030</w:t>
      </w:r>
      <w:r w:rsidR="00204A4C">
        <w:rPr>
          <w:rFonts w:ascii="Arial" w:hAnsi="Arial" w:cs="Arial"/>
          <w:sz w:val="22"/>
          <w:szCs w:val="22"/>
          <w:lang w:val="es-ES"/>
        </w:rPr>
        <w:t>)</w:t>
      </w:r>
      <w:r w:rsidRPr="004C4B08">
        <w:rPr>
          <w:rFonts w:ascii="Arial" w:hAnsi="Arial" w:cs="Arial"/>
          <w:sz w:val="22"/>
          <w:szCs w:val="22"/>
          <w:lang w:val="es-ES"/>
        </w:rPr>
        <w:t>. Esta alineación pone de relieve la finalidad global de la COI enuncia</w:t>
      </w:r>
      <w:r w:rsidR="00204A4C">
        <w:rPr>
          <w:rFonts w:ascii="Arial" w:hAnsi="Arial" w:cs="Arial"/>
          <w:sz w:val="22"/>
          <w:szCs w:val="22"/>
          <w:lang w:val="es-ES"/>
        </w:rPr>
        <w:t>da</w:t>
      </w:r>
      <w:r w:rsidRPr="004C4B08">
        <w:rPr>
          <w:rFonts w:ascii="Arial" w:hAnsi="Arial" w:cs="Arial"/>
          <w:sz w:val="22"/>
          <w:szCs w:val="22"/>
          <w:lang w:val="es-ES"/>
        </w:rPr>
        <w:t xml:space="preserve"> en el artículo 2 de los Estatutos, como se mencionó más arriba.</w:t>
      </w:r>
    </w:p>
    <w:p w14:paraId="4BD657FD" w14:textId="50116A6F"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Los objetivos estratégicos de la estrategia sobre la planificación y gestión sostenibles del océano son los siguientes:</w:t>
      </w:r>
    </w:p>
    <w:p w14:paraId="78FA6604" w14:textId="77777777" w:rsidR="00C54645" w:rsidRPr="004C4B08" w:rsidRDefault="00C54645" w:rsidP="007A7DA0">
      <w:pPr>
        <w:keepNext/>
        <w:numPr>
          <w:ilvl w:val="0"/>
          <w:numId w:val="48"/>
        </w:numPr>
        <w:pBdr>
          <w:top w:val="nil"/>
          <w:left w:val="nil"/>
          <w:bottom w:val="nil"/>
          <w:right w:val="nil"/>
          <w:between w:val="nil"/>
        </w:pBdr>
        <w:spacing w:after="120"/>
        <w:ind w:left="1276" w:hanging="567"/>
        <w:jc w:val="both"/>
        <w:rPr>
          <w:rFonts w:ascii="Arial" w:hAnsi="Arial" w:cs="Arial"/>
          <w:b/>
          <w:color w:val="000000"/>
          <w:sz w:val="22"/>
          <w:szCs w:val="22"/>
          <w:lang w:val="es-ES"/>
        </w:rPr>
      </w:pPr>
      <w:r w:rsidRPr="004C4B08">
        <w:rPr>
          <w:rFonts w:ascii="Arial" w:hAnsi="Arial" w:cs="Arial"/>
          <w:b/>
          <w:bCs/>
          <w:sz w:val="22"/>
          <w:szCs w:val="22"/>
          <w:lang w:val="es-ES"/>
        </w:rPr>
        <w:t>Mayor integración e incorporación de la planificación y gestión del océano</w:t>
      </w:r>
      <w:r w:rsidRPr="004C4B08">
        <w:rPr>
          <w:rFonts w:ascii="Arial" w:hAnsi="Arial" w:cs="Arial"/>
          <w:sz w:val="22"/>
          <w:szCs w:val="22"/>
          <w:lang w:val="es-ES"/>
        </w:rPr>
        <w:t xml:space="preserve"> </w:t>
      </w:r>
    </w:p>
    <w:p w14:paraId="392890E1" w14:textId="472D07D4" w:rsidR="00C54645" w:rsidRPr="00D57015" w:rsidRDefault="00C54645" w:rsidP="007A7DA0">
      <w:pPr>
        <w:spacing w:after="240"/>
        <w:ind w:left="1276"/>
        <w:jc w:val="both"/>
        <w:rPr>
          <w:rFonts w:ascii="Arial" w:hAnsi="Arial" w:cs="Arial"/>
          <w:sz w:val="22"/>
          <w:szCs w:val="22"/>
          <w:lang w:val="es-ES"/>
        </w:rPr>
      </w:pPr>
      <w:r w:rsidRPr="00D57015">
        <w:rPr>
          <w:rFonts w:ascii="Arial" w:hAnsi="Arial" w:cs="Arial"/>
          <w:sz w:val="22"/>
          <w:szCs w:val="22"/>
          <w:lang w:val="es-ES"/>
        </w:rPr>
        <w:t>Elaborar una visión común de un marco coherente de planificación y gestión del océano en escalas múltiples, que se base en los mejores conocimientos científicos disponibles, se adapte a los distintos contextos y prioridades, e incorpore los conceptos, herramientas, mejores prácticas y programas existentes, como la gestión integrada de las zonas costeras y la planificación espacial marina, para su integración en el contexto nacional.</w:t>
      </w:r>
    </w:p>
    <w:p w14:paraId="644AD117" w14:textId="1C0CF2A8" w:rsidR="00C54645" w:rsidRPr="00D57015" w:rsidRDefault="0019023C" w:rsidP="007A7DA0">
      <w:pPr>
        <w:keepNext/>
        <w:numPr>
          <w:ilvl w:val="0"/>
          <w:numId w:val="48"/>
        </w:numPr>
        <w:pBdr>
          <w:top w:val="nil"/>
          <w:left w:val="nil"/>
          <w:bottom w:val="nil"/>
          <w:right w:val="nil"/>
          <w:between w:val="nil"/>
        </w:pBdr>
        <w:spacing w:after="120"/>
        <w:ind w:left="1276" w:hanging="567"/>
        <w:jc w:val="both"/>
        <w:rPr>
          <w:rFonts w:ascii="Arial" w:hAnsi="Arial" w:cs="Arial"/>
          <w:b/>
          <w:color w:val="000000"/>
          <w:sz w:val="22"/>
          <w:szCs w:val="22"/>
          <w:lang w:val="es-ES"/>
        </w:rPr>
      </w:pPr>
      <w:r w:rsidRPr="00D57015">
        <w:rPr>
          <w:rFonts w:ascii="Arial" w:hAnsi="Arial" w:cs="Arial"/>
          <w:b/>
          <w:bCs/>
          <w:sz w:val="22"/>
          <w:szCs w:val="22"/>
          <w:lang w:val="es-ES"/>
        </w:rPr>
        <w:t>Mejora de las observaciones, los datos, los marcos de datos y la gestión del conocimiento para la gestión basada en los ecosistemas y las aplicaciones sectoriales</w:t>
      </w:r>
    </w:p>
    <w:p w14:paraId="36F8A716" w14:textId="669FD966" w:rsidR="00254057" w:rsidRDefault="00C54645" w:rsidP="007A7DA0">
      <w:pPr>
        <w:spacing w:after="240"/>
        <w:ind w:left="1276"/>
        <w:jc w:val="both"/>
        <w:rPr>
          <w:rFonts w:ascii="Arial" w:hAnsi="Arial" w:cs="Arial"/>
          <w:sz w:val="22"/>
          <w:szCs w:val="22"/>
          <w:lang w:val="es-ES"/>
        </w:rPr>
      </w:pPr>
      <w:r w:rsidRPr="00D57015">
        <w:rPr>
          <w:rFonts w:ascii="Arial" w:hAnsi="Arial" w:cs="Arial"/>
          <w:sz w:val="22"/>
          <w:szCs w:val="22"/>
          <w:lang w:val="es-ES"/>
        </w:rPr>
        <w:t>Mejorar la calidad, accesibilidad y facilidad de uso de los datos adoptando prácticas o metodologías acordadas, como la política de datos de la COI y las condiciones de utilización de los datos (2023) y los principios FAIR</w:t>
      </w:r>
      <w:r w:rsidRPr="004C4B08">
        <w:rPr>
          <w:vertAlign w:val="superscript"/>
          <w:lang w:val="es-ES"/>
        </w:rPr>
        <w:footnoteReference w:id="5"/>
      </w:r>
      <w:r w:rsidRPr="00D57015">
        <w:rPr>
          <w:rFonts w:ascii="Arial" w:hAnsi="Arial" w:cs="Arial"/>
          <w:sz w:val="22"/>
          <w:szCs w:val="22"/>
          <w:lang w:val="es-ES"/>
        </w:rPr>
        <w:t>. Proporcionar un acceso a los datos adaptado a los diversos usuarios mediante herramientas de apoyo, como el Sistema de Datos e Información Oceanográficos (ODIS), y respaldar la toma de decisiones basada en datos para la gestión basada en los ecosistemas y las aplicaciones sectoriales.</w:t>
      </w:r>
    </w:p>
    <w:p w14:paraId="4A12EE21" w14:textId="64C318EA" w:rsidR="00C54645" w:rsidRPr="00D57015" w:rsidRDefault="00B46C66" w:rsidP="007A7DA0">
      <w:pPr>
        <w:keepNext/>
        <w:numPr>
          <w:ilvl w:val="0"/>
          <w:numId w:val="48"/>
        </w:numPr>
        <w:pBdr>
          <w:top w:val="nil"/>
          <w:left w:val="nil"/>
          <w:bottom w:val="nil"/>
          <w:right w:val="nil"/>
          <w:between w:val="nil"/>
        </w:pBdr>
        <w:spacing w:after="120"/>
        <w:ind w:left="1276" w:hanging="567"/>
        <w:jc w:val="both"/>
        <w:rPr>
          <w:rFonts w:ascii="Arial" w:eastAsia="Arial" w:hAnsi="Arial" w:cs="Arial"/>
          <w:b/>
          <w:color w:val="000000"/>
          <w:sz w:val="22"/>
          <w:szCs w:val="22"/>
          <w:lang w:val="es-ES"/>
        </w:rPr>
      </w:pPr>
      <w:r w:rsidRPr="00D57015">
        <w:rPr>
          <w:rFonts w:ascii="Arial" w:hAnsi="Arial" w:cs="Arial"/>
          <w:b/>
          <w:bCs/>
          <w:sz w:val="22"/>
          <w:szCs w:val="22"/>
          <w:lang w:val="es-ES"/>
        </w:rPr>
        <w:lastRenderedPageBreak/>
        <w:t>Refuerzo de la coordinación intersectorial y transfronteriza</w:t>
      </w:r>
    </w:p>
    <w:p w14:paraId="4C7FEF59" w14:textId="3232E24B" w:rsidR="00C54645" w:rsidRPr="00D57015" w:rsidRDefault="00C54645" w:rsidP="007A7DA0">
      <w:pPr>
        <w:spacing w:after="240"/>
        <w:ind w:left="1276"/>
        <w:jc w:val="both"/>
        <w:rPr>
          <w:rFonts w:ascii="Arial" w:hAnsi="Arial" w:cs="Arial"/>
          <w:sz w:val="22"/>
          <w:szCs w:val="22"/>
          <w:lang w:val="es-ES"/>
        </w:rPr>
      </w:pPr>
      <w:r w:rsidRPr="00D57015">
        <w:rPr>
          <w:rFonts w:ascii="Arial" w:hAnsi="Arial" w:cs="Arial"/>
          <w:sz w:val="22"/>
          <w:szCs w:val="22"/>
          <w:lang w:val="es-ES"/>
        </w:rPr>
        <w:t>Facilitar una integración intersectorial</w:t>
      </w:r>
      <w:r w:rsidRPr="004C4B08">
        <w:rPr>
          <w:vertAlign w:val="superscript"/>
          <w:lang w:val="es-ES"/>
        </w:rPr>
        <w:footnoteReference w:id="6"/>
      </w:r>
      <w:r w:rsidRPr="00D57015">
        <w:rPr>
          <w:rFonts w:ascii="Arial" w:hAnsi="Arial" w:cs="Arial"/>
          <w:sz w:val="22"/>
          <w:szCs w:val="22"/>
          <w:lang w:val="es-ES"/>
        </w:rPr>
        <w:t xml:space="preserve"> y una colaboración transfronteriza</w:t>
      </w:r>
      <w:r w:rsidRPr="004C4B08">
        <w:rPr>
          <w:vertAlign w:val="superscript"/>
          <w:lang w:val="es-ES"/>
        </w:rPr>
        <w:footnoteReference w:id="7"/>
      </w:r>
      <w:r w:rsidRPr="00D57015">
        <w:rPr>
          <w:rFonts w:ascii="Arial" w:hAnsi="Arial" w:cs="Arial"/>
          <w:sz w:val="22"/>
          <w:szCs w:val="22"/>
          <w:lang w:val="es-ES"/>
        </w:rPr>
        <w:t xml:space="preserve"> más sólidas en la planificación del océano fomentando la cooperación y el diálogo entre los diversos sectores y agentes que participan en la gobernanza oceánica. Además, apoyar la elaboración de directrices y marcos para integrar los diversos intereses y prioridades de los sectores y de las partes interesadas, velando por que exista un enfoque bien equilibrado de la planificación y gestión sostenibles del océano, al tiempo que se fomenta la cooperación.</w:t>
      </w:r>
    </w:p>
    <w:p w14:paraId="630DFB9A" w14:textId="0321154C" w:rsidR="00C54645" w:rsidRPr="00D57015" w:rsidRDefault="0019023C" w:rsidP="007A7DA0">
      <w:pPr>
        <w:keepNext/>
        <w:numPr>
          <w:ilvl w:val="0"/>
          <w:numId w:val="48"/>
        </w:numPr>
        <w:pBdr>
          <w:top w:val="nil"/>
          <w:left w:val="nil"/>
          <w:bottom w:val="nil"/>
          <w:right w:val="nil"/>
          <w:between w:val="nil"/>
        </w:pBdr>
        <w:spacing w:after="120"/>
        <w:ind w:left="1276" w:hanging="567"/>
        <w:jc w:val="both"/>
        <w:rPr>
          <w:rFonts w:ascii="Arial" w:eastAsia="Arial" w:hAnsi="Arial" w:cs="Arial"/>
          <w:b/>
          <w:color w:val="000000"/>
          <w:sz w:val="22"/>
          <w:szCs w:val="22"/>
          <w:lang w:val="es-ES"/>
        </w:rPr>
      </w:pPr>
      <w:r w:rsidRPr="00D57015">
        <w:rPr>
          <w:rFonts w:ascii="Arial" w:hAnsi="Arial" w:cs="Arial"/>
          <w:b/>
          <w:bCs/>
          <w:sz w:val="22"/>
          <w:szCs w:val="22"/>
          <w:lang w:val="es-ES"/>
        </w:rPr>
        <w:t>Ampliación del desarrollo de capacidades</w:t>
      </w:r>
    </w:p>
    <w:p w14:paraId="2A7A2DB8" w14:textId="54B65473" w:rsidR="00C54645" w:rsidRPr="00D57015" w:rsidRDefault="00C54645" w:rsidP="007A7DA0">
      <w:pPr>
        <w:spacing w:after="240"/>
        <w:ind w:left="1276"/>
        <w:jc w:val="both"/>
        <w:rPr>
          <w:rFonts w:ascii="Arial" w:hAnsi="Arial" w:cs="Arial"/>
          <w:sz w:val="22"/>
          <w:szCs w:val="22"/>
          <w:lang w:val="es-ES"/>
        </w:rPr>
      </w:pPr>
      <w:r w:rsidRPr="00D57015">
        <w:rPr>
          <w:rFonts w:ascii="Arial" w:hAnsi="Arial" w:cs="Arial"/>
          <w:sz w:val="22"/>
          <w:szCs w:val="22"/>
          <w:lang w:val="es-ES"/>
        </w:rPr>
        <w:t xml:space="preserve">Mejorar las capacidades de las partes interesadas mediante programas de formación completos, talleres, material informativo y capacitación permanente, adaptados a las necesidades de los distintos usuarios y ampliamente </w:t>
      </w:r>
      <w:r w:rsidR="004719C7">
        <w:rPr>
          <w:rFonts w:ascii="Arial" w:hAnsi="Arial" w:cs="Arial"/>
          <w:sz w:val="22"/>
          <w:szCs w:val="22"/>
          <w:lang w:val="es-ES"/>
        </w:rPr>
        <w:t>ofrecidos</w:t>
      </w:r>
      <w:r w:rsidRPr="00D57015">
        <w:rPr>
          <w:rFonts w:ascii="Arial" w:hAnsi="Arial" w:cs="Arial"/>
          <w:sz w:val="22"/>
          <w:szCs w:val="22"/>
          <w:lang w:val="es-ES"/>
        </w:rPr>
        <w:t xml:space="preserve"> por conducto de plataformas como el </w:t>
      </w:r>
      <w:proofErr w:type="spellStart"/>
      <w:r w:rsidRPr="00D57015">
        <w:rPr>
          <w:rFonts w:ascii="Arial" w:hAnsi="Arial" w:cs="Arial"/>
          <w:sz w:val="22"/>
          <w:szCs w:val="22"/>
          <w:lang w:val="es-ES"/>
        </w:rPr>
        <w:t>Ocean</w:t>
      </w:r>
      <w:proofErr w:type="spellEnd"/>
      <w:r w:rsidRPr="00D57015">
        <w:rPr>
          <w:rFonts w:ascii="Arial" w:hAnsi="Arial" w:cs="Arial"/>
          <w:sz w:val="22"/>
          <w:szCs w:val="22"/>
          <w:lang w:val="es-ES"/>
        </w:rPr>
        <w:t xml:space="preserve"> CD-Hub. Establecer plataformas de intercambio de conocimientos para difundir eficazmente mejores prácticas e innovaciones, promoviendo una comunidad mundial de prácticas que permita mejorar y adaptar continuamente las estrategias de gestión del océano. </w:t>
      </w:r>
      <w:r w:rsidR="007B373A">
        <w:rPr>
          <w:rFonts w:ascii="Arial" w:hAnsi="Arial" w:cs="Arial"/>
          <w:sz w:val="22"/>
          <w:szCs w:val="22"/>
          <w:lang w:val="es-ES"/>
        </w:rPr>
        <w:t>Asimismo</w:t>
      </w:r>
      <w:r w:rsidRPr="00D57015">
        <w:rPr>
          <w:rFonts w:ascii="Arial" w:hAnsi="Arial" w:cs="Arial"/>
          <w:sz w:val="22"/>
          <w:szCs w:val="22"/>
          <w:lang w:val="es-ES"/>
        </w:rPr>
        <w:t xml:space="preserve">, colaborar con los profesionales del océano que inician su carrera para fomentar el aprendizaje práctico y el liderazgo en la gobernanza y la ciencia </w:t>
      </w:r>
      <w:r w:rsidR="00D57015" w:rsidRPr="00D57015">
        <w:rPr>
          <w:rFonts w:ascii="Arial" w:hAnsi="Arial" w:cs="Arial"/>
          <w:sz w:val="22"/>
          <w:szCs w:val="22"/>
          <w:lang w:val="es-ES"/>
        </w:rPr>
        <w:t>oceánicas</w:t>
      </w:r>
      <w:r w:rsidRPr="00D57015">
        <w:rPr>
          <w:rFonts w:ascii="Arial" w:hAnsi="Arial" w:cs="Arial"/>
          <w:sz w:val="22"/>
          <w:szCs w:val="22"/>
          <w:lang w:val="es-ES"/>
        </w:rPr>
        <w:t>.</w:t>
      </w:r>
    </w:p>
    <w:p w14:paraId="4F8EEE73" w14:textId="64C16EAB" w:rsidR="00C54645" w:rsidRPr="00980E55" w:rsidRDefault="00C54645" w:rsidP="007A7DA0">
      <w:pPr>
        <w:pStyle w:val="Ttulo2"/>
        <w:numPr>
          <w:ilvl w:val="0"/>
          <w:numId w:val="42"/>
        </w:numPr>
        <w:spacing w:before="360" w:after="240"/>
        <w:ind w:left="567" w:hanging="567"/>
        <w:rPr>
          <w:rFonts w:ascii="Arial" w:hAnsi="Arial" w:cs="Arial"/>
          <w:b/>
          <w:bCs/>
          <w:color w:val="000000" w:themeColor="text1"/>
          <w:sz w:val="22"/>
          <w:szCs w:val="22"/>
          <w:lang w:val="es-ES"/>
        </w:rPr>
      </w:pPr>
      <w:bookmarkStart w:id="8" w:name="_Toc169082643"/>
      <w:r w:rsidRPr="00980E55">
        <w:rPr>
          <w:rFonts w:ascii="Arial" w:hAnsi="Arial" w:cs="Arial"/>
          <w:b/>
          <w:bCs/>
          <w:color w:val="000000" w:themeColor="text1"/>
          <w:sz w:val="22"/>
          <w:szCs w:val="22"/>
          <w:lang w:val="es-ES"/>
        </w:rPr>
        <w:t>Resultados y actividades</w:t>
      </w:r>
      <w:bookmarkEnd w:id="8"/>
    </w:p>
    <w:p w14:paraId="17BB8CBB" w14:textId="6C0BE756" w:rsidR="001D2420" w:rsidRPr="004C4B08" w:rsidRDefault="00C54645" w:rsidP="001D2420">
      <w:pPr>
        <w:pStyle w:val="Prrafodelista"/>
        <w:numPr>
          <w:ilvl w:val="0"/>
          <w:numId w:val="37"/>
        </w:numPr>
        <w:tabs>
          <w:tab w:val="left" w:pos="709"/>
        </w:tabs>
        <w:spacing w:after="240"/>
        <w:ind w:left="0" w:firstLine="0"/>
        <w:contextualSpacing w:val="0"/>
        <w:jc w:val="both"/>
        <w:rPr>
          <w:rFonts w:ascii="Arial" w:hAnsi="Arial" w:cs="Arial"/>
          <w:sz w:val="22"/>
          <w:szCs w:val="22"/>
          <w:lang w:val="es-ES"/>
        </w:rPr>
      </w:pPr>
      <w:r w:rsidRPr="004C4B08">
        <w:rPr>
          <w:rFonts w:ascii="Arial" w:hAnsi="Arial" w:cs="Arial"/>
          <w:sz w:val="22"/>
          <w:szCs w:val="22"/>
          <w:lang w:val="es-ES"/>
        </w:rPr>
        <w:t xml:space="preserve">Con el fin de alcanzar eficazmente los objetivos estratégicos indicados en la estrategia sobre </w:t>
      </w:r>
      <w:r w:rsidR="00343699">
        <w:rPr>
          <w:rFonts w:ascii="Arial" w:hAnsi="Arial" w:cs="Arial"/>
          <w:sz w:val="22"/>
          <w:szCs w:val="22"/>
          <w:lang w:val="es-ES"/>
        </w:rPr>
        <w:t xml:space="preserve">la </w:t>
      </w:r>
      <w:r w:rsidRPr="004C4B08">
        <w:rPr>
          <w:rFonts w:ascii="Arial" w:hAnsi="Arial" w:cs="Arial"/>
          <w:sz w:val="22"/>
          <w:szCs w:val="22"/>
          <w:lang w:val="es-ES"/>
        </w:rPr>
        <w:t>planificación y gestión sostenibles del océano (2024-2030), se han definido resultados específicos, cada uno de ellos respaldado por actividades clave (no exhaustivas)</w:t>
      </w:r>
      <w:r w:rsidR="00343699">
        <w:rPr>
          <w:rFonts w:ascii="Arial" w:hAnsi="Arial" w:cs="Arial"/>
          <w:sz w:val="22"/>
          <w:szCs w:val="22"/>
          <w:lang w:val="es-ES"/>
        </w:rPr>
        <w:t>,</w:t>
      </w:r>
      <w:r w:rsidRPr="004C4B08">
        <w:rPr>
          <w:rFonts w:ascii="Arial" w:hAnsi="Arial" w:cs="Arial"/>
          <w:sz w:val="22"/>
          <w:szCs w:val="22"/>
          <w:lang w:val="es-ES"/>
        </w:rPr>
        <w:t xml:space="preserve"> creadas como medidas prácticas para obtener progresos significativos. Los resultados y las actividades, que reposan en los puntos fuertes de la COI, están estrechamente vinculados a los programas y proyectos existentes, y se alinearán estratégicamente para contribuir a la planificación y gestión sostenibles del océano garantizando que, en lugar de quedar aislados, los esfuerzos se enmarquen en una acción coherente e integrada. Los </w:t>
      </w:r>
      <w:r w:rsidRPr="00867108">
        <w:rPr>
          <w:rFonts w:ascii="Arial" w:hAnsi="Arial" w:cs="Arial"/>
          <w:color w:val="2F5496" w:themeColor="accent1" w:themeShade="BF"/>
          <w:sz w:val="22"/>
          <w:szCs w:val="22"/>
          <w:lang w:val="es-ES"/>
        </w:rPr>
        <w:t>siguientes ejemplos</w:t>
      </w:r>
      <w:r w:rsidR="00867108" w:rsidRPr="00867108">
        <w:rPr>
          <w:rFonts w:ascii="Arial" w:hAnsi="Arial" w:cs="Arial"/>
          <w:color w:val="000000" w:themeColor="text1"/>
          <w:sz w:val="22"/>
          <w:szCs w:val="22"/>
          <w:lang w:val="es-ES"/>
        </w:rPr>
        <w:t xml:space="preserve">, </w:t>
      </w:r>
      <w:r w:rsidR="00867108">
        <w:rPr>
          <w:rFonts w:ascii="Arial" w:hAnsi="Arial" w:cs="Arial"/>
          <w:sz w:val="22"/>
          <w:szCs w:val="22"/>
          <w:lang w:val="es-ES"/>
        </w:rPr>
        <w:t xml:space="preserve">que </w:t>
      </w:r>
      <w:r w:rsidR="00867108" w:rsidRPr="004C4B08">
        <w:rPr>
          <w:rFonts w:ascii="Arial" w:hAnsi="Arial" w:cs="Arial"/>
          <w:sz w:val="22"/>
          <w:szCs w:val="22"/>
          <w:lang w:val="es-ES"/>
        </w:rPr>
        <w:t>representan un subconjunto de la gama más amplia de iniciativas</w:t>
      </w:r>
      <w:r w:rsidR="00867108">
        <w:rPr>
          <w:rFonts w:ascii="Arial" w:hAnsi="Arial" w:cs="Arial"/>
          <w:sz w:val="22"/>
          <w:szCs w:val="22"/>
          <w:lang w:val="es-ES"/>
        </w:rPr>
        <w:t>,</w:t>
      </w:r>
      <w:r w:rsidRPr="004C4B08">
        <w:rPr>
          <w:rFonts w:ascii="Arial" w:hAnsi="Arial" w:cs="Arial"/>
          <w:sz w:val="22"/>
          <w:szCs w:val="22"/>
          <w:lang w:val="es-ES"/>
        </w:rPr>
        <w:t xml:space="preserve"> ilustran los elementos esenciales para alcanzar estos objetivos estratégicos</w:t>
      </w:r>
      <w:r w:rsidR="00867108">
        <w:rPr>
          <w:rFonts w:ascii="Arial" w:hAnsi="Arial" w:cs="Arial"/>
          <w:sz w:val="22"/>
          <w:szCs w:val="22"/>
          <w:lang w:val="es-ES"/>
        </w:rPr>
        <w:t xml:space="preserve">. </w:t>
      </w:r>
      <w:r w:rsidRPr="004C4B08">
        <w:rPr>
          <w:rFonts w:ascii="Arial" w:hAnsi="Arial" w:cs="Arial"/>
          <w:sz w:val="22"/>
          <w:szCs w:val="22"/>
          <w:lang w:val="es-ES"/>
        </w:rPr>
        <w:t xml:space="preserve">En el </w:t>
      </w:r>
      <w:r w:rsidRPr="00343699">
        <w:rPr>
          <w:rFonts w:ascii="Arial" w:hAnsi="Arial" w:cs="Arial"/>
          <w:bCs/>
          <w:sz w:val="22"/>
          <w:szCs w:val="22"/>
          <w:u w:val="single"/>
          <w:lang w:val="es-ES"/>
        </w:rPr>
        <w:t>cuadro 1</w:t>
      </w:r>
      <w:r w:rsidRPr="00343699">
        <w:rPr>
          <w:rFonts w:ascii="Arial" w:hAnsi="Arial" w:cs="Arial"/>
          <w:sz w:val="22"/>
          <w:szCs w:val="22"/>
          <w:lang w:val="es-ES"/>
        </w:rPr>
        <w:t xml:space="preserve"> figura</w:t>
      </w:r>
      <w:r w:rsidRPr="004C4B08">
        <w:rPr>
          <w:rFonts w:ascii="Arial" w:hAnsi="Arial" w:cs="Arial"/>
          <w:sz w:val="22"/>
          <w:szCs w:val="22"/>
          <w:lang w:val="es-ES"/>
        </w:rPr>
        <w:t xml:space="preserve"> una lista </w:t>
      </w:r>
      <w:r w:rsidR="00867108">
        <w:rPr>
          <w:rFonts w:ascii="Arial" w:hAnsi="Arial" w:cs="Arial"/>
          <w:sz w:val="22"/>
          <w:szCs w:val="22"/>
          <w:lang w:val="es-ES"/>
        </w:rPr>
        <w:t>completa</w:t>
      </w:r>
      <w:r w:rsidRPr="004C4B08">
        <w:rPr>
          <w:rFonts w:ascii="Arial" w:hAnsi="Arial" w:cs="Arial"/>
          <w:sz w:val="22"/>
          <w:szCs w:val="22"/>
          <w:lang w:val="es-ES"/>
        </w:rPr>
        <w:t xml:space="preserve"> de las actividades necesarias para lograr estos resultados. </w:t>
      </w:r>
    </w:p>
    <w:p w14:paraId="7D2A2688" w14:textId="75C2EAA9" w:rsidR="00C54645" w:rsidRPr="004C4B08" w:rsidRDefault="00C54645" w:rsidP="007A7DA0">
      <w:pPr>
        <w:pStyle w:val="Ttulo4"/>
        <w:numPr>
          <w:ilvl w:val="0"/>
          <w:numId w:val="34"/>
        </w:numPr>
        <w:spacing w:before="0" w:after="120"/>
        <w:ind w:left="1276" w:hanging="567"/>
        <w:jc w:val="both"/>
        <w:rPr>
          <w:rFonts w:ascii="Arial" w:hAnsi="Arial" w:cs="Arial"/>
          <w:sz w:val="22"/>
          <w:szCs w:val="22"/>
          <w:lang w:val="es-ES"/>
        </w:rPr>
      </w:pPr>
      <w:bookmarkStart w:id="9" w:name="_heading=h.3bokqfed6euz" w:colFirst="0" w:colLast="0"/>
      <w:bookmarkEnd w:id="9"/>
      <w:r w:rsidRPr="004C4B08">
        <w:rPr>
          <w:rFonts w:ascii="Arial" w:hAnsi="Arial" w:cs="Arial"/>
          <w:sz w:val="22"/>
          <w:szCs w:val="22"/>
          <w:lang w:val="es-ES"/>
        </w:rPr>
        <w:t xml:space="preserve">Fortalecimiento de los enfoques de políticas de planificación y gestión del océano, respaldados por herramientas y </w:t>
      </w:r>
      <w:r w:rsidR="000A769F">
        <w:rPr>
          <w:rFonts w:ascii="Arial" w:hAnsi="Arial" w:cs="Arial"/>
          <w:sz w:val="22"/>
          <w:szCs w:val="22"/>
          <w:lang w:val="es-ES"/>
        </w:rPr>
        <w:t>datos</w:t>
      </w:r>
      <w:r w:rsidRPr="004C4B08">
        <w:rPr>
          <w:rFonts w:ascii="Arial" w:hAnsi="Arial" w:cs="Arial"/>
          <w:sz w:val="22"/>
          <w:szCs w:val="22"/>
          <w:lang w:val="es-ES"/>
        </w:rPr>
        <w:t xml:space="preserve"> científic</w:t>
      </w:r>
      <w:r w:rsidR="000A769F">
        <w:rPr>
          <w:rFonts w:ascii="Arial" w:hAnsi="Arial" w:cs="Arial"/>
          <w:sz w:val="22"/>
          <w:szCs w:val="22"/>
          <w:lang w:val="es-ES"/>
        </w:rPr>
        <w:t>o</w:t>
      </w:r>
      <w:r w:rsidRPr="004C4B08">
        <w:rPr>
          <w:rFonts w:ascii="Arial" w:hAnsi="Arial" w:cs="Arial"/>
          <w:sz w:val="22"/>
          <w:szCs w:val="22"/>
          <w:lang w:val="es-ES"/>
        </w:rPr>
        <w:t>s</w:t>
      </w:r>
    </w:p>
    <w:p w14:paraId="351AEC51" w14:textId="50FDD226" w:rsidR="00CB1FE7" w:rsidRPr="004C4B08" w:rsidRDefault="00C54645" w:rsidP="007A7DA0">
      <w:pPr>
        <w:spacing w:after="240"/>
        <w:ind w:left="1276"/>
        <w:jc w:val="both"/>
        <w:rPr>
          <w:rFonts w:ascii="Arial" w:hAnsi="Arial" w:cs="Arial"/>
          <w:sz w:val="22"/>
          <w:szCs w:val="22"/>
          <w:lang w:val="es-ES"/>
        </w:rPr>
      </w:pPr>
      <w:r w:rsidRPr="004C4B08">
        <w:rPr>
          <w:rFonts w:ascii="Arial" w:hAnsi="Arial" w:cs="Arial"/>
          <w:sz w:val="22"/>
          <w:szCs w:val="22"/>
          <w:lang w:val="es-ES"/>
        </w:rPr>
        <w:t>La estrategia pretende reforzar las políticas marinas</w:t>
      </w:r>
      <w:r w:rsidR="002024E7">
        <w:rPr>
          <w:rFonts w:ascii="Arial" w:hAnsi="Arial" w:cs="Arial"/>
          <w:sz w:val="22"/>
          <w:szCs w:val="22"/>
          <w:lang w:val="es-ES"/>
        </w:rPr>
        <w:t>,</w:t>
      </w:r>
      <w:r w:rsidRPr="004C4B08">
        <w:rPr>
          <w:rFonts w:ascii="Arial" w:hAnsi="Arial" w:cs="Arial"/>
          <w:sz w:val="22"/>
          <w:szCs w:val="22"/>
          <w:lang w:val="es-ES"/>
        </w:rPr>
        <w:t xml:space="preserve"> aprovechando los amplios conocimientos científicos de los ámbitos programáticos de la COI</w:t>
      </w:r>
      <w:r w:rsidR="002024E7">
        <w:rPr>
          <w:rFonts w:ascii="Arial" w:hAnsi="Arial" w:cs="Arial"/>
          <w:sz w:val="22"/>
          <w:szCs w:val="22"/>
          <w:lang w:val="es-ES"/>
        </w:rPr>
        <w:t>,</w:t>
      </w:r>
      <w:r w:rsidRPr="004C4B08">
        <w:rPr>
          <w:rFonts w:ascii="Arial" w:hAnsi="Arial" w:cs="Arial"/>
          <w:sz w:val="22"/>
          <w:szCs w:val="22"/>
          <w:lang w:val="es-ES"/>
        </w:rPr>
        <w:t xml:space="preserve"> y facilita el intercambio de conocimientos y experiencias entre</w:t>
      </w:r>
      <w:r w:rsidR="00D4314C">
        <w:rPr>
          <w:rFonts w:ascii="Arial" w:hAnsi="Arial" w:cs="Arial"/>
          <w:sz w:val="22"/>
          <w:szCs w:val="22"/>
          <w:lang w:val="es-ES"/>
        </w:rPr>
        <w:t xml:space="preserve"> países</w:t>
      </w:r>
      <w:r w:rsidRPr="004C4B08">
        <w:rPr>
          <w:rFonts w:ascii="Arial" w:hAnsi="Arial" w:cs="Arial"/>
          <w:sz w:val="22"/>
          <w:szCs w:val="22"/>
          <w:lang w:val="es-ES"/>
        </w:rPr>
        <w:t xml:space="preserve">. Se seguirá definiendo estratégicamente las prioridades de investigación científica necesarias para una planificación y gestión sostenibles del océano. La estrategia se centrará tanto en la elaboración de orientaciones y normas mundiales para la planificación y gestión del océano, basándose en los conocimientos y datos generados por </w:t>
      </w:r>
      <w:r w:rsidR="00D4314C">
        <w:rPr>
          <w:rFonts w:ascii="Arial" w:hAnsi="Arial" w:cs="Arial"/>
          <w:sz w:val="22"/>
          <w:szCs w:val="22"/>
          <w:lang w:val="es-ES"/>
        </w:rPr>
        <w:t>los</w:t>
      </w:r>
      <w:r w:rsidRPr="004C4B08">
        <w:rPr>
          <w:rFonts w:ascii="Arial" w:hAnsi="Arial" w:cs="Arial"/>
          <w:sz w:val="22"/>
          <w:szCs w:val="22"/>
          <w:lang w:val="es-ES"/>
        </w:rPr>
        <w:t xml:space="preserve"> programas, como en los nuevos descubrimientos científicos que deb</w:t>
      </w:r>
      <w:r w:rsidR="008866EA">
        <w:rPr>
          <w:rFonts w:ascii="Arial" w:hAnsi="Arial" w:cs="Arial"/>
          <w:sz w:val="22"/>
          <w:szCs w:val="22"/>
          <w:lang w:val="es-ES"/>
        </w:rPr>
        <w:t>a</w:t>
      </w:r>
      <w:r w:rsidRPr="004C4B08">
        <w:rPr>
          <w:rFonts w:ascii="Arial" w:hAnsi="Arial" w:cs="Arial"/>
          <w:sz w:val="22"/>
          <w:szCs w:val="22"/>
          <w:lang w:val="es-ES"/>
        </w:rPr>
        <w:t xml:space="preserve">n tenerse en cuenta en la formulación de políticas y en los procesos y herramientas de gestión oceánica. La estrategia también respalda la creación colectiva de herramientas que integren a la perfección las conclusiones y recomendaciones científicas en los procesos de </w:t>
      </w:r>
      <w:r w:rsidRPr="004C4B08">
        <w:rPr>
          <w:rFonts w:ascii="Arial" w:hAnsi="Arial" w:cs="Arial"/>
          <w:sz w:val="22"/>
          <w:szCs w:val="22"/>
          <w:lang w:val="es-ES"/>
        </w:rPr>
        <w:lastRenderedPageBreak/>
        <w:t>planificación. De este modo se garantiza que la toma de decisiones con base empírica fundamente la gestión de los recursos y ecosistemas oceánicos. Se procurará documentar los beneficios ambientales y socioeconómicos de la planificación y gestión sostenibles del océano en todos los países.</w:t>
      </w:r>
    </w:p>
    <w:p w14:paraId="25946AAB" w14:textId="77777777" w:rsidR="00C54645" w:rsidRPr="004C4B08" w:rsidRDefault="00C54645" w:rsidP="00716ED5">
      <w:pPr>
        <w:pBdr>
          <w:top w:val="single" w:sz="4" w:space="1" w:color="auto"/>
          <w:left w:val="single" w:sz="4" w:space="4" w:color="auto"/>
          <w:bottom w:val="single" w:sz="4" w:space="1" w:color="auto"/>
          <w:right w:val="single" w:sz="4" w:space="4" w:color="auto"/>
        </w:pBdr>
        <w:spacing w:after="120"/>
        <w:ind w:left="720"/>
        <w:jc w:val="both"/>
        <w:rPr>
          <w:rFonts w:ascii="Arial" w:hAnsi="Arial" w:cs="Arial"/>
          <w:b/>
          <w:sz w:val="22"/>
          <w:szCs w:val="22"/>
          <w:lang w:val="es-ES"/>
        </w:rPr>
      </w:pPr>
      <w:r w:rsidRPr="004C4B08">
        <w:rPr>
          <w:rFonts w:ascii="Arial" w:hAnsi="Arial" w:cs="Arial"/>
          <w:b/>
          <w:bCs/>
          <w:sz w:val="22"/>
          <w:szCs w:val="22"/>
          <w:lang w:val="es-ES"/>
        </w:rPr>
        <w:t>Actividad: Elaboración de directrices y asistencia para la planificación</w:t>
      </w:r>
    </w:p>
    <w:p w14:paraId="49CCD9B8" w14:textId="509FC40D" w:rsidR="00C54645" w:rsidRPr="004C4B08" w:rsidRDefault="00E01AC3" w:rsidP="00C5250E">
      <w:pPr>
        <w:pBdr>
          <w:top w:val="single" w:sz="4" w:space="1" w:color="auto"/>
          <w:left w:val="single" w:sz="4" w:space="4" w:color="auto"/>
          <w:bottom w:val="single" w:sz="4" w:space="1" w:color="auto"/>
          <w:right w:val="single" w:sz="4" w:space="4" w:color="auto"/>
        </w:pBdr>
        <w:ind w:left="720"/>
        <w:rPr>
          <w:rFonts w:ascii="Arial" w:hAnsi="Arial" w:cs="Arial"/>
          <w:sz w:val="22"/>
          <w:szCs w:val="22"/>
          <w:lang w:val="es-ES"/>
        </w:rPr>
      </w:pPr>
      <w:r>
        <w:rPr>
          <w:rFonts w:ascii="Arial" w:hAnsi="Arial" w:cs="Arial"/>
          <w:sz w:val="22"/>
          <w:szCs w:val="22"/>
          <w:lang w:val="es-ES"/>
        </w:rPr>
        <w:t>Para</w:t>
      </w:r>
      <w:r w:rsidR="00C54645" w:rsidRPr="004C4B08">
        <w:rPr>
          <w:rFonts w:ascii="Arial" w:hAnsi="Arial" w:cs="Arial"/>
          <w:sz w:val="22"/>
          <w:szCs w:val="22"/>
          <w:lang w:val="es-ES"/>
        </w:rPr>
        <w:t xml:space="preserve"> apoyar el logro de este resultado, se comenzará a elaborar y difundir directrices y prácticas globales para la planificación y gestión del océano. Se proporcionará apoyo técnico y asistencia para la planificación a fin de ayudar a los Estados Miembros a incorporar estas normas a sus marcos de gobernanza. Esta iniciativa está concebida para integrar las prácticas de planificación y gestión sostenibles del océano en todos los niveles de gobernanza, sentando unas bases sólidas para la elaboración de políticas y promoviendo un enfoque unificado del uso sostenible y la conservación del océano.</w:t>
      </w:r>
    </w:p>
    <w:p w14:paraId="784F1278" w14:textId="5A29875B" w:rsidR="00C5250E" w:rsidRPr="004C4B08" w:rsidRDefault="00C5250E" w:rsidP="007A7DA0">
      <w:pPr>
        <w:pStyle w:val="Ttulo4"/>
        <w:numPr>
          <w:ilvl w:val="0"/>
          <w:numId w:val="34"/>
        </w:numPr>
        <w:spacing w:before="240" w:after="120"/>
        <w:ind w:left="1276" w:hanging="567"/>
        <w:jc w:val="both"/>
        <w:rPr>
          <w:rFonts w:ascii="Arial" w:hAnsi="Arial" w:cs="Arial"/>
          <w:sz w:val="22"/>
          <w:szCs w:val="22"/>
          <w:lang w:val="es-ES"/>
        </w:rPr>
      </w:pPr>
      <w:bookmarkStart w:id="10" w:name="_heading=h.p4qv7st87eos" w:colFirst="0" w:colLast="0"/>
      <w:bookmarkEnd w:id="10"/>
      <w:r w:rsidRPr="004C4B08">
        <w:rPr>
          <w:rFonts w:ascii="Arial" w:hAnsi="Arial" w:cs="Arial"/>
          <w:sz w:val="22"/>
          <w:szCs w:val="22"/>
          <w:lang w:val="es-ES"/>
        </w:rPr>
        <w:t xml:space="preserve">Mejora de la observación del océano y del intercambio de datos para facilitar los procesos de planificación y formulación de políticas </w:t>
      </w:r>
    </w:p>
    <w:p w14:paraId="0C848247" w14:textId="040A7682" w:rsidR="00C5250E" w:rsidRPr="004C4B08" w:rsidRDefault="00C5250E" w:rsidP="007A7DA0">
      <w:pPr>
        <w:spacing w:after="240"/>
        <w:ind w:left="1276"/>
        <w:jc w:val="both"/>
        <w:rPr>
          <w:rFonts w:ascii="Arial" w:hAnsi="Arial" w:cs="Arial"/>
          <w:sz w:val="22"/>
          <w:szCs w:val="22"/>
          <w:lang w:val="es-ES"/>
        </w:rPr>
      </w:pPr>
      <w:r w:rsidRPr="004C4B08">
        <w:rPr>
          <w:rFonts w:ascii="Arial" w:hAnsi="Arial" w:cs="Arial"/>
          <w:sz w:val="22"/>
          <w:szCs w:val="22"/>
          <w:lang w:val="es-ES"/>
        </w:rPr>
        <w:t xml:space="preserve">La estrategia tendrá por finalidad mejorar la disponibilidad y accesibilidad de los datos científicos y de observación oceánica pertinentes y necesarios, facilitando el intercambio y la coordinación entre las comunidades de gestión de datos y del océano, </w:t>
      </w:r>
      <w:r w:rsidR="00061180">
        <w:rPr>
          <w:rFonts w:ascii="Arial" w:hAnsi="Arial" w:cs="Arial"/>
          <w:sz w:val="22"/>
          <w:szCs w:val="22"/>
          <w:lang w:val="es-ES"/>
        </w:rPr>
        <w:t>incluido</w:t>
      </w:r>
      <w:r w:rsidRPr="004C4B08">
        <w:rPr>
          <w:rFonts w:ascii="Arial" w:hAnsi="Arial" w:cs="Arial"/>
          <w:sz w:val="22"/>
          <w:szCs w:val="22"/>
          <w:lang w:val="es-ES"/>
        </w:rPr>
        <w:t xml:space="preserve"> el sector privado. El aprovechamiento de la infraestructura colectiva de datos </w:t>
      </w:r>
      <w:r w:rsidR="00C95FA8">
        <w:rPr>
          <w:rFonts w:ascii="Arial" w:hAnsi="Arial" w:cs="Arial"/>
          <w:sz w:val="22"/>
          <w:szCs w:val="22"/>
          <w:lang w:val="es-ES"/>
        </w:rPr>
        <w:t>creada</w:t>
      </w:r>
      <w:r w:rsidRPr="004C4B08">
        <w:rPr>
          <w:rFonts w:ascii="Arial" w:hAnsi="Arial" w:cs="Arial"/>
          <w:sz w:val="22"/>
          <w:szCs w:val="22"/>
          <w:lang w:val="es-ES"/>
        </w:rPr>
        <w:t xml:space="preserve"> por los programas de la COI, como el Sistema de Datos e Información Oceanográficos (ODIS), tiene por objeto proporcionar datos completos y en tiempo real sobre aspectos oceanográficos, ecológicos, socioculturales y económicos. La estrategia abordará las lagunas y necesidades en materia de observación, abogando por sistemas de datos federados y repartidos, iniciativas de datos abiertos y la armonización de las variables de observación del océano para garantizar que los datos se ajusten a su finalidad y contribuyan a una toma de decisiones fundamentada. </w:t>
      </w:r>
    </w:p>
    <w:p w14:paraId="281E37D7" w14:textId="77777777" w:rsidR="00C5250E" w:rsidRPr="004C4B08" w:rsidRDefault="00C5250E" w:rsidP="00716ED5">
      <w:pPr>
        <w:pBdr>
          <w:top w:val="single" w:sz="4" w:space="1" w:color="auto"/>
          <w:left w:val="single" w:sz="4" w:space="4" w:color="auto"/>
          <w:bottom w:val="single" w:sz="4" w:space="1" w:color="auto"/>
          <w:right w:val="single" w:sz="4" w:space="4" w:color="auto"/>
        </w:pBdr>
        <w:spacing w:after="120"/>
        <w:ind w:left="720"/>
        <w:jc w:val="both"/>
        <w:rPr>
          <w:rFonts w:ascii="Arial" w:hAnsi="Arial" w:cs="Arial"/>
          <w:sz w:val="22"/>
          <w:szCs w:val="22"/>
          <w:lang w:val="es-ES"/>
        </w:rPr>
      </w:pPr>
      <w:r w:rsidRPr="004C4B08">
        <w:rPr>
          <w:rFonts w:ascii="Arial" w:hAnsi="Arial" w:cs="Arial"/>
          <w:b/>
          <w:bCs/>
          <w:sz w:val="22"/>
          <w:szCs w:val="22"/>
          <w:lang w:val="es-ES"/>
        </w:rPr>
        <w:t>Actividad: Observación y recogida y gestión de datos</w:t>
      </w:r>
    </w:p>
    <w:p w14:paraId="1AEB880D" w14:textId="50AFDB10" w:rsidR="00203442" w:rsidRPr="004C4B08" w:rsidRDefault="00C5250E" w:rsidP="00C5250E">
      <w:pPr>
        <w:pBdr>
          <w:top w:val="single" w:sz="4" w:space="1" w:color="auto"/>
          <w:left w:val="single" w:sz="4" w:space="4" w:color="auto"/>
          <w:bottom w:val="single" w:sz="4" w:space="1" w:color="auto"/>
          <w:right w:val="single" w:sz="4" w:space="4" w:color="auto"/>
        </w:pBdr>
        <w:ind w:left="720"/>
        <w:jc w:val="both"/>
        <w:rPr>
          <w:rFonts w:ascii="Arial" w:hAnsi="Arial" w:cs="Arial"/>
          <w:color w:val="0D0D0D"/>
          <w:sz w:val="22"/>
          <w:szCs w:val="22"/>
          <w:lang w:val="es-ES"/>
        </w:rPr>
      </w:pPr>
      <w:r w:rsidRPr="004C4B08">
        <w:rPr>
          <w:rFonts w:ascii="Arial" w:hAnsi="Arial" w:cs="Arial"/>
          <w:sz w:val="22"/>
          <w:szCs w:val="22"/>
          <w:lang w:val="es-ES"/>
        </w:rPr>
        <w:t xml:space="preserve">Esta actividad, piedra angular de la estrategia, se caracteriza por la mejora táctica de las prácticas de observación, recopilación de datos y gestión mediante la incorporación de herramientas y tecnologías innovadoras. Esto incluye el compromiso de perfeccionar los métodos de recogida de datos y elaborar sistemas sólidos de intercambio de datos. Se pondrán en marcha iniciativas específicas de formación para dotar a los responsables de la toma de decisiones y a las partes interesadas de las competencias necesarias para utilizar eficazmente estas herramientas de seguimiento, evaluación y toma de decisiones fundamentadas, apuntalando así la gestión sostenible del océano. </w:t>
      </w:r>
    </w:p>
    <w:p w14:paraId="52C93924" w14:textId="43A2F35E" w:rsidR="00C54645" w:rsidRPr="004C4B08" w:rsidRDefault="00C54645" w:rsidP="007A7DA0">
      <w:pPr>
        <w:pStyle w:val="Ttulo4"/>
        <w:numPr>
          <w:ilvl w:val="0"/>
          <w:numId w:val="34"/>
        </w:numPr>
        <w:spacing w:before="240" w:after="120"/>
        <w:ind w:left="1276" w:hanging="567"/>
        <w:jc w:val="both"/>
        <w:rPr>
          <w:rFonts w:ascii="Arial" w:hAnsi="Arial" w:cs="Arial"/>
          <w:sz w:val="22"/>
          <w:szCs w:val="22"/>
          <w:lang w:val="es-ES"/>
        </w:rPr>
      </w:pPr>
      <w:r w:rsidRPr="004C4B08">
        <w:rPr>
          <w:rFonts w:ascii="Arial" w:hAnsi="Arial" w:cs="Arial"/>
          <w:sz w:val="22"/>
          <w:szCs w:val="22"/>
          <w:lang w:val="es-ES"/>
        </w:rPr>
        <w:t xml:space="preserve">Mayor colaboración intersectorial y transfronteriza </w:t>
      </w:r>
    </w:p>
    <w:p w14:paraId="6425B0A3" w14:textId="14F63F4D" w:rsidR="007A7DA0" w:rsidRDefault="00C54645" w:rsidP="007A7DA0">
      <w:pPr>
        <w:spacing w:after="240"/>
        <w:ind w:left="1276"/>
        <w:jc w:val="both"/>
        <w:rPr>
          <w:rFonts w:ascii="Arial" w:hAnsi="Arial" w:cs="Arial"/>
          <w:sz w:val="22"/>
          <w:szCs w:val="22"/>
          <w:lang w:val="es-ES"/>
        </w:rPr>
      </w:pPr>
      <w:r w:rsidRPr="004C4B08">
        <w:rPr>
          <w:rFonts w:ascii="Arial" w:hAnsi="Arial" w:cs="Arial"/>
          <w:sz w:val="22"/>
          <w:szCs w:val="22"/>
          <w:lang w:val="es-ES"/>
        </w:rPr>
        <w:t>La estrategia, reconociendo la naturaleza interconectada de los desafíos oceánicos, prom</w:t>
      </w:r>
      <w:r w:rsidR="00735116">
        <w:rPr>
          <w:rFonts w:ascii="Arial" w:hAnsi="Arial" w:cs="Arial"/>
          <w:sz w:val="22"/>
          <w:szCs w:val="22"/>
          <w:lang w:val="es-ES"/>
        </w:rPr>
        <w:t>ueve</w:t>
      </w:r>
      <w:r w:rsidRPr="004C4B08">
        <w:rPr>
          <w:rFonts w:ascii="Arial" w:hAnsi="Arial" w:cs="Arial"/>
          <w:sz w:val="22"/>
          <w:szCs w:val="22"/>
          <w:lang w:val="es-ES"/>
        </w:rPr>
        <w:t xml:space="preserve"> enfoques integradores de colaboración y coordinación intersectoriales y transfronterizas. Partiendo de la base de colaboración sentada por programas</w:t>
      </w:r>
      <w:r w:rsidR="00735116">
        <w:rPr>
          <w:rFonts w:ascii="Arial" w:hAnsi="Arial" w:cs="Arial"/>
          <w:sz w:val="22"/>
          <w:szCs w:val="22"/>
          <w:lang w:val="es-ES"/>
        </w:rPr>
        <w:t xml:space="preserve"> e iniciativas</w:t>
      </w:r>
      <w:r w:rsidRPr="004C4B08">
        <w:rPr>
          <w:rFonts w:ascii="Arial" w:hAnsi="Arial" w:cs="Arial"/>
          <w:sz w:val="22"/>
          <w:szCs w:val="22"/>
          <w:lang w:val="es-ES"/>
        </w:rPr>
        <w:t xml:space="preserve"> existentes de la COI, </w:t>
      </w:r>
      <w:r w:rsidR="00735116">
        <w:rPr>
          <w:rFonts w:ascii="Arial" w:hAnsi="Arial" w:cs="Arial"/>
          <w:sz w:val="22"/>
          <w:szCs w:val="22"/>
          <w:lang w:val="es-ES"/>
        </w:rPr>
        <w:t xml:space="preserve">como el Decenio del Océano, </w:t>
      </w:r>
      <w:r w:rsidRPr="004C4B08">
        <w:rPr>
          <w:rFonts w:ascii="Arial" w:hAnsi="Arial" w:cs="Arial"/>
          <w:sz w:val="22"/>
          <w:szCs w:val="22"/>
          <w:lang w:val="es-ES"/>
        </w:rPr>
        <w:t>fomenta las alianzas con diversos titulares de derechos y partes interesadas, incluidos sectores como la energía, el turismo, el transporte marítimo y la pesca. La estrategia facilita el diálogo y la planificación integrada para ayudar a encontrar sinergias, equilibrios y soluciones beneficiosas para todos que contribuyan a una gestión sostenible del océano.</w:t>
      </w:r>
      <w:r w:rsidR="007A7DA0">
        <w:rPr>
          <w:rFonts w:ascii="Arial" w:hAnsi="Arial" w:cs="Arial"/>
          <w:sz w:val="22"/>
          <w:szCs w:val="22"/>
          <w:lang w:val="es-ES"/>
        </w:rPr>
        <w:br w:type="page"/>
      </w:r>
    </w:p>
    <w:p w14:paraId="3C8D2ABE" w14:textId="77777777" w:rsidR="00C54645" w:rsidRPr="004C4B08" w:rsidRDefault="00C54645" w:rsidP="00716ED5">
      <w:pPr>
        <w:pBdr>
          <w:top w:val="single" w:sz="4" w:space="1" w:color="auto"/>
          <w:left w:val="single" w:sz="4" w:space="4" w:color="auto"/>
          <w:bottom w:val="single" w:sz="4" w:space="1" w:color="auto"/>
          <w:right w:val="single" w:sz="4" w:space="4" w:color="auto"/>
        </w:pBdr>
        <w:spacing w:after="120"/>
        <w:ind w:left="720"/>
        <w:jc w:val="both"/>
        <w:rPr>
          <w:rFonts w:ascii="Arial" w:hAnsi="Arial" w:cs="Arial"/>
          <w:b/>
          <w:sz w:val="22"/>
          <w:szCs w:val="22"/>
          <w:lang w:val="es-ES"/>
        </w:rPr>
      </w:pPr>
      <w:r w:rsidRPr="004C4B08">
        <w:rPr>
          <w:rFonts w:ascii="Arial" w:hAnsi="Arial" w:cs="Arial"/>
          <w:b/>
          <w:bCs/>
          <w:sz w:val="22"/>
          <w:szCs w:val="22"/>
          <w:lang w:val="es-ES"/>
        </w:rPr>
        <w:lastRenderedPageBreak/>
        <w:t>Actividad: Colaboración y participación de las partes interesadas</w:t>
      </w:r>
    </w:p>
    <w:p w14:paraId="0EAD84E8" w14:textId="20052E02" w:rsidR="00C54645" w:rsidRPr="004C4B08" w:rsidRDefault="00C54645" w:rsidP="00C5250E">
      <w:pPr>
        <w:pBdr>
          <w:top w:val="single" w:sz="4" w:space="1" w:color="auto"/>
          <w:left w:val="single" w:sz="4" w:space="4" w:color="auto"/>
          <w:bottom w:val="single" w:sz="4" w:space="1" w:color="auto"/>
          <w:right w:val="single" w:sz="4" w:space="4" w:color="auto"/>
        </w:pBdr>
        <w:ind w:left="720"/>
        <w:jc w:val="both"/>
        <w:rPr>
          <w:rFonts w:ascii="Arial" w:hAnsi="Arial" w:cs="Arial"/>
          <w:sz w:val="22"/>
          <w:szCs w:val="22"/>
          <w:lang w:val="es-ES"/>
        </w:rPr>
      </w:pPr>
      <w:r w:rsidRPr="004C4B08">
        <w:rPr>
          <w:rFonts w:ascii="Arial" w:hAnsi="Arial" w:cs="Arial"/>
          <w:sz w:val="22"/>
          <w:szCs w:val="22"/>
          <w:lang w:val="es-ES"/>
        </w:rPr>
        <w:t xml:space="preserve">Para </w:t>
      </w:r>
      <w:r w:rsidR="006B3974">
        <w:rPr>
          <w:rFonts w:ascii="Arial" w:hAnsi="Arial" w:cs="Arial"/>
          <w:sz w:val="22"/>
          <w:szCs w:val="22"/>
          <w:lang w:val="es-ES"/>
        </w:rPr>
        <w:t>facilitar</w:t>
      </w:r>
      <w:r w:rsidRPr="004C4B08">
        <w:rPr>
          <w:rFonts w:ascii="Arial" w:hAnsi="Arial" w:cs="Arial"/>
          <w:sz w:val="22"/>
          <w:szCs w:val="22"/>
          <w:lang w:val="es-ES"/>
        </w:rPr>
        <w:t xml:space="preserve"> el logro de este resultado, se establecerá un sólido marco de colaboración que incluya a diversos grupos, entre ellos los pueblos indígenas y las comunidades locales, en el proceso de planificación del océano. Se reforzarán las redes y se mejorarán las estrategias de comunicación para fomentar la colaboración internacional y la participación de múltiples partes interesadas. Se elaborarán orientaciones para el establecimiento de plataformas de diálogo inclusivo </w:t>
      </w:r>
      <w:r w:rsidR="00B5550F">
        <w:rPr>
          <w:rFonts w:ascii="Arial" w:hAnsi="Arial" w:cs="Arial"/>
          <w:sz w:val="22"/>
          <w:szCs w:val="22"/>
          <w:lang w:val="es-ES"/>
        </w:rPr>
        <w:t xml:space="preserve">e </w:t>
      </w:r>
      <w:r w:rsidRPr="004C4B08">
        <w:rPr>
          <w:rFonts w:ascii="Arial" w:hAnsi="Arial" w:cs="Arial"/>
          <w:sz w:val="22"/>
          <w:szCs w:val="22"/>
          <w:lang w:val="es-ES"/>
        </w:rPr>
        <w:t xml:space="preserve">intercambio de buenas prácticas </w:t>
      </w:r>
      <w:r w:rsidR="00D12CE3">
        <w:rPr>
          <w:rFonts w:ascii="Arial" w:hAnsi="Arial" w:cs="Arial"/>
          <w:sz w:val="22"/>
          <w:szCs w:val="22"/>
          <w:lang w:val="es-ES"/>
        </w:rPr>
        <w:t>sobre</w:t>
      </w:r>
      <w:r w:rsidRPr="004C4B08">
        <w:rPr>
          <w:rFonts w:ascii="Arial" w:hAnsi="Arial" w:cs="Arial"/>
          <w:sz w:val="22"/>
          <w:szCs w:val="22"/>
          <w:lang w:val="es-ES"/>
        </w:rPr>
        <w:t xml:space="preserve"> gestión conjunta, con el fin de incorporar los conocimientos indígenas y locales, promover un enfoque de la gobernanza del océano que tenga en cuenta la cultura y </w:t>
      </w:r>
      <w:r w:rsidR="00D12CE3">
        <w:rPr>
          <w:rFonts w:ascii="Arial" w:hAnsi="Arial" w:cs="Arial"/>
          <w:sz w:val="22"/>
          <w:szCs w:val="22"/>
          <w:lang w:val="es-ES"/>
        </w:rPr>
        <w:t>seguir enriqueciendo</w:t>
      </w:r>
      <w:r w:rsidRPr="004C4B08">
        <w:rPr>
          <w:rFonts w:ascii="Arial" w:hAnsi="Arial" w:cs="Arial"/>
          <w:sz w:val="22"/>
          <w:szCs w:val="22"/>
          <w:lang w:val="es-ES"/>
        </w:rPr>
        <w:t xml:space="preserve"> las colaboraciones intersectoriales y transfronterizas.</w:t>
      </w:r>
    </w:p>
    <w:p w14:paraId="7B816687" w14:textId="39A5C1CD" w:rsidR="00C54645" w:rsidRPr="004C4B08" w:rsidRDefault="00C54645" w:rsidP="007A7DA0">
      <w:pPr>
        <w:pStyle w:val="Ttulo4"/>
        <w:numPr>
          <w:ilvl w:val="0"/>
          <w:numId w:val="34"/>
        </w:numPr>
        <w:spacing w:before="240" w:after="120"/>
        <w:ind w:left="1276" w:hanging="567"/>
        <w:jc w:val="both"/>
        <w:rPr>
          <w:rFonts w:ascii="Arial" w:hAnsi="Arial" w:cs="Arial"/>
          <w:sz w:val="22"/>
          <w:szCs w:val="22"/>
          <w:lang w:val="es-ES"/>
        </w:rPr>
      </w:pPr>
      <w:bookmarkStart w:id="11" w:name="_heading=h.6htlemnpztcn" w:colFirst="0" w:colLast="0"/>
      <w:bookmarkEnd w:id="11"/>
      <w:r w:rsidRPr="004C4B08">
        <w:rPr>
          <w:rFonts w:ascii="Arial" w:hAnsi="Arial" w:cs="Arial"/>
          <w:sz w:val="22"/>
          <w:szCs w:val="22"/>
          <w:lang w:val="es-ES"/>
        </w:rPr>
        <w:t>Mayor conocimiento/capacidad de las partes interesadas</w:t>
      </w:r>
    </w:p>
    <w:p w14:paraId="1C658426" w14:textId="58F61837" w:rsidR="001F7FE0" w:rsidRPr="004C4B08" w:rsidRDefault="00C54645" w:rsidP="007A7DA0">
      <w:pPr>
        <w:spacing w:after="240"/>
        <w:ind w:left="1276"/>
        <w:jc w:val="both"/>
        <w:rPr>
          <w:rFonts w:ascii="Arial" w:hAnsi="Arial" w:cs="Arial"/>
          <w:sz w:val="22"/>
          <w:szCs w:val="22"/>
          <w:lang w:val="es-ES"/>
        </w:rPr>
      </w:pPr>
      <w:r w:rsidRPr="004C4B08">
        <w:rPr>
          <w:rFonts w:ascii="Arial" w:hAnsi="Arial" w:cs="Arial"/>
          <w:sz w:val="22"/>
          <w:szCs w:val="22"/>
          <w:lang w:val="es-ES"/>
        </w:rPr>
        <w:t>La estrategia pretende redoblar los esfuerzos de desarrollo de capacidades en todos los aspectos de la planificación y gestión sostenibles del océano, ajustándose plenamente a la Estrategia de Desarrollo de Capacidades integral de la COI. Aprovechará y ampliará las actividades actuales de los programas e iniciativas de la COI, centrándose en las acciones necesarias para abordar los seis principales productos de la Estrategia de Desarrollo de Capacidades. Estas prioridades incluyen el desarrollo de los recursos humanos, la mejora del acceso a las infraestructuras físicas, el refuerzo de los mecanismos mundiales y regionales, el fomento de la elaboración de políticas de investigación oceánica, el aumento de la visibilidad y la sensibilización, y la ampliación de una movilización de recursos sostenida. Con ello se pretende dotar a los responsables de la toma de decisiones, los encargados de la formulación de políticas, los titulares de derechos y las partes interesadas de las competencias y los conocimientos necesarios para una gestión basada en los ecosistemas</w:t>
      </w:r>
      <w:r w:rsidR="00DF6ABE" w:rsidRPr="00DF6ABE">
        <w:rPr>
          <w:rFonts w:ascii="Arial" w:hAnsi="Arial" w:cs="Arial"/>
          <w:sz w:val="22"/>
          <w:szCs w:val="22"/>
          <w:lang w:val="es-ES"/>
        </w:rPr>
        <w:t xml:space="preserve"> </w:t>
      </w:r>
      <w:r w:rsidRPr="004C4B08">
        <w:rPr>
          <w:rFonts w:ascii="Arial" w:hAnsi="Arial" w:cs="Arial"/>
          <w:sz w:val="22"/>
          <w:szCs w:val="22"/>
          <w:lang w:val="es-ES"/>
        </w:rPr>
        <w:t xml:space="preserve">y </w:t>
      </w:r>
      <w:r w:rsidR="00DF6ABE">
        <w:rPr>
          <w:rFonts w:ascii="Arial" w:hAnsi="Arial" w:cs="Arial"/>
          <w:sz w:val="22"/>
          <w:szCs w:val="22"/>
          <w:lang w:val="es-ES"/>
        </w:rPr>
        <w:t>una</w:t>
      </w:r>
      <w:r w:rsidRPr="004C4B08">
        <w:rPr>
          <w:rFonts w:ascii="Arial" w:hAnsi="Arial" w:cs="Arial"/>
          <w:sz w:val="22"/>
          <w:szCs w:val="22"/>
          <w:lang w:val="es-ES"/>
        </w:rPr>
        <w:t xml:space="preserve"> planificación por zonas</w:t>
      </w:r>
      <w:r w:rsidR="00DF6ABE" w:rsidRPr="00DF6ABE">
        <w:rPr>
          <w:rFonts w:ascii="Arial" w:hAnsi="Arial" w:cs="Arial"/>
          <w:sz w:val="22"/>
          <w:szCs w:val="22"/>
          <w:lang w:val="es-ES"/>
        </w:rPr>
        <w:t xml:space="preserve"> </w:t>
      </w:r>
      <w:r w:rsidR="00DF6ABE" w:rsidRPr="004C4B08">
        <w:rPr>
          <w:rFonts w:ascii="Arial" w:hAnsi="Arial" w:cs="Arial"/>
          <w:sz w:val="22"/>
          <w:szCs w:val="22"/>
          <w:lang w:val="es-ES"/>
        </w:rPr>
        <w:t>efica</w:t>
      </w:r>
      <w:r w:rsidR="00DF6ABE">
        <w:rPr>
          <w:rFonts w:ascii="Arial" w:hAnsi="Arial" w:cs="Arial"/>
          <w:sz w:val="22"/>
          <w:szCs w:val="22"/>
          <w:lang w:val="es-ES"/>
        </w:rPr>
        <w:t>ces</w:t>
      </w:r>
      <w:r w:rsidRPr="004C4B08">
        <w:rPr>
          <w:rFonts w:ascii="Arial" w:hAnsi="Arial" w:cs="Arial"/>
          <w:sz w:val="22"/>
          <w:szCs w:val="22"/>
          <w:lang w:val="es-ES"/>
        </w:rPr>
        <w:t>.</w:t>
      </w:r>
    </w:p>
    <w:p w14:paraId="7E92B5E9" w14:textId="77777777" w:rsidR="00C54645" w:rsidRPr="004C4B08" w:rsidRDefault="00C54645" w:rsidP="00716ED5">
      <w:pPr>
        <w:pBdr>
          <w:top w:val="single" w:sz="4" w:space="1" w:color="auto"/>
          <w:left w:val="single" w:sz="4" w:space="4" w:color="auto"/>
          <w:bottom w:val="single" w:sz="4" w:space="1" w:color="auto"/>
          <w:right w:val="single" w:sz="4" w:space="4" w:color="auto"/>
        </w:pBdr>
        <w:spacing w:after="120"/>
        <w:ind w:left="720"/>
        <w:jc w:val="both"/>
        <w:rPr>
          <w:rFonts w:ascii="Arial" w:hAnsi="Arial" w:cs="Arial"/>
          <w:sz w:val="22"/>
          <w:szCs w:val="22"/>
          <w:lang w:val="es-ES"/>
        </w:rPr>
      </w:pPr>
      <w:r w:rsidRPr="004C4B08">
        <w:rPr>
          <w:rFonts w:ascii="Arial" w:hAnsi="Arial" w:cs="Arial"/>
          <w:b/>
          <w:bCs/>
          <w:sz w:val="22"/>
          <w:szCs w:val="22"/>
          <w:lang w:val="es-ES"/>
        </w:rPr>
        <w:t>Actividad: Desarrollo de capacidades</w:t>
      </w:r>
    </w:p>
    <w:p w14:paraId="5D59A879" w14:textId="0F001AD9" w:rsidR="00C54645" w:rsidRPr="004C4B08" w:rsidRDefault="00C16C5F" w:rsidP="00344F7B">
      <w:pPr>
        <w:pBdr>
          <w:top w:val="single" w:sz="4" w:space="1" w:color="auto"/>
          <w:left w:val="single" w:sz="4" w:space="4" w:color="auto"/>
          <w:bottom w:val="single" w:sz="4" w:space="1" w:color="auto"/>
          <w:right w:val="single" w:sz="4" w:space="4" w:color="auto"/>
        </w:pBdr>
        <w:ind w:left="720"/>
        <w:jc w:val="both"/>
        <w:rPr>
          <w:rFonts w:ascii="Arial" w:hAnsi="Arial" w:cs="Arial"/>
          <w:sz w:val="22"/>
          <w:szCs w:val="22"/>
          <w:lang w:val="es-ES"/>
        </w:rPr>
      </w:pPr>
      <w:r>
        <w:rPr>
          <w:rFonts w:ascii="Arial" w:hAnsi="Arial" w:cs="Arial"/>
          <w:sz w:val="22"/>
          <w:szCs w:val="22"/>
          <w:lang w:val="es-ES"/>
        </w:rPr>
        <w:t>En este ámbito</w:t>
      </w:r>
      <w:r w:rsidR="00C54645" w:rsidRPr="004C4B08">
        <w:rPr>
          <w:rFonts w:ascii="Arial" w:hAnsi="Arial" w:cs="Arial"/>
          <w:sz w:val="22"/>
          <w:szCs w:val="22"/>
          <w:lang w:val="es-ES"/>
        </w:rPr>
        <w:t xml:space="preserve">, la estrategia pondrá en marcha un programa específico de desarrollo de capacidades, con talleres y seminarios adaptados a las necesidades de los usuarios, incluida formación en control de calidad y análisis de datos, con el apoyo de programas como el </w:t>
      </w:r>
      <w:proofErr w:type="spellStart"/>
      <w:r w:rsidR="00C54645" w:rsidRPr="004C4B08">
        <w:rPr>
          <w:rFonts w:ascii="Arial" w:hAnsi="Arial" w:cs="Arial"/>
          <w:sz w:val="22"/>
          <w:szCs w:val="22"/>
          <w:lang w:val="es-ES"/>
        </w:rPr>
        <w:t>Ocean</w:t>
      </w:r>
      <w:proofErr w:type="spellEnd"/>
      <w:r w:rsidR="00C54645" w:rsidRPr="004C4B08">
        <w:rPr>
          <w:rFonts w:ascii="Arial" w:hAnsi="Arial" w:cs="Arial"/>
          <w:sz w:val="22"/>
          <w:szCs w:val="22"/>
          <w:lang w:val="es-ES"/>
        </w:rPr>
        <w:t xml:space="preserve"> CD-Hub y la Academia Mundial </w:t>
      </w:r>
      <w:proofErr w:type="spellStart"/>
      <w:r w:rsidR="00C54645" w:rsidRPr="004C4B08">
        <w:rPr>
          <w:rFonts w:ascii="Arial" w:hAnsi="Arial" w:cs="Arial"/>
          <w:sz w:val="22"/>
          <w:szCs w:val="22"/>
          <w:lang w:val="es-ES"/>
        </w:rPr>
        <w:t>OceanTeacher</w:t>
      </w:r>
      <w:proofErr w:type="spellEnd"/>
      <w:r w:rsidR="00C54645" w:rsidRPr="004C4B08">
        <w:rPr>
          <w:rFonts w:ascii="Arial" w:hAnsi="Arial" w:cs="Arial"/>
          <w:sz w:val="22"/>
          <w:szCs w:val="22"/>
          <w:lang w:val="es-ES"/>
        </w:rPr>
        <w:t>. Se brindará respald</w:t>
      </w:r>
      <w:r>
        <w:rPr>
          <w:rFonts w:ascii="Arial" w:hAnsi="Arial" w:cs="Arial"/>
          <w:sz w:val="22"/>
          <w:szCs w:val="22"/>
          <w:lang w:val="es-ES"/>
        </w:rPr>
        <w:t>o</w:t>
      </w:r>
      <w:r w:rsidR="00C54645" w:rsidRPr="004C4B08">
        <w:rPr>
          <w:rFonts w:ascii="Arial" w:hAnsi="Arial" w:cs="Arial"/>
          <w:sz w:val="22"/>
          <w:szCs w:val="22"/>
          <w:lang w:val="es-ES"/>
        </w:rPr>
        <w:t xml:space="preserve"> adicional para integrar la planificación oceánica en los planes nacionales de desarrollo y elaborar plataformas de intercambio de conocimientos. Este enfoque garantiza la adecuación de las políticas nacionales a las mejores prácticas internacionales, lo que permite tomar decisiones fundamentadas y aplicar políticas con éxito. Las actividades de desarrollo de capacidades se coordinarán estrechamente con la plataforma de desarrollo de capacidades, en el marco de la Estrategia de Desarrollo de Capacidades de la COI, a fin de determinar las necesidades de los Estados Miembros y los usuarios en materia de respaldo para el desarrollo de capacidades en relación con la planificación y gestión sostenibles del océano.</w:t>
      </w:r>
    </w:p>
    <w:p w14:paraId="53A11B79" w14:textId="68400651" w:rsidR="00C54645" w:rsidRPr="004C4B08" w:rsidRDefault="00C54645" w:rsidP="007A7DA0">
      <w:pPr>
        <w:pStyle w:val="Ttulo4"/>
        <w:numPr>
          <w:ilvl w:val="0"/>
          <w:numId w:val="34"/>
        </w:numPr>
        <w:spacing w:before="240" w:after="120"/>
        <w:ind w:left="1276" w:hanging="567"/>
        <w:jc w:val="both"/>
        <w:rPr>
          <w:rFonts w:ascii="Arial" w:hAnsi="Arial" w:cs="Arial"/>
          <w:sz w:val="22"/>
          <w:szCs w:val="22"/>
          <w:lang w:val="es-ES"/>
        </w:rPr>
      </w:pPr>
      <w:bookmarkStart w:id="12" w:name="_heading=h.4hhlxin3ve05" w:colFirst="0" w:colLast="0"/>
      <w:bookmarkEnd w:id="12"/>
      <w:r w:rsidRPr="004C4B08">
        <w:rPr>
          <w:rFonts w:ascii="Arial" w:hAnsi="Arial" w:cs="Arial"/>
          <w:sz w:val="22"/>
          <w:szCs w:val="22"/>
          <w:lang w:val="es-ES"/>
        </w:rPr>
        <w:t>Integración de la adaptación al cambio climático, la mitigación, la resiliencia costera y la conservación de la biodiversidad en los procesos de planificación oceánica</w:t>
      </w:r>
    </w:p>
    <w:p w14:paraId="6C7D68CA" w14:textId="6C01667B" w:rsidR="00F66862" w:rsidRDefault="00C54645" w:rsidP="007A7DA0">
      <w:pPr>
        <w:spacing w:after="240"/>
        <w:ind w:left="1276"/>
        <w:jc w:val="both"/>
        <w:rPr>
          <w:rFonts w:ascii="Arial" w:hAnsi="Arial" w:cs="Arial"/>
          <w:sz w:val="22"/>
          <w:szCs w:val="22"/>
          <w:lang w:val="es-ES"/>
        </w:rPr>
      </w:pPr>
      <w:r w:rsidRPr="004C4B08">
        <w:rPr>
          <w:rFonts w:ascii="Arial" w:hAnsi="Arial" w:cs="Arial"/>
          <w:sz w:val="22"/>
          <w:szCs w:val="22"/>
          <w:lang w:val="es-ES"/>
        </w:rPr>
        <w:t xml:space="preserve">En respuesta a la necesidad urgente de hacer frente a los efectos del cambio climático y a la pérdida de biodiversidad marina, la estrategia propone integrar en la planificación oceánica aspectos de </w:t>
      </w:r>
      <w:r w:rsidR="00421FAF">
        <w:rPr>
          <w:rFonts w:ascii="Arial" w:hAnsi="Arial" w:cs="Arial"/>
          <w:sz w:val="22"/>
          <w:szCs w:val="22"/>
          <w:lang w:val="es-ES"/>
        </w:rPr>
        <w:t xml:space="preserve">la </w:t>
      </w:r>
      <w:r w:rsidRPr="004C4B08">
        <w:rPr>
          <w:rFonts w:ascii="Arial" w:hAnsi="Arial" w:cs="Arial"/>
          <w:sz w:val="22"/>
          <w:szCs w:val="22"/>
          <w:lang w:val="es-ES"/>
        </w:rPr>
        <w:t xml:space="preserve">adaptación al cambio climático y </w:t>
      </w:r>
      <w:r w:rsidR="00421FAF">
        <w:rPr>
          <w:rFonts w:ascii="Arial" w:hAnsi="Arial" w:cs="Arial"/>
          <w:sz w:val="22"/>
          <w:szCs w:val="22"/>
          <w:lang w:val="es-ES"/>
        </w:rPr>
        <w:t xml:space="preserve">la </w:t>
      </w:r>
      <w:r w:rsidRPr="004C4B08">
        <w:rPr>
          <w:rFonts w:ascii="Arial" w:hAnsi="Arial" w:cs="Arial"/>
          <w:sz w:val="22"/>
          <w:szCs w:val="22"/>
          <w:lang w:val="es-ES"/>
        </w:rPr>
        <w:t xml:space="preserve">mitigación, así como de </w:t>
      </w:r>
      <w:r w:rsidR="00421FAF">
        <w:rPr>
          <w:rFonts w:ascii="Arial" w:hAnsi="Arial" w:cs="Arial"/>
          <w:sz w:val="22"/>
          <w:szCs w:val="22"/>
          <w:lang w:val="es-ES"/>
        </w:rPr>
        <w:t xml:space="preserve">la </w:t>
      </w:r>
      <w:r w:rsidRPr="004C4B08">
        <w:rPr>
          <w:rFonts w:ascii="Arial" w:hAnsi="Arial" w:cs="Arial"/>
          <w:sz w:val="22"/>
          <w:szCs w:val="22"/>
          <w:lang w:val="es-ES"/>
        </w:rPr>
        <w:t xml:space="preserve">conservación y restauración de los ecosistemas. Esto implicará una coordinación con iniciativas de la COI </w:t>
      </w:r>
      <w:r w:rsidR="00421FAF">
        <w:rPr>
          <w:rFonts w:ascii="Arial" w:hAnsi="Arial" w:cs="Arial"/>
          <w:sz w:val="22"/>
          <w:szCs w:val="22"/>
          <w:lang w:val="es-ES"/>
        </w:rPr>
        <w:t>sobre el</w:t>
      </w:r>
      <w:r w:rsidRPr="004C4B08">
        <w:rPr>
          <w:rFonts w:ascii="Arial" w:hAnsi="Arial" w:cs="Arial"/>
          <w:sz w:val="22"/>
          <w:szCs w:val="22"/>
          <w:lang w:val="es-ES"/>
        </w:rPr>
        <w:t xml:space="preserve"> clima, la biodiversidad y los peligros costeros a fin de elaborar herramientas y directrices para encontrar e integrar medidas de resiliencia y generar conocimientos científicos sobre el papel de los ecosistemas oceánicos en l</w:t>
      </w:r>
      <w:r w:rsidR="004557ED">
        <w:rPr>
          <w:rFonts w:ascii="Arial" w:hAnsi="Arial" w:cs="Arial"/>
          <w:sz w:val="22"/>
          <w:szCs w:val="22"/>
          <w:lang w:val="es-ES"/>
        </w:rPr>
        <w:t xml:space="preserve">as cuestiones </w:t>
      </w:r>
      <w:r w:rsidRPr="004C4B08">
        <w:rPr>
          <w:rFonts w:ascii="Arial" w:hAnsi="Arial" w:cs="Arial"/>
          <w:sz w:val="22"/>
          <w:szCs w:val="22"/>
          <w:lang w:val="es-ES"/>
        </w:rPr>
        <w:t>climátic</w:t>
      </w:r>
      <w:r w:rsidR="004557ED">
        <w:rPr>
          <w:rFonts w:ascii="Arial" w:hAnsi="Arial" w:cs="Arial"/>
          <w:sz w:val="22"/>
          <w:szCs w:val="22"/>
          <w:lang w:val="es-ES"/>
        </w:rPr>
        <w:t>a</w:t>
      </w:r>
      <w:r w:rsidRPr="004C4B08">
        <w:rPr>
          <w:rFonts w:ascii="Arial" w:hAnsi="Arial" w:cs="Arial"/>
          <w:sz w:val="22"/>
          <w:szCs w:val="22"/>
          <w:lang w:val="es-ES"/>
        </w:rPr>
        <w:t>s, como l</w:t>
      </w:r>
      <w:r w:rsidR="004557ED">
        <w:rPr>
          <w:rFonts w:ascii="Arial" w:hAnsi="Arial" w:cs="Arial"/>
          <w:sz w:val="22"/>
          <w:szCs w:val="22"/>
          <w:lang w:val="es-ES"/>
        </w:rPr>
        <w:t>a</w:t>
      </w:r>
      <w:r w:rsidRPr="004C4B08">
        <w:rPr>
          <w:rFonts w:ascii="Arial" w:hAnsi="Arial" w:cs="Arial"/>
          <w:sz w:val="22"/>
          <w:szCs w:val="22"/>
          <w:lang w:val="es-ES"/>
        </w:rPr>
        <w:t>s rela</w:t>
      </w:r>
      <w:r w:rsidR="004557ED">
        <w:rPr>
          <w:rFonts w:ascii="Arial" w:hAnsi="Arial" w:cs="Arial"/>
          <w:sz w:val="22"/>
          <w:szCs w:val="22"/>
          <w:lang w:val="es-ES"/>
        </w:rPr>
        <w:t xml:space="preserve">tivas a </w:t>
      </w:r>
      <w:r w:rsidRPr="004C4B08">
        <w:rPr>
          <w:rFonts w:ascii="Arial" w:hAnsi="Arial" w:cs="Arial"/>
          <w:sz w:val="22"/>
          <w:szCs w:val="22"/>
          <w:lang w:val="es-ES"/>
        </w:rPr>
        <w:t xml:space="preserve">los hábitats de carbono azul y los </w:t>
      </w:r>
      <w:r w:rsidRPr="004C4B08">
        <w:rPr>
          <w:rFonts w:ascii="Arial" w:hAnsi="Arial" w:cs="Arial"/>
          <w:sz w:val="22"/>
          <w:szCs w:val="22"/>
          <w:lang w:val="es-ES"/>
        </w:rPr>
        <w:lastRenderedPageBreak/>
        <w:t>ecosistemas proveedores de servicios conexos. Gracias a la integración de la ciencia y las proyecciones climáticas en los procesos de planificación, la estrategia pretende dotar a los países de los medios necesarios para gestionar eficazmente los riesgos y vulnerabilidades relacionados con el clima y los peligros costeros.</w:t>
      </w:r>
    </w:p>
    <w:p w14:paraId="3F6FC432" w14:textId="13F9B39D" w:rsidR="00344F7B" w:rsidRPr="004C4B08" w:rsidRDefault="00C54645" w:rsidP="00716ED5">
      <w:pPr>
        <w:pBdr>
          <w:top w:val="single" w:sz="4" w:space="1" w:color="auto"/>
          <w:left w:val="single" w:sz="4" w:space="4" w:color="auto"/>
          <w:bottom w:val="single" w:sz="4" w:space="1" w:color="auto"/>
          <w:right w:val="single" w:sz="4" w:space="4" w:color="auto"/>
        </w:pBdr>
        <w:spacing w:after="120"/>
        <w:ind w:left="720"/>
        <w:rPr>
          <w:rFonts w:ascii="Arial" w:hAnsi="Arial" w:cs="Arial"/>
          <w:sz w:val="22"/>
          <w:szCs w:val="22"/>
          <w:lang w:val="es-ES"/>
        </w:rPr>
      </w:pPr>
      <w:r w:rsidRPr="004C4B08">
        <w:rPr>
          <w:rFonts w:ascii="Arial" w:hAnsi="Arial" w:cs="Arial"/>
          <w:b/>
          <w:bCs/>
          <w:sz w:val="22"/>
          <w:szCs w:val="22"/>
          <w:lang w:val="es-ES"/>
        </w:rPr>
        <w:t>Actividad: Elaboración de directrices y asistencia para la planificación</w:t>
      </w:r>
    </w:p>
    <w:p w14:paraId="31A529B3" w14:textId="6F44F343" w:rsidR="00C54645" w:rsidRPr="004C4B08" w:rsidRDefault="00C54645" w:rsidP="00716ED5">
      <w:pPr>
        <w:pBdr>
          <w:top w:val="single" w:sz="4" w:space="1" w:color="auto"/>
          <w:left w:val="single" w:sz="4" w:space="4" w:color="auto"/>
          <w:bottom w:val="single" w:sz="4" w:space="1" w:color="auto"/>
          <w:right w:val="single" w:sz="4" w:space="4" w:color="auto"/>
        </w:pBdr>
        <w:ind w:left="720"/>
        <w:jc w:val="both"/>
        <w:rPr>
          <w:rFonts w:ascii="Arial" w:hAnsi="Arial" w:cs="Arial"/>
          <w:sz w:val="22"/>
          <w:szCs w:val="22"/>
          <w:lang w:val="es-ES"/>
        </w:rPr>
      </w:pPr>
      <w:r w:rsidRPr="004C4B08">
        <w:rPr>
          <w:rFonts w:ascii="Arial" w:hAnsi="Arial" w:cs="Arial"/>
          <w:sz w:val="22"/>
          <w:szCs w:val="22"/>
          <w:lang w:val="es-ES"/>
        </w:rPr>
        <w:t>Para ayudar a lograr este resultado, la estrategia contempla específicamente la elaboración y difusión de directrices específicas y la asistencia para la planificación. Estas herramientas y marcos, concebidos para abordar medidas de resiliencia climática y costera, proporcionan apoyo técnico a los Estados Miembros, ayudándoles a integrar estas medidas en sus marcos de gobernanza del océano. El objetivo de esta iniciativa es mejorar la capacidad de los gobiernos para aplicar estrategias eficaces de gestión de los riesgos climáticos y costeros, promover prácticas adaptables a las condiciones climáticas cambiantes y garantizar que la planificación oceánica sea resiliente y se ajuste a los cambios ambientales.</w:t>
      </w:r>
    </w:p>
    <w:p w14:paraId="14928122" w14:textId="2C32343B" w:rsidR="00C54645" w:rsidRPr="005A4AAF" w:rsidRDefault="00C54645" w:rsidP="007A7DA0">
      <w:pPr>
        <w:pStyle w:val="Ttulo2"/>
        <w:numPr>
          <w:ilvl w:val="0"/>
          <w:numId w:val="42"/>
        </w:numPr>
        <w:spacing w:before="360" w:after="240"/>
        <w:ind w:left="567" w:hanging="567"/>
        <w:rPr>
          <w:rFonts w:ascii="Arial" w:hAnsi="Arial" w:cs="Arial"/>
          <w:b/>
          <w:bCs/>
          <w:color w:val="000000" w:themeColor="text1"/>
          <w:sz w:val="22"/>
          <w:szCs w:val="22"/>
          <w:lang w:val="es-ES"/>
        </w:rPr>
      </w:pPr>
      <w:bookmarkStart w:id="13" w:name="_Toc169082644"/>
      <w:r w:rsidRPr="005A4AAF">
        <w:rPr>
          <w:rFonts w:ascii="Arial" w:hAnsi="Arial" w:cs="Arial"/>
          <w:b/>
          <w:bCs/>
          <w:color w:val="000000" w:themeColor="text1"/>
          <w:sz w:val="22"/>
          <w:szCs w:val="22"/>
          <w:lang w:val="es-ES"/>
        </w:rPr>
        <w:t>Aplicación</w:t>
      </w:r>
      <w:bookmarkEnd w:id="13"/>
    </w:p>
    <w:p w14:paraId="62084564" w14:textId="08DCD4D1" w:rsidR="009B591C"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color w:val="000000"/>
          <w:sz w:val="22"/>
          <w:szCs w:val="22"/>
          <w:lang w:val="es-ES"/>
        </w:rPr>
      </w:pPr>
      <w:r w:rsidRPr="004C4B08">
        <w:rPr>
          <w:rFonts w:ascii="Arial" w:hAnsi="Arial" w:cs="Arial"/>
          <w:sz w:val="22"/>
          <w:szCs w:val="22"/>
          <w:lang w:val="es-ES"/>
        </w:rPr>
        <w:t>Los diferentes programas de la COI prepararán y pondrán en marcha conjuntamente la aplicación de la estrategia para toda la COI sobre la planificación y gestión sostenibles del océano (2024-2030)</w:t>
      </w:r>
      <w:r w:rsidR="005F1C3A">
        <w:rPr>
          <w:rFonts w:ascii="Arial" w:hAnsi="Arial" w:cs="Arial"/>
          <w:sz w:val="22"/>
          <w:szCs w:val="22"/>
          <w:lang w:val="es-ES"/>
        </w:rPr>
        <w:t>,</w:t>
      </w:r>
      <w:r w:rsidR="00147F3D" w:rsidRPr="00147F3D">
        <w:rPr>
          <w:rFonts w:ascii="Arial" w:hAnsi="Arial" w:cs="Arial"/>
          <w:sz w:val="22"/>
          <w:szCs w:val="22"/>
          <w:lang w:val="es-ES"/>
        </w:rPr>
        <w:t xml:space="preserve"> </w:t>
      </w:r>
      <w:r w:rsidR="00147F3D" w:rsidRPr="004C4B08">
        <w:rPr>
          <w:rFonts w:ascii="Arial" w:hAnsi="Arial" w:cs="Arial"/>
          <w:sz w:val="22"/>
          <w:szCs w:val="22"/>
          <w:lang w:val="es-ES"/>
        </w:rPr>
        <w:t>en estrecha colaboración con los Estados Miembros de la Comisión</w:t>
      </w:r>
      <w:r w:rsidRPr="004C4B08">
        <w:rPr>
          <w:rFonts w:ascii="Arial" w:hAnsi="Arial" w:cs="Arial"/>
          <w:sz w:val="22"/>
          <w:szCs w:val="22"/>
          <w:lang w:val="es-ES"/>
        </w:rPr>
        <w:t xml:space="preserve">. Dado que esta estrategia abarca un amplio abanico de aspectos de la planificación y la gestión del océano, será fundamental que los Estados Miembros </w:t>
      </w:r>
      <w:r w:rsidR="005904DC">
        <w:rPr>
          <w:rFonts w:ascii="Arial" w:hAnsi="Arial" w:cs="Arial"/>
          <w:sz w:val="22"/>
          <w:szCs w:val="22"/>
          <w:lang w:val="es-ES"/>
        </w:rPr>
        <w:t>y</w:t>
      </w:r>
      <w:r w:rsidRPr="004C4B08">
        <w:rPr>
          <w:rFonts w:ascii="Arial" w:hAnsi="Arial" w:cs="Arial"/>
          <w:sz w:val="22"/>
          <w:szCs w:val="22"/>
          <w:lang w:val="es-ES"/>
        </w:rPr>
        <w:t xml:space="preserve"> los programas </w:t>
      </w:r>
      <w:r w:rsidR="005904DC" w:rsidRPr="004C4B08">
        <w:rPr>
          <w:rFonts w:ascii="Arial" w:hAnsi="Arial" w:cs="Arial"/>
          <w:sz w:val="22"/>
          <w:szCs w:val="22"/>
          <w:lang w:val="es-ES"/>
        </w:rPr>
        <w:t xml:space="preserve">de la COI </w:t>
      </w:r>
      <w:r w:rsidRPr="004C4B08">
        <w:rPr>
          <w:rFonts w:ascii="Arial" w:hAnsi="Arial" w:cs="Arial"/>
          <w:sz w:val="22"/>
          <w:szCs w:val="22"/>
          <w:lang w:val="es-ES"/>
        </w:rPr>
        <w:t xml:space="preserve">transmitan continuamente información actualizada sobre los </w:t>
      </w:r>
      <w:r w:rsidR="005F1C3A">
        <w:rPr>
          <w:rFonts w:ascii="Arial" w:hAnsi="Arial" w:cs="Arial"/>
          <w:sz w:val="22"/>
          <w:szCs w:val="22"/>
          <w:lang w:val="es-ES"/>
        </w:rPr>
        <w:t>avances.</w:t>
      </w:r>
    </w:p>
    <w:p w14:paraId="22B94DD2" w14:textId="2C0962F8"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color w:val="000000"/>
          <w:sz w:val="22"/>
          <w:szCs w:val="22"/>
          <w:lang w:val="es-ES"/>
        </w:rPr>
      </w:pPr>
      <w:r w:rsidRPr="004C4B08">
        <w:rPr>
          <w:rFonts w:ascii="Arial" w:hAnsi="Arial" w:cs="Arial"/>
          <w:sz w:val="22"/>
          <w:szCs w:val="22"/>
          <w:lang w:val="es-ES"/>
        </w:rPr>
        <w:t xml:space="preserve">Las alianzas serán fundamentales para alcanzar los objetivos de la estrategia. La amplia red de expertos de la COI y su compromiso en favor de la cooperación mundial y regional ofrecen a los Estados Miembros un valioso apoyo para el desarrollo de capacidades en diversos aspectos de la planificación y gestión del océano. </w:t>
      </w:r>
      <w:r w:rsidR="00630379">
        <w:rPr>
          <w:rFonts w:ascii="Arial" w:hAnsi="Arial" w:cs="Arial"/>
          <w:sz w:val="22"/>
          <w:szCs w:val="22"/>
          <w:lang w:val="es-ES"/>
        </w:rPr>
        <w:t>Para aplicar</w:t>
      </w:r>
      <w:r w:rsidRPr="004C4B08">
        <w:rPr>
          <w:rFonts w:ascii="Arial" w:hAnsi="Arial" w:cs="Arial"/>
          <w:sz w:val="22"/>
          <w:szCs w:val="22"/>
          <w:lang w:val="es-ES"/>
        </w:rPr>
        <w:t xml:space="preserve"> la estrategia </w:t>
      </w:r>
      <w:r w:rsidR="00630379">
        <w:rPr>
          <w:rFonts w:ascii="Arial" w:hAnsi="Arial" w:cs="Arial"/>
          <w:sz w:val="22"/>
          <w:szCs w:val="22"/>
          <w:lang w:val="es-ES"/>
        </w:rPr>
        <w:t xml:space="preserve">se </w:t>
      </w:r>
      <w:r w:rsidR="005904DC">
        <w:rPr>
          <w:rFonts w:ascii="Arial" w:hAnsi="Arial" w:cs="Arial"/>
          <w:sz w:val="22"/>
          <w:szCs w:val="22"/>
          <w:lang w:val="es-ES"/>
        </w:rPr>
        <w:t>requiere</w:t>
      </w:r>
      <w:r w:rsidRPr="004C4B08">
        <w:rPr>
          <w:rFonts w:ascii="Arial" w:hAnsi="Arial" w:cs="Arial"/>
          <w:sz w:val="22"/>
          <w:szCs w:val="22"/>
          <w:lang w:val="es-ES"/>
        </w:rPr>
        <w:t xml:space="preserve"> lo siguiente:</w:t>
      </w:r>
    </w:p>
    <w:p w14:paraId="2F32F2E8" w14:textId="5A77F5CF" w:rsidR="003330BA" w:rsidRPr="00630379" w:rsidRDefault="00C54645" w:rsidP="00546E74">
      <w:pPr>
        <w:pStyle w:val="Prrafodelista"/>
        <w:numPr>
          <w:ilvl w:val="0"/>
          <w:numId w:val="50"/>
        </w:numPr>
        <w:spacing w:after="240"/>
        <w:ind w:left="1276" w:hanging="567"/>
        <w:jc w:val="both"/>
        <w:rPr>
          <w:rFonts w:ascii="Arial" w:hAnsi="Arial" w:cs="Arial"/>
          <w:b/>
          <w:sz w:val="22"/>
          <w:szCs w:val="22"/>
          <w:lang w:val="es-ES"/>
        </w:rPr>
      </w:pPr>
      <w:r w:rsidRPr="00630379">
        <w:rPr>
          <w:rFonts w:ascii="Arial" w:hAnsi="Arial" w:cs="Arial"/>
          <w:b/>
          <w:bCs/>
          <w:sz w:val="22"/>
          <w:szCs w:val="22"/>
          <w:lang w:val="es-ES"/>
        </w:rPr>
        <w:t>Participación regional</w:t>
      </w:r>
      <w:r w:rsidRPr="00630379">
        <w:rPr>
          <w:rFonts w:ascii="Arial" w:hAnsi="Arial" w:cs="Arial"/>
          <w:sz w:val="22"/>
          <w:szCs w:val="22"/>
          <w:lang w:val="es-ES"/>
        </w:rPr>
        <w:t xml:space="preserve">. El establecimiento de órganos subsidiarios regionales, como IOCARIBE, IOCAFRICA, WESTPAC e IOCINDIO, ha sido fundamental para facilitar la cooperación regional y el intercambio de conocimientos dentro de la UNESCO-COI durante decenios. Estos órganos fomentan principalmente la cooperación a nivel regional para abordar los problemas oceánicos comunes a los Estados Miembros de cada región, en consonancia con los programas mundiales. Aunque los </w:t>
      </w:r>
      <w:r w:rsidR="002F0388">
        <w:rPr>
          <w:rFonts w:ascii="Arial" w:hAnsi="Arial" w:cs="Arial"/>
          <w:sz w:val="22"/>
          <w:szCs w:val="22"/>
          <w:lang w:val="es-ES"/>
        </w:rPr>
        <w:t>niveles de ejecución son dispares</w:t>
      </w:r>
      <w:r w:rsidRPr="00630379">
        <w:rPr>
          <w:rFonts w:ascii="Arial" w:hAnsi="Arial" w:cs="Arial"/>
          <w:sz w:val="22"/>
          <w:szCs w:val="22"/>
          <w:lang w:val="es-ES"/>
        </w:rPr>
        <w:t xml:space="preserve">, los órganos subsidiarios regionales de la COI ya están </w:t>
      </w:r>
      <w:r w:rsidR="000104CC">
        <w:rPr>
          <w:rFonts w:ascii="Arial" w:hAnsi="Arial" w:cs="Arial"/>
          <w:sz w:val="22"/>
          <w:szCs w:val="22"/>
          <w:lang w:val="es-ES"/>
        </w:rPr>
        <w:t>realizando</w:t>
      </w:r>
      <w:r w:rsidRPr="00630379">
        <w:rPr>
          <w:rFonts w:ascii="Arial" w:hAnsi="Arial" w:cs="Arial"/>
          <w:sz w:val="22"/>
          <w:szCs w:val="22"/>
          <w:lang w:val="es-ES"/>
        </w:rPr>
        <w:t xml:space="preserve"> actividades </w:t>
      </w:r>
      <w:r w:rsidR="007226F6">
        <w:rPr>
          <w:rFonts w:ascii="Arial" w:hAnsi="Arial" w:cs="Arial"/>
          <w:sz w:val="22"/>
          <w:szCs w:val="22"/>
          <w:lang w:val="es-ES"/>
        </w:rPr>
        <w:t>conjuntas</w:t>
      </w:r>
      <w:r w:rsidRPr="00630379">
        <w:rPr>
          <w:rFonts w:ascii="Arial" w:hAnsi="Arial" w:cs="Arial"/>
          <w:sz w:val="22"/>
          <w:szCs w:val="22"/>
          <w:lang w:val="es-ES"/>
        </w:rPr>
        <w:t xml:space="preserve"> de PEM por conducto de proyectos piloto y colaboraciones regionales </w:t>
      </w:r>
      <w:r w:rsidR="00BD59EA">
        <w:rPr>
          <w:rFonts w:ascii="Arial" w:hAnsi="Arial" w:cs="Arial"/>
          <w:sz w:val="22"/>
          <w:szCs w:val="22"/>
          <w:lang w:val="es-ES"/>
        </w:rPr>
        <w:t>sobre la cuestión</w:t>
      </w:r>
      <w:r w:rsidRPr="00630379">
        <w:rPr>
          <w:rFonts w:ascii="Arial" w:hAnsi="Arial" w:cs="Arial"/>
          <w:sz w:val="22"/>
          <w:szCs w:val="22"/>
          <w:lang w:val="es-ES"/>
        </w:rPr>
        <w:t xml:space="preserve">, </w:t>
      </w:r>
      <w:r w:rsidR="002F0388">
        <w:rPr>
          <w:rFonts w:ascii="Arial" w:hAnsi="Arial" w:cs="Arial"/>
          <w:sz w:val="22"/>
          <w:szCs w:val="22"/>
          <w:lang w:val="es-ES"/>
        </w:rPr>
        <w:t>los cuales</w:t>
      </w:r>
      <w:r w:rsidRPr="00630379">
        <w:rPr>
          <w:rFonts w:ascii="Arial" w:hAnsi="Arial" w:cs="Arial"/>
          <w:sz w:val="22"/>
          <w:szCs w:val="22"/>
          <w:lang w:val="es-ES"/>
        </w:rPr>
        <w:t xml:space="preserve"> reúnen a países y partes interesadas de una región para </w:t>
      </w:r>
      <w:r w:rsidR="002F0388">
        <w:rPr>
          <w:rFonts w:ascii="Arial" w:hAnsi="Arial" w:cs="Arial"/>
          <w:sz w:val="22"/>
          <w:szCs w:val="22"/>
          <w:lang w:val="es-ES"/>
        </w:rPr>
        <w:t>encarar</w:t>
      </w:r>
      <w:r w:rsidRPr="00630379">
        <w:rPr>
          <w:rFonts w:ascii="Arial" w:hAnsi="Arial" w:cs="Arial"/>
          <w:sz w:val="22"/>
          <w:szCs w:val="22"/>
          <w:lang w:val="es-ES"/>
        </w:rPr>
        <w:t xml:space="preserve"> retos </w:t>
      </w:r>
      <w:r w:rsidR="00012C25">
        <w:rPr>
          <w:rFonts w:ascii="Arial" w:hAnsi="Arial" w:cs="Arial"/>
          <w:sz w:val="22"/>
          <w:szCs w:val="22"/>
          <w:lang w:val="es-ES"/>
        </w:rPr>
        <w:t>compartidos</w:t>
      </w:r>
      <w:r w:rsidRPr="00630379">
        <w:rPr>
          <w:rFonts w:ascii="Arial" w:hAnsi="Arial" w:cs="Arial"/>
          <w:sz w:val="22"/>
          <w:szCs w:val="22"/>
          <w:lang w:val="es-ES"/>
        </w:rPr>
        <w:t>, intercambiar experiencias y crear enfoques transfronterizos coordinados</w:t>
      </w:r>
      <w:r w:rsidR="002F0388">
        <w:rPr>
          <w:rFonts w:ascii="Arial" w:hAnsi="Arial" w:cs="Arial"/>
          <w:sz w:val="22"/>
          <w:szCs w:val="22"/>
          <w:lang w:val="es-ES"/>
        </w:rPr>
        <w:t xml:space="preserve">, </w:t>
      </w:r>
      <w:r w:rsidRPr="00630379">
        <w:rPr>
          <w:rFonts w:ascii="Arial" w:hAnsi="Arial" w:cs="Arial"/>
          <w:sz w:val="22"/>
          <w:szCs w:val="22"/>
          <w:lang w:val="es-ES"/>
        </w:rPr>
        <w:t>cruciales para la supervivencia de los ecosistemas oceánicos y las comunidades costeras. Dado que la estrategia se pondrá en marcha en los planos regional y nacional, será necesaria la participación de los órganos subsidiarios regionales y otras agrupaciones regionales relacionadas con el océano (por ejemplo, las alianzas regionales para el Sistema Mundial de Observación del Océano, los convenios sobre mares regionales y los grandes ecosistemas marinos) al margen de la COI, a fin de definir las prioridades y las medidas prácticas específicas de cada región, y facilitar así la autonomía y la capacidad de respuesta regionales para gestionar el programa en función de las necesidades de los contextos locales.</w:t>
      </w:r>
    </w:p>
    <w:p w14:paraId="5B62CD88" w14:textId="77777777" w:rsidR="00630379" w:rsidRPr="00630379" w:rsidRDefault="00630379" w:rsidP="00630379">
      <w:pPr>
        <w:pStyle w:val="Prrafodelista"/>
        <w:spacing w:after="120"/>
        <w:ind w:left="4320"/>
        <w:contextualSpacing w:val="0"/>
        <w:jc w:val="both"/>
        <w:rPr>
          <w:rFonts w:ascii="Arial" w:hAnsi="Arial" w:cs="Arial"/>
          <w:b/>
          <w:sz w:val="22"/>
          <w:szCs w:val="22"/>
          <w:lang w:val="es-ES"/>
        </w:rPr>
      </w:pPr>
    </w:p>
    <w:p w14:paraId="7CC9EEB6" w14:textId="4C6380D8" w:rsidR="00C5250E" w:rsidRPr="00630379" w:rsidRDefault="00C54645" w:rsidP="00546E74">
      <w:pPr>
        <w:pStyle w:val="Prrafodelista"/>
        <w:numPr>
          <w:ilvl w:val="0"/>
          <w:numId w:val="50"/>
        </w:numPr>
        <w:spacing w:after="240"/>
        <w:ind w:left="1276" w:hanging="567"/>
        <w:jc w:val="both"/>
        <w:rPr>
          <w:rFonts w:ascii="Arial" w:hAnsi="Arial" w:cs="Arial"/>
          <w:b/>
          <w:sz w:val="22"/>
          <w:szCs w:val="22"/>
          <w:lang w:val="es-ES"/>
        </w:rPr>
      </w:pPr>
      <w:r w:rsidRPr="00630379">
        <w:rPr>
          <w:rFonts w:ascii="Arial" w:hAnsi="Arial" w:cs="Arial"/>
          <w:b/>
          <w:bCs/>
          <w:sz w:val="22"/>
          <w:szCs w:val="22"/>
          <w:lang w:val="es-ES"/>
        </w:rPr>
        <w:t>Programas de la COI</w:t>
      </w:r>
      <w:r w:rsidRPr="00630379">
        <w:rPr>
          <w:rFonts w:ascii="Arial" w:hAnsi="Arial" w:cs="Arial"/>
          <w:sz w:val="22"/>
          <w:szCs w:val="22"/>
          <w:lang w:val="es-ES"/>
        </w:rPr>
        <w:t xml:space="preserve">. La estrategia tiene por objeto </w:t>
      </w:r>
      <w:r w:rsidR="00EA5A11">
        <w:rPr>
          <w:rFonts w:ascii="Arial" w:hAnsi="Arial" w:cs="Arial"/>
          <w:sz w:val="22"/>
          <w:szCs w:val="22"/>
          <w:lang w:val="es-ES"/>
        </w:rPr>
        <w:t>brindar</w:t>
      </w:r>
      <w:r w:rsidRPr="00630379">
        <w:rPr>
          <w:rFonts w:ascii="Arial" w:hAnsi="Arial" w:cs="Arial"/>
          <w:sz w:val="22"/>
          <w:szCs w:val="22"/>
          <w:lang w:val="es-ES"/>
        </w:rPr>
        <w:t xml:space="preserve"> una orientación global a los programas y proyectos de la COI a fin de velar por que las actividades de gestión y planificación del océano y las zonas costeras estén armonizadas. </w:t>
      </w:r>
      <w:r w:rsidR="003271C8">
        <w:rPr>
          <w:rFonts w:ascii="Arial" w:hAnsi="Arial" w:cs="Arial"/>
          <w:sz w:val="22"/>
          <w:szCs w:val="22"/>
          <w:lang w:val="es-ES"/>
        </w:rPr>
        <w:t>Partiendo de</w:t>
      </w:r>
      <w:r w:rsidRPr="00630379">
        <w:rPr>
          <w:rFonts w:ascii="Arial" w:hAnsi="Arial" w:cs="Arial"/>
          <w:sz w:val="22"/>
          <w:szCs w:val="22"/>
          <w:lang w:val="es-ES"/>
        </w:rPr>
        <w:t xml:space="preserve"> las iniciativas existentes, se mejorará la coordinación para </w:t>
      </w:r>
      <w:r w:rsidR="003A18C6">
        <w:rPr>
          <w:rFonts w:ascii="Arial" w:hAnsi="Arial" w:cs="Arial"/>
          <w:sz w:val="22"/>
          <w:szCs w:val="22"/>
          <w:lang w:val="es-ES"/>
        </w:rPr>
        <w:t>asegurar</w:t>
      </w:r>
      <w:r w:rsidRPr="00630379">
        <w:rPr>
          <w:rFonts w:ascii="Arial" w:hAnsi="Arial" w:cs="Arial"/>
          <w:sz w:val="22"/>
          <w:szCs w:val="22"/>
          <w:lang w:val="es-ES"/>
        </w:rPr>
        <w:t xml:space="preserve"> la coherencia de </w:t>
      </w:r>
      <w:r w:rsidRPr="00630379">
        <w:rPr>
          <w:rFonts w:ascii="Arial" w:hAnsi="Arial" w:cs="Arial"/>
          <w:sz w:val="22"/>
          <w:szCs w:val="22"/>
          <w:lang w:val="es-ES"/>
        </w:rPr>
        <w:lastRenderedPageBreak/>
        <w:t xml:space="preserve">todos los proyectos con los objetivos estratégicos de la estrategia. Para ello hay que solicitar asesoramiento de expertos en colaboraciones ya establecidas, como el Grupo Mixto de Expertos sobre los Aspectos Científicos de la Protección del Medio Marino (GESAMP). También se desplegarán esfuerzos para garantizar </w:t>
      </w:r>
      <w:r w:rsidR="003A18C6">
        <w:rPr>
          <w:rFonts w:ascii="Arial" w:hAnsi="Arial" w:cs="Arial"/>
          <w:sz w:val="22"/>
          <w:szCs w:val="22"/>
          <w:lang w:val="es-ES"/>
        </w:rPr>
        <w:t>que</w:t>
      </w:r>
      <w:r w:rsidRPr="00630379">
        <w:rPr>
          <w:rFonts w:ascii="Arial" w:hAnsi="Arial" w:cs="Arial"/>
          <w:sz w:val="22"/>
          <w:szCs w:val="22"/>
          <w:lang w:val="es-ES"/>
        </w:rPr>
        <w:t xml:space="preserve"> </w:t>
      </w:r>
      <w:r w:rsidR="003A18C6">
        <w:rPr>
          <w:rFonts w:ascii="Arial" w:hAnsi="Arial" w:cs="Arial"/>
          <w:sz w:val="22"/>
          <w:szCs w:val="22"/>
          <w:lang w:val="es-ES"/>
        </w:rPr>
        <w:t xml:space="preserve">pueda accederse a </w:t>
      </w:r>
      <w:r w:rsidRPr="00630379">
        <w:rPr>
          <w:rFonts w:ascii="Arial" w:hAnsi="Arial" w:cs="Arial"/>
          <w:sz w:val="22"/>
          <w:szCs w:val="22"/>
          <w:lang w:val="es-ES"/>
        </w:rPr>
        <w:t>los recursos y datos de todos los programas y proyectos por medio de plataformas pertinentes de libre acceso</w:t>
      </w:r>
      <w:r w:rsidR="004557AA">
        <w:rPr>
          <w:rFonts w:ascii="Arial" w:hAnsi="Arial" w:cs="Arial"/>
          <w:sz w:val="22"/>
          <w:szCs w:val="22"/>
          <w:lang w:val="es-ES"/>
        </w:rPr>
        <w:t>,</w:t>
      </w:r>
      <w:r w:rsidRPr="00630379">
        <w:rPr>
          <w:rFonts w:ascii="Arial" w:hAnsi="Arial" w:cs="Arial"/>
          <w:sz w:val="22"/>
          <w:szCs w:val="22"/>
          <w:lang w:val="es-ES"/>
        </w:rPr>
        <w:t xml:space="preserve"> como el Portal de cultura oceánica, el Sistema de Datos e Información Oceanográficos (ODIS) y el Sistema de Información sobre la Biodiversidad del Océano (OBIS). Además, la estrategia impulsará la colaboración y el desarrollo de capacidades a través de iniciativas como la Academia Mundial </w:t>
      </w:r>
      <w:proofErr w:type="spellStart"/>
      <w:r w:rsidRPr="00630379">
        <w:rPr>
          <w:rFonts w:ascii="Arial" w:hAnsi="Arial" w:cs="Arial"/>
          <w:sz w:val="22"/>
          <w:szCs w:val="22"/>
          <w:lang w:val="es-ES"/>
        </w:rPr>
        <w:t>OceanTeacher</w:t>
      </w:r>
      <w:proofErr w:type="spellEnd"/>
      <w:r w:rsidRPr="00630379">
        <w:rPr>
          <w:rFonts w:ascii="Arial" w:hAnsi="Arial" w:cs="Arial"/>
          <w:sz w:val="22"/>
          <w:szCs w:val="22"/>
          <w:lang w:val="es-ES"/>
        </w:rPr>
        <w:t xml:space="preserve">, el </w:t>
      </w:r>
      <w:proofErr w:type="spellStart"/>
      <w:r w:rsidRPr="00630379">
        <w:rPr>
          <w:rFonts w:ascii="Arial" w:hAnsi="Arial" w:cs="Arial"/>
          <w:sz w:val="22"/>
          <w:szCs w:val="22"/>
          <w:lang w:val="es-ES"/>
        </w:rPr>
        <w:t>Ocean</w:t>
      </w:r>
      <w:proofErr w:type="spellEnd"/>
      <w:r w:rsidRPr="00630379">
        <w:rPr>
          <w:rFonts w:ascii="Arial" w:hAnsi="Arial" w:cs="Arial"/>
          <w:sz w:val="22"/>
          <w:szCs w:val="22"/>
          <w:lang w:val="es-ES"/>
        </w:rPr>
        <w:t xml:space="preserve"> CD-Hub o la red de profesionales del océano que inician su carrera.</w:t>
      </w:r>
    </w:p>
    <w:p w14:paraId="43CAE165" w14:textId="201061E7" w:rsidR="00C5250E" w:rsidRPr="00630379" w:rsidRDefault="00C54645" w:rsidP="00546E74">
      <w:pPr>
        <w:spacing w:before="120" w:after="240"/>
        <w:ind w:left="1276"/>
        <w:jc w:val="both"/>
        <w:rPr>
          <w:rFonts w:ascii="Arial" w:hAnsi="Arial" w:cs="Arial"/>
          <w:sz w:val="22"/>
          <w:szCs w:val="22"/>
          <w:lang w:val="es-ES"/>
        </w:rPr>
      </w:pPr>
      <w:r w:rsidRPr="00630379">
        <w:rPr>
          <w:rFonts w:ascii="Arial" w:hAnsi="Arial" w:cs="Arial"/>
          <w:sz w:val="22"/>
          <w:szCs w:val="22"/>
          <w:lang w:val="es-ES"/>
        </w:rPr>
        <w:t xml:space="preserve">Por otra parte, la estrategia reforzará las colaboraciones existentes, como las actividades conjuntas de la COI y el Programa Marino del Patrimonio Mundial de la UNESCO para garantizar la protección de los sitios marinos del Programa en el marco de planes de gestión pertinentes, así como la red de reservas de biosferas marinas y costeras de la UNESCO. </w:t>
      </w:r>
      <w:proofErr w:type="spellStart"/>
      <w:r w:rsidRPr="00630379">
        <w:rPr>
          <w:rFonts w:ascii="Arial" w:hAnsi="Arial" w:cs="Arial"/>
          <w:sz w:val="22"/>
          <w:szCs w:val="22"/>
          <w:lang w:val="es-ES"/>
        </w:rPr>
        <w:t>MSPglobal</w:t>
      </w:r>
      <w:proofErr w:type="spellEnd"/>
      <w:r w:rsidRPr="00630379">
        <w:rPr>
          <w:rFonts w:ascii="Arial" w:hAnsi="Arial" w:cs="Arial"/>
          <w:sz w:val="22"/>
          <w:szCs w:val="22"/>
          <w:lang w:val="es-ES"/>
        </w:rPr>
        <w:t xml:space="preserve">, por su parte, desempeñará un papel clave, dadas las directrices y buenas prácticas establecidas para la PEM, que </w:t>
      </w:r>
      <w:r w:rsidR="003271C8">
        <w:rPr>
          <w:rFonts w:ascii="Arial" w:hAnsi="Arial" w:cs="Arial"/>
          <w:sz w:val="22"/>
          <w:szCs w:val="22"/>
          <w:lang w:val="es-ES"/>
        </w:rPr>
        <w:t>son</w:t>
      </w:r>
      <w:r w:rsidRPr="00630379">
        <w:rPr>
          <w:rFonts w:ascii="Arial" w:hAnsi="Arial" w:cs="Arial"/>
          <w:sz w:val="22"/>
          <w:szCs w:val="22"/>
          <w:lang w:val="es-ES"/>
        </w:rPr>
        <w:t xml:space="preserve"> valiosas herramientas y recursos para los responsables de la formulación de políticas. Estos recursos ayudan a elaborar procesos de PEM inclusivos y adaptables, que </w:t>
      </w:r>
      <w:r w:rsidR="004557AA">
        <w:rPr>
          <w:rFonts w:ascii="Arial" w:hAnsi="Arial" w:cs="Arial"/>
          <w:sz w:val="22"/>
          <w:szCs w:val="22"/>
          <w:lang w:val="es-ES"/>
        </w:rPr>
        <w:t>incorporan</w:t>
      </w:r>
      <w:r w:rsidRPr="00630379">
        <w:rPr>
          <w:rFonts w:ascii="Arial" w:hAnsi="Arial" w:cs="Arial"/>
          <w:sz w:val="22"/>
          <w:szCs w:val="22"/>
          <w:lang w:val="es-ES"/>
        </w:rPr>
        <w:t xml:space="preserve"> factores ecológicos, sociales y económicos en la toma de decisiones. </w:t>
      </w:r>
      <w:r w:rsidR="004557AA">
        <w:rPr>
          <w:rFonts w:ascii="Arial" w:hAnsi="Arial" w:cs="Arial"/>
          <w:sz w:val="22"/>
          <w:szCs w:val="22"/>
          <w:lang w:val="es-ES"/>
        </w:rPr>
        <w:t>Sobre la base</w:t>
      </w:r>
      <w:r w:rsidRPr="00630379">
        <w:rPr>
          <w:rFonts w:ascii="Arial" w:hAnsi="Arial" w:cs="Arial"/>
          <w:sz w:val="22"/>
          <w:szCs w:val="22"/>
          <w:lang w:val="es-ES"/>
        </w:rPr>
        <w:t xml:space="preserve"> de esta experiencia, la estrategia ampliará y adaptará estos recursos para abarcar el ámbito más amplio de la planificación y gestión del océano. </w:t>
      </w:r>
    </w:p>
    <w:p w14:paraId="045280C6" w14:textId="72D211A3" w:rsidR="00C54645" w:rsidRPr="00630379" w:rsidRDefault="00C54645" w:rsidP="00546E74">
      <w:pPr>
        <w:pStyle w:val="Prrafodelista"/>
        <w:numPr>
          <w:ilvl w:val="0"/>
          <w:numId w:val="50"/>
        </w:numPr>
        <w:spacing w:after="240"/>
        <w:ind w:left="1276" w:hanging="567"/>
        <w:contextualSpacing w:val="0"/>
        <w:jc w:val="both"/>
        <w:rPr>
          <w:rFonts w:ascii="Arial" w:hAnsi="Arial" w:cs="Arial"/>
          <w:b/>
          <w:sz w:val="22"/>
          <w:szCs w:val="22"/>
          <w:lang w:val="es-ES"/>
        </w:rPr>
      </w:pPr>
      <w:r w:rsidRPr="00630379">
        <w:rPr>
          <w:rFonts w:ascii="Arial" w:hAnsi="Arial" w:cs="Arial"/>
          <w:b/>
          <w:bCs/>
          <w:sz w:val="22"/>
          <w:szCs w:val="22"/>
          <w:lang w:val="es-ES"/>
        </w:rPr>
        <w:t>Colaboraciones con entidades de las Naciones Unidas y de otro tipo</w:t>
      </w:r>
      <w:r w:rsidRPr="00630379">
        <w:rPr>
          <w:rFonts w:ascii="Arial" w:hAnsi="Arial" w:cs="Arial"/>
          <w:sz w:val="22"/>
          <w:szCs w:val="22"/>
          <w:lang w:val="es-ES"/>
        </w:rPr>
        <w:t xml:space="preserve">. </w:t>
      </w:r>
      <w:r w:rsidR="004557AA">
        <w:rPr>
          <w:rFonts w:ascii="Arial" w:hAnsi="Arial" w:cs="Arial"/>
          <w:sz w:val="22"/>
          <w:szCs w:val="22"/>
          <w:lang w:val="es-ES"/>
        </w:rPr>
        <w:t>Aprovechando</w:t>
      </w:r>
      <w:r w:rsidRPr="00630379">
        <w:rPr>
          <w:rFonts w:ascii="Arial" w:hAnsi="Arial" w:cs="Arial"/>
          <w:sz w:val="22"/>
          <w:szCs w:val="22"/>
          <w:lang w:val="es-ES"/>
        </w:rPr>
        <w:t xml:space="preserve"> las alianzas</w:t>
      </w:r>
      <w:r w:rsidR="004557AA">
        <w:rPr>
          <w:rFonts w:ascii="Arial" w:hAnsi="Arial" w:cs="Arial"/>
          <w:sz w:val="22"/>
          <w:szCs w:val="22"/>
          <w:lang w:val="es-ES"/>
        </w:rPr>
        <w:t xml:space="preserve"> existentes</w:t>
      </w:r>
      <w:r w:rsidRPr="00630379">
        <w:rPr>
          <w:rFonts w:ascii="Arial" w:hAnsi="Arial" w:cs="Arial"/>
          <w:sz w:val="22"/>
          <w:szCs w:val="22"/>
          <w:lang w:val="es-ES"/>
        </w:rPr>
        <w:t>, la estrategia seguirá colaborando con diversas organizaciones y programas pertenecientes y no pertenecientes a las Naciones Unidas. Algunas de estas entidades son, por ejemplo, el Programa de las Naciones Unidas para el Medio Ambiente (PNUMA), la Organización Meteorológica Mundial (OMM), el Convenio sobre la Diversidad Biológica (CDB), el Programa de las Naciones Unidas para el Desarrollo (PNUD), la Organización de las Naciones Unidas para la Alimentación y la Agricultura (FAO), la Comisión Europea y la coalición Acción oceánica 2030.</w:t>
      </w:r>
    </w:p>
    <w:p w14:paraId="13488EC8" w14:textId="2D0DDF89" w:rsidR="00C54645" w:rsidRPr="00630379" w:rsidRDefault="00C54645" w:rsidP="00546E74">
      <w:pPr>
        <w:pStyle w:val="Prrafodelista"/>
        <w:numPr>
          <w:ilvl w:val="0"/>
          <w:numId w:val="50"/>
        </w:numPr>
        <w:spacing w:before="120" w:after="240"/>
        <w:ind w:left="1276" w:hanging="567"/>
        <w:contextualSpacing w:val="0"/>
        <w:jc w:val="both"/>
        <w:rPr>
          <w:rFonts w:ascii="Arial" w:hAnsi="Arial" w:cs="Arial"/>
          <w:b/>
          <w:sz w:val="22"/>
          <w:szCs w:val="22"/>
          <w:lang w:val="es-ES"/>
        </w:rPr>
      </w:pPr>
      <w:r w:rsidRPr="00630379">
        <w:rPr>
          <w:rFonts w:ascii="Arial" w:hAnsi="Arial" w:cs="Arial"/>
          <w:b/>
          <w:bCs/>
          <w:sz w:val="22"/>
          <w:szCs w:val="22"/>
          <w:lang w:val="es-ES"/>
        </w:rPr>
        <w:t>Colaboración con agentes externos</w:t>
      </w:r>
      <w:r w:rsidRPr="00630379">
        <w:rPr>
          <w:rFonts w:ascii="Arial" w:hAnsi="Arial" w:cs="Arial"/>
          <w:sz w:val="22"/>
          <w:szCs w:val="22"/>
          <w:lang w:val="es-ES"/>
        </w:rPr>
        <w:t xml:space="preserve">. La colaboración con organizaciones intergubernamentales y no gubernamentales aportará conocimientos especializados en materia de promoción, participación comunitaria y conocimientos indígenas y locales para una planificación oceánica más inclusiva y socialmente equitativa. Al mismo tiempo, la participación de instituciones académicas impulsará el progreso científico, fomentará la toma de decisiones con base empírica e impartirá formación a los futuros profesionales de la planificación oceánica. Asimismo, las alianzas con el sector privado permitirán </w:t>
      </w:r>
      <w:r w:rsidR="003B1D21">
        <w:rPr>
          <w:rFonts w:ascii="Arial" w:hAnsi="Arial" w:cs="Arial"/>
          <w:sz w:val="22"/>
          <w:szCs w:val="22"/>
          <w:lang w:val="es-ES"/>
        </w:rPr>
        <w:t>utilizar</w:t>
      </w:r>
      <w:r w:rsidRPr="00630379">
        <w:rPr>
          <w:rFonts w:ascii="Arial" w:hAnsi="Arial" w:cs="Arial"/>
          <w:sz w:val="22"/>
          <w:szCs w:val="22"/>
          <w:lang w:val="es-ES"/>
        </w:rPr>
        <w:t xml:space="preserve"> los recursos, la innovación y la experiencia de la industria para mejorar la eficacia de las iniciativas de planificación oceánica, </w:t>
      </w:r>
      <w:r w:rsidR="003B1D21">
        <w:rPr>
          <w:rFonts w:ascii="Arial" w:hAnsi="Arial" w:cs="Arial"/>
          <w:sz w:val="22"/>
          <w:szCs w:val="22"/>
          <w:lang w:val="es-ES"/>
        </w:rPr>
        <w:t>y</w:t>
      </w:r>
      <w:r w:rsidRPr="00630379">
        <w:rPr>
          <w:rFonts w:ascii="Arial" w:hAnsi="Arial" w:cs="Arial"/>
          <w:sz w:val="22"/>
          <w:szCs w:val="22"/>
          <w:lang w:val="es-ES"/>
        </w:rPr>
        <w:t xml:space="preserve"> garantizar su </w:t>
      </w:r>
      <w:r w:rsidR="00141814">
        <w:rPr>
          <w:rFonts w:ascii="Arial" w:hAnsi="Arial" w:cs="Arial"/>
          <w:sz w:val="22"/>
          <w:szCs w:val="22"/>
          <w:lang w:val="es-ES"/>
        </w:rPr>
        <w:t>conformidad</w:t>
      </w:r>
      <w:r w:rsidRPr="00630379">
        <w:rPr>
          <w:rFonts w:ascii="Arial" w:hAnsi="Arial" w:cs="Arial"/>
          <w:sz w:val="22"/>
          <w:szCs w:val="22"/>
          <w:lang w:val="es-ES"/>
        </w:rPr>
        <w:t>, lo cual es clave para el éxito general. La colaboración con los medios de comunicación contribuirá a sensibilizar a la opinión pública, fomentar su compromiso y transmitir la importancia de la planificación y gestión sostenibles del océano. Estas alianzas catalizarán la investigación, la innovación y el intercambio de conocimientos, lo que conducirá a adoptar herramientas y metodologías de vanguardia para una aplicación eficaz de la planificación oceánica.</w:t>
      </w:r>
    </w:p>
    <w:p w14:paraId="3B842F4F" w14:textId="135AA298" w:rsidR="001F7011" w:rsidRPr="00630379" w:rsidRDefault="001F7011" w:rsidP="00546E74">
      <w:pPr>
        <w:pStyle w:val="Prrafodelista"/>
        <w:numPr>
          <w:ilvl w:val="0"/>
          <w:numId w:val="50"/>
        </w:numPr>
        <w:spacing w:after="240"/>
        <w:ind w:left="1276" w:hanging="567"/>
        <w:jc w:val="both"/>
        <w:rPr>
          <w:rFonts w:ascii="Arial" w:hAnsi="Arial" w:cs="Arial"/>
          <w:b/>
          <w:sz w:val="22"/>
          <w:szCs w:val="22"/>
          <w:lang w:val="es-ES"/>
        </w:rPr>
      </w:pPr>
      <w:r w:rsidRPr="00630379">
        <w:rPr>
          <w:rFonts w:ascii="Arial" w:hAnsi="Arial" w:cs="Arial"/>
          <w:b/>
          <w:bCs/>
          <w:sz w:val="22"/>
          <w:szCs w:val="22"/>
          <w:lang w:val="es-ES"/>
        </w:rPr>
        <w:t>El Decenio del Océano</w:t>
      </w:r>
      <w:r w:rsidRPr="00630379">
        <w:rPr>
          <w:rFonts w:ascii="Arial" w:hAnsi="Arial" w:cs="Arial"/>
          <w:sz w:val="22"/>
          <w:szCs w:val="22"/>
          <w:lang w:val="es-ES"/>
        </w:rPr>
        <w:t xml:space="preserve">. Una de las principales tareas de la COI consiste en prestar asistencia </w:t>
      </w:r>
      <w:r w:rsidR="00A45D96">
        <w:rPr>
          <w:rFonts w:ascii="Arial" w:hAnsi="Arial" w:cs="Arial"/>
          <w:sz w:val="22"/>
          <w:szCs w:val="22"/>
          <w:lang w:val="es-ES"/>
        </w:rPr>
        <w:t>para</w:t>
      </w:r>
      <w:r w:rsidRPr="00630379">
        <w:rPr>
          <w:rFonts w:ascii="Arial" w:hAnsi="Arial" w:cs="Arial"/>
          <w:sz w:val="22"/>
          <w:szCs w:val="22"/>
          <w:lang w:val="es-ES"/>
        </w:rPr>
        <w:t xml:space="preserve"> facilitar la ejecución del Decenio de las Naciones Unidas de las Ciencias Oceánicas para el Desarrollo Sostenible (Decenio del Océano). El nuevo programa del Decenio sobre planificación sostenible del océano, puesto en marcha en la Conferencia del Decenio del Océano de 2024 en Barcelona, complementa la estrategia para toda la COI sobre la planificación y gestión sostenibles del océano </w:t>
      </w:r>
      <w:r w:rsidRPr="00630379">
        <w:rPr>
          <w:rFonts w:ascii="Arial" w:hAnsi="Arial" w:cs="Arial"/>
          <w:sz w:val="22"/>
          <w:szCs w:val="22"/>
          <w:lang w:val="es-ES"/>
        </w:rPr>
        <w:lastRenderedPageBreak/>
        <w:t xml:space="preserve">(2024-2030), ya que proporciona una herramienta de apoyo para </w:t>
      </w:r>
      <w:r w:rsidR="00A45D96">
        <w:rPr>
          <w:rFonts w:ascii="Arial" w:hAnsi="Arial" w:cs="Arial"/>
          <w:sz w:val="22"/>
          <w:szCs w:val="22"/>
          <w:lang w:val="es-ES"/>
        </w:rPr>
        <w:t>promover</w:t>
      </w:r>
      <w:r w:rsidRPr="00630379">
        <w:rPr>
          <w:rFonts w:ascii="Arial" w:hAnsi="Arial" w:cs="Arial"/>
          <w:sz w:val="22"/>
          <w:szCs w:val="22"/>
          <w:lang w:val="es-ES"/>
        </w:rPr>
        <w:t xml:space="preserve"> y poner en práctica estrategias nacionales de planificación y gestión sostenibles del océano. La</w:t>
      </w:r>
      <w:r w:rsidR="001F2592">
        <w:rPr>
          <w:rFonts w:ascii="Arial" w:hAnsi="Arial" w:cs="Arial"/>
          <w:sz w:val="22"/>
          <w:szCs w:val="22"/>
          <w:lang w:val="es-ES"/>
        </w:rPr>
        <w:t>s</w:t>
      </w:r>
      <w:r w:rsidRPr="00630379">
        <w:rPr>
          <w:rFonts w:ascii="Arial" w:hAnsi="Arial" w:cs="Arial"/>
          <w:sz w:val="22"/>
          <w:szCs w:val="22"/>
          <w:lang w:val="es-ES"/>
        </w:rPr>
        <w:t xml:space="preserve"> actividades del programa</w:t>
      </w:r>
      <w:r w:rsidR="001F2592">
        <w:rPr>
          <w:rFonts w:ascii="Arial" w:hAnsi="Arial" w:cs="Arial"/>
          <w:sz w:val="22"/>
          <w:szCs w:val="22"/>
          <w:lang w:val="es-ES"/>
        </w:rPr>
        <w:t>,</w:t>
      </w:r>
      <w:r w:rsidR="001F2592" w:rsidRPr="001F2592">
        <w:rPr>
          <w:rFonts w:ascii="Arial" w:hAnsi="Arial" w:cs="Arial"/>
          <w:sz w:val="22"/>
          <w:szCs w:val="22"/>
          <w:lang w:val="es-ES"/>
        </w:rPr>
        <w:t xml:space="preserve"> </w:t>
      </w:r>
      <w:r w:rsidR="001F2592" w:rsidRPr="00630379">
        <w:rPr>
          <w:rFonts w:ascii="Arial" w:hAnsi="Arial" w:cs="Arial"/>
          <w:sz w:val="22"/>
          <w:szCs w:val="22"/>
          <w:lang w:val="es-ES"/>
        </w:rPr>
        <w:t>conce</w:t>
      </w:r>
      <w:r w:rsidR="001F2592">
        <w:rPr>
          <w:rFonts w:ascii="Arial" w:hAnsi="Arial" w:cs="Arial"/>
          <w:sz w:val="22"/>
          <w:szCs w:val="22"/>
          <w:lang w:val="es-ES"/>
        </w:rPr>
        <w:t>bidas</w:t>
      </w:r>
      <w:r w:rsidR="001F2592" w:rsidRPr="00630379">
        <w:rPr>
          <w:rFonts w:ascii="Arial" w:hAnsi="Arial" w:cs="Arial"/>
          <w:sz w:val="22"/>
          <w:szCs w:val="22"/>
          <w:lang w:val="es-ES"/>
        </w:rPr>
        <w:t xml:space="preserve"> y ejecu</w:t>
      </w:r>
      <w:r w:rsidR="001F2592">
        <w:rPr>
          <w:rFonts w:ascii="Arial" w:hAnsi="Arial" w:cs="Arial"/>
          <w:sz w:val="22"/>
          <w:szCs w:val="22"/>
          <w:lang w:val="es-ES"/>
        </w:rPr>
        <w:t>tadas de forma</w:t>
      </w:r>
      <w:r w:rsidR="001F2592" w:rsidRPr="00630379">
        <w:rPr>
          <w:rFonts w:ascii="Arial" w:hAnsi="Arial" w:cs="Arial"/>
          <w:sz w:val="22"/>
          <w:szCs w:val="22"/>
          <w:lang w:val="es-ES"/>
        </w:rPr>
        <w:t xml:space="preserve"> conjunta</w:t>
      </w:r>
      <w:r w:rsidR="001F2592">
        <w:rPr>
          <w:rFonts w:ascii="Arial" w:hAnsi="Arial" w:cs="Arial"/>
          <w:sz w:val="22"/>
          <w:szCs w:val="22"/>
          <w:lang w:val="es-ES"/>
        </w:rPr>
        <w:t>,</w:t>
      </w:r>
      <w:r w:rsidRPr="00630379">
        <w:rPr>
          <w:rFonts w:ascii="Arial" w:hAnsi="Arial" w:cs="Arial"/>
          <w:sz w:val="22"/>
          <w:szCs w:val="22"/>
          <w:lang w:val="es-ES"/>
        </w:rPr>
        <w:t xml:space="preserve"> garantizarán que los proyectos aborden lagunas críticas </w:t>
      </w:r>
      <w:r w:rsidR="007B09E1">
        <w:rPr>
          <w:rFonts w:ascii="Arial" w:hAnsi="Arial" w:cs="Arial"/>
          <w:sz w:val="22"/>
          <w:szCs w:val="22"/>
          <w:lang w:val="es-ES"/>
        </w:rPr>
        <w:t>de</w:t>
      </w:r>
      <w:r w:rsidRPr="00630379">
        <w:rPr>
          <w:rFonts w:ascii="Arial" w:hAnsi="Arial" w:cs="Arial"/>
          <w:sz w:val="22"/>
          <w:szCs w:val="22"/>
          <w:lang w:val="es-ES"/>
        </w:rPr>
        <w:t xml:space="preserve"> los Estados Miembros en materia de ciencias, conocimientos y desarrollo de capacidades. Además, su enfoque iterativo permite adaptar y perfeccionar las prioridades para hacer frente a los nuevos retos. Estas sinergias son esenciales para alcanzar los objetivos de la estrategia para toda la COI, ya que fomentan prácticas de gestión del océano integradas, adaptables y resilientes que mejoran la cooperación mundial y regional y contribuyen a la sostenibilidad y equidad a largo plazo de las economías oceánicas.</w:t>
      </w:r>
    </w:p>
    <w:p w14:paraId="6E983202" w14:textId="765DE26E" w:rsidR="003330BA" w:rsidRPr="00141814" w:rsidRDefault="00C54645" w:rsidP="00783168">
      <w:pPr>
        <w:pStyle w:val="Ttulo2"/>
        <w:spacing w:before="240" w:after="240"/>
        <w:rPr>
          <w:rFonts w:ascii="Arial" w:hAnsi="Arial" w:cs="Arial"/>
          <w:color w:val="000000" w:themeColor="text1"/>
          <w:sz w:val="22"/>
          <w:szCs w:val="22"/>
          <w:u w:val="single"/>
          <w:lang w:val="es-ES"/>
        </w:rPr>
      </w:pPr>
      <w:bookmarkStart w:id="14" w:name="_Toc169082645"/>
      <w:r w:rsidRPr="00141814">
        <w:rPr>
          <w:rFonts w:ascii="Arial" w:hAnsi="Arial" w:cs="Arial"/>
          <w:color w:val="000000" w:themeColor="text1"/>
          <w:sz w:val="22"/>
          <w:szCs w:val="22"/>
          <w:u w:val="single"/>
          <w:lang w:val="es-ES"/>
        </w:rPr>
        <w:t>Mecanismo de orientación</w:t>
      </w:r>
      <w:bookmarkEnd w:id="14"/>
    </w:p>
    <w:p w14:paraId="27182A25" w14:textId="6644273E"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color w:val="000000" w:themeColor="text1"/>
          <w:sz w:val="22"/>
          <w:szCs w:val="22"/>
          <w:lang w:val="es-ES"/>
        </w:rPr>
      </w:pPr>
      <w:r w:rsidRPr="004C4B08">
        <w:rPr>
          <w:rFonts w:ascii="Arial" w:hAnsi="Arial" w:cs="Arial"/>
          <w:sz w:val="22"/>
          <w:szCs w:val="22"/>
          <w:lang w:val="es-ES"/>
        </w:rPr>
        <w:t xml:space="preserve">Para orientar la aplicación efectiva de esta estrategia, se creará un </w:t>
      </w:r>
      <w:r w:rsidRPr="004C4B08">
        <w:rPr>
          <w:rFonts w:ascii="Arial" w:hAnsi="Arial" w:cs="Arial"/>
          <w:sz w:val="22"/>
          <w:szCs w:val="22"/>
          <w:u w:val="single"/>
          <w:lang w:val="es-ES"/>
        </w:rPr>
        <w:t>grupo de trabajo de la COI para la planificación y gestión sostenibles del océano</w:t>
      </w:r>
      <w:r w:rsidRPr="004C4B08">
        <w:rPr>
          <w:rFonts w:ascii="Arial" w:hAnsi="Arial" w:cs="Arial"/>
          <w:sz w:val="22"/>
          <w:szCs w:val="22"/>
          <w:lang w:val="es-ES"/>
        </w:rPr>
        <w:t>. Este grupo se encargará de supervisar y orientar las actividades relacionadas con la planificación y gestión del océano en todos los programas de la COI, además de emprender nuevas iniciativas a petición de los órganos rectores de la COI. También desempeñará un papel fundamental en la elaboración y ejecución de la estrategia. Se formulará un plan de aplicación que se actualizará periódicamente para adaptarlo a la evolución de las herramientas y los marcos científicos internacionales.</w:t>
      </w:r>
    </w:p>
    <w:p w14:paraId="4F99AB84" w14:textId="5385FC89"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color w:val="000000"/>
          <w:sz w:val="22"/>
          <w:szCs w:val="22"/>
          <w:lang w:val="es-ES"/>
        </w:rPr>
      </w:pPr>
      <w:r w:rsidRPr="004C4B08">
        <w:rPr>
          <w:rFonts w:ascii="Arial" w:hAnsi="Arial" w:cs="Arial"/>
          <w:sz w:val="22"/>
          <w:szCs w:val="22"/>
          <w:lang w:val="es-ES"/>
        </w:rPr>
        <w:t xml:space="preserve">Con miras a garantizar la eficacia, el grupo de trabajo estará formado por un equipo representativo al que se podrán incorporar expertos adicionales cuando sea necesario y apropiado. Sus miembros serán representantes de los órganos subsidiarios regionales de la COI y representantes designados por los órganos rectores de cada programa de la COI (cuando proceda), así como expertos </w:t>
      </w:r>
      <w:r w:rsidR="002D58D9">
        <w:rPr>
          <w:rFonts w:ascii="Arial" w:hAnsi="Arial" w:cs="Arial"/>
          <w:sz w:val="22"/>
          <w:szCs w:val="22"/>
          <w:lang w:val="es-ES"/>
        </w:rPr>
        <w:t>seleccionados</w:t>
      </w:r>
      <w:r w:rsidRPr="004C4B08">
        <w:rPr>
          <w:rFonts w:ascii="Arial" w:hAnsi="Arial" w:cs="Arial"/>
          <w:sz w:val="22"/>
          <w:szCs w:val="22"/>
          <w:lang w:val="es-ES"/>
        </w:rPr>
        <w:t xml:space="preserve"> por los Estados Miembros de la COI en respuesta a una convocatoria mediante circular. A reserva de ulteriores debates, los copresidentes designados se elegirán por rotación.</w:t>
      </w:r>
    </w:p>
    <w:p w14:paraId="7BECDCAD" w14:textId="571632EF" w:rsidR="00C54645" w:rsidRPr="004C4B08" w:rsidRDefault="00C54645" w:rsidP="00716ED5">
      <w:pPr>
        <w:pStyle w:val="Prrafodelista"/>
        <w:numPr>
          <w:ilvl w:val="0"/>
          <w:numId w:val="37"/>
        </w:numPr>
        <w:tabs>
          <w:tab w:val="left" w:pos="709"/>
        </w:tabs>
        <w:spacing w:after="240"/>
        <w:ind w:left="0" w:firstLine="0"/>
        <w:contextualSpacing w:val="0"/>
        <w:jc w:val="both"/>
        <w:rPr>
          <w:rFonts w:ascii="Arial" w:hAnsi="Arial" w:cs="Arial"/>
          <w:bCs/>
          <w:sz w:val="22"/>
          <w:szCs w:val="22"/>
          <w:lang w:val="es-ES"/>
        </w:rPr>
      </w:pPr>
      <w:r w:rsidRPr="004C4B08">
        <w:rPr>
          <w:rFonts w:ascii="Arial" w:hAnsi="Arial" w:cs="Arial"/>
          <w:sz w:val="22"/>
          <w:szCs w:val="22"/>
          <w:lang w:val="es-ES"/>
        </w:rPr>
        <w:t>El grupo de trabajo se reunirá dos veces al año para</w:t>
      </w:r>
      <w:r w:rsidR="00017974">
        <w:rPr>
          <w:rFonts w:ascii="Arial" w:hAnsi="Arial" w:cs="Arial"/>
          <w:sz w:val="22"/>
          <w:szCs w:val="22"/>
          <w:lang w:val="es-ES"/>
        </w:rPr>
        <w:t xml:space="preserve">, en primer lugar, </w:t>
      </w:r>
      <w:r w:rsidRPr="004C4B08">
        <w:rPr>
          <w:rFonts w:ascii="Arial" w:hAnsi="Arial" w:cs="Arial"/>
          <w:sz w:val="22"/>
          <w:szCs w:val="22"/>
          <w:lang w:val="es-ES"/>
        </w:rPr>
        <w:t xml:space="preserve">orientar la elaboración de una </w:t>
      </w:r>
      <w:r w:rsidRPr="004C4B08">
        <w:rPr>
          <w:rFonts w:ascii="Arial" w:hAnsi="Arial" w:cs="Arial"/>
          <w:sz w:val="22"/>
          <w:szCs w:val="22"/>
          <w:u w:val="single"/>
          <w:lang w:val="es-ES"/>
        </w:rPr>
        <w:t>estrategia de aplicación</w:t>
      </w:r>
      <w:r w:rsidRPr="004C4B08">
        <w:rPr>
          <w:rFonts w:ascii="Arial" w:hAnsi="Arial" w:cs="Arial"/>
          <w:sz w:val="22"/>
          <w:szCs w:val="22"/>
          <w:lang w:val="es-ES"/>
        </w:rPr>
        <w:t xml:space="preserve"> y</w:t>
      </w:r>
      <w:r w:rsidR="00017974">
        <w:rPr>
          <w:rFonts w:ascii="Arial" w:hAnsi="Arial" w:cs="Arial"/>
          <w:sz w:val="22"/>
          <w:szCs w:val="22"/>
          <w:lang w:val="es-ES"/>
        </w:rPr>
        <w:t>,</w:t>
      </w:r>
      <w:r w:rsidRPr="004C4B08">
        <w:rPr>
          <w:rFonts w:ascii="Arial" w:hAnsi="Arial" w:cs="Arial"/>
          <w:sz w:val="22"/>
          <w:szCs w:val="22"/>
          <w:lang w:val="es-ES"/>
        </w:rPr>
        <w:t xml:space="preserve"> </w:t>
      </w:r>
      <w:r w:rsidR="00017974">
        <w:rPr>
          <w:rFonts w:ascii="Arial" w:hAnsi="Arial" w:cs="Arial"/>
          <w:sz w:val="22"/>
          <w:szCs w:val="22"/>
          <w:lang w:val="es-ES"/>
        </w:rPr>
        <w:t xml:space="preserve">después, </w:t>
      </w:r>
      <w:r w:rsidRPr="004C4B08">
        <w:rPr>
          <w:rFonts w:ascii="Arial" w:hAnsi="Arial" w:cs="Arial"/>
          <w:sz w:val="22"/>
          <w:szCs w:val="22"/>
          <w:lang w:val="es-ES"/>
        </w:rPr>
        <w:t xml:space="preserve">supervisar y actualizar la aplicación de la estrategia, abordando cuestiones específicas relacionadas con el programa </w:t>
      </w:r>
      <w:r w:rsidR="0007319D">
        <w:rPr>
          <w:rFonts w:ascii="Arial" w:hAnsi="Arial" w:cs="Arial"/>
          <w:sz w:val="22"/>
          <w:szCs w:val="22"/>
          <w:lang w:val="es-ES"/>
        </w:rPr>
        <w:t>de</w:t>
      </w:r>
      <w:r w:rsidRPr="004C4B08">
        <w:rPr>
          <w:rFonts w:ascii="Arial" w:hAnsi="Arial" w:cs="Arial"/>
          <w:sz w:val="22"/>
          <w:szCs w:val="22"/>
          <w:lang w:val="es-ES"/>
        </w:rPr>
        <w:t xml:space="preserve"> planificación y gestión sostenibles del océano, así como cuestiones nuevas. Los Estados Miembros recibirán información actualizada para que formulen comentarios una vez por bienio mientras dure la estrategia, de acuerdo con el calendario de las reuniones de la Asamblea</w:t>
      </w:r>
      <w:r w:rsidR="0007319D">
        <w:rPr>
          <w:rFonts w:ascii="Arial" w:hAnsi="Arial" w:cs="Arial"/>
          <w:sz w:val="22"/>
          <w:szCs w:val="22"/>
          <w:lang w:val="es-ES"/>
        </w:rPr>
        <w:t xml:space="preserve"> y</w:t>
      </w:r>
      <w:r w:rsidRPr="004C4B08">
        <w:rPr>
          <w:rFonts w:ascii="Arial" w:hAnsi="Arial" w:cs="Arial"/>
          <w:sz w:val="22"/>
          <w:szCs w:val="22"/>
          <w:lang w:val="es-ES"/>
        </w:rPr>
        <w:t xml:space="preserve"> en un punto permanente de su orden del día. </w:t>
      </w:r>
      <w:r w:rsidR="001612AA">
        <w:rPr>
          <w:rFonts w:ascii="Arial" w:hAnsi="Arial" w:cs="Arial"/>
          <w:sz w:val="22"/>
          <w:szCs w:val="22"/>
          <w:lang w:val="es-ES"/>
        </w:rPr>
        <w:t>De igual modo</w:t>
      </w:r>
      <w:r w:rsidRPr="004C4B08">
        <w:rPr>
          <w:rFonts w:ascii="Arial" w:hAnsi="Arial" w:cs="Arial"/>
          <w:sz w:val="22"/>
          <w:szCs w:val="22"/>
          <w:lang w:val="es-ES"/>
        </w:rPr>
        <w:t xml:space="preserve">, el grupo de trabajo impartirá orientaciones que se integrarán en los procesos de la Estrategia a Plazo Medio de la UNESCO y la COI que se pondrán en marcha en 2027. </w:t>
      </w:r>
      <w:r w:rsidR="0007319D">
        <w:rPr>
          <w:rFonts w:ascii="Arial" w:hAnsi="Arial" w:cs="Arial"/>
          <w:sz w:val="22"/>
          <w:szCs w:val="22"/>
          <w:lang w:val="es-ES"/>
        </w:rPr>
        <w:t>Las</w:t>
      </w:r>
      <w:r w:rsidRPr="004C4B08">
        <w:rPr>
          <w:rFonts w:ascii="Arial" w:hAnsi="Arial" w:cs="Arial"/>
          <w:sz w:val="22"/>
          <w:szCs w:val="22"/>
          <w:lang w:val="es-ES"/>
        </w:rPr>
        <w:t xml:space="preserve"> reuniones garantizarán una supervisión y perfeccionamiento continuos de la estrategia</w:t>
      </w:r>
      <w:r w:rsidR="0007319D">
        <w:rPr>
          <w:rFonts w:ascii="Arial" w:hAnsi="Arial" w:cs="Arial"/>
          <w:sz w:val="22"/>
          <w:szCs w:val="22"/>
          <w:lang w:val="es-ES"/>
        </w:rPr>
        <w:t xml:space="preserve"> para</w:t>
      </w:r>
      <w:r w:rsidRPr="004C4B08">
        <w:rPr>
          <w:rFonts w:ascii="Arial" w:hAnsi="Arial" w:cs="Arial"/>
          <w:sz w:val="22"/>
          <w:szCs w:val="22"/>
          <w:lang w:val="es-ES"/>
        </w:rPr>
        <w:t xml:space="preserve"> fomenta</w:t>
      </w:r>
      <w:r w:rsidR="0007319D">
        <w:rPr>
          <w:rFonts w:ascii="Arial" w:hAnsi="Arial" w:cs="Arial"/>
          <w:sz w:val="22"/>
          <w:szCs w:val="22"/>
          <w:lang w:val="es-ES"/>
        </w:rPr>
        <w:t>r</w:t>
      </w:r>
      <w:r w:rsidRPr="004C4B08">
        <w:rPr>
          <w:rFonts w:ascii="Arial" w:hAnsi="Arial" w:cs="Arial"/>
          <w:sz w:val="22"/>
          <w:szCs w:val="22"/>
          <w:lang w:val="es-ES"/>
        </w:rPr>
        <w:t xml:space="preserve"> su eficacia y adaptabilidad a los retos y oportunidades en evolución.</w:t>
      </w:r>
    </w:p>
    <w:p w14:paraId="0527D4CC" w14:textId="77777777" w:rsidR="00C54645" w:rsidRPr="004C4B08" w:rsidRDefault="00C54645" w:rsidP="00C54645">
      <w:pPr>
        <w:keepNext/>
        <w:pBdr>
          <w:top w:val="nil"/>
          <w:left w:val="nil"/>
          <w:bottom w:val="nil"/>
          <w:right w:val="nil"/>
          <w:between w:val="nil"/>
        </w:pBdr>
        <w:rPr>
          <w:rFonts w:ascii="Arial" w:hAnsi="Arial" w:cs="Arial"/>
          <w:i/>
          <w:color w:val="4E5763"/>
          <w:sz w:val="22"/>
          <w:szCs w:val="22"/>
          <w:lang w:val="es-ES"/>
        </w:rPr>
      </w:pPr>
      <w:r w:rsidRPr="004C4B08">
        <w:rPr>
          <w:rFonts w:ascii="Arial" w:hAnsi="Arial" w:cs="Arial"/>
          <w:b/>
          <w:bCs/>
          <w:sz w:val="22"/>
          <w:szCs w:val="22"/>
          <w:lang w:val="es-ES"/>
        </w:rPr>
        <w:t>Cuadro 1.</w:t>
      </w:r>
      <w:r w:rsidRPr="004C4B08">
        <w:rPr>
          <w:rFonts w:ascii="Arial" w:hAnsi="Arial" w:cs="Arial"/>
          <w:sz w:val="22"/>
          <w:szCs w:val="22"/>
          <w:lang w:val="es-ES"/>
        </w:rPr>
        <w:t xml:space="preserve"> </w:t>
      </w:r>
      <w:r w:rsidRPr="004C4B08">
        <w:rPr>
          <w:rFonts w:ascii="Arial" w:hAnsi="Arial" w:cs="Arial"/>
          <w:i/>
          <w:iCs/>
          <w:sz w:val="22"/>
          <w:szCs w:val="22"/>
          <w:lang w:val="es-ES"/>
        </w:rPr>
        <w:t>Actividades orientadas al logro de los objetivos estratégicos</w:t>
      </w:r>
    </w:p>
    <w:p w14:paraId="3792EB6E" w14:textId="5F7ACD6E" w:rsidR="00C54645" w:rsidRPr="004C4B08" w:rsidRDefault="00C54645" w:rsidP="00C54645">
      <w:pPr>
        <w:rPr>
          <w:bCs/>
          <w:sz w:val="12"/>
          <w:szCs w:val="12"/>
          <w:lang w:val="es-E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45"/>
        <w:gridCol w:w="2140"/>
        <w:gridCol w:w="5749"/>
      </w:tblGrid>
      <w:tr w:rsidR="003330BA" w:rsidRPr="004C4B08" w14:paraId="72226884" w14:textId="77777777" w:rsidTr="00783168">
        <w:trPr>
          <w:trHeight w:val="492"/>
          <w:tblHeader/>
        </w:trPr>
        <w:tc>
          <w:tcPr>
            <w:tcW w:w="1745" w:type="dxa"/>
            <w:shd w:val="clear" w:color="auto" w:fill="666666"/>
            <w:tcMar>
              <w:top w:w="100" w:type="dxa"/>
              <w:left w:w="100" w:type="dxa"/>
              <w:bottom w:w="100" w:type="dxa"/>
              <w:right w:w="100" w:type="dxa"/>
            </w:tcMar>
          </w:tcPr>
          <w:p w14:paraId="018231F0" w14:textId="77777777" w:rsidR="00C54645" w:rsidRPr="00546E74" w:rsidRDefault="00C54645" w:rsidP="00061180">
            <w:pPr>
              <w:widowControl w:val="0"/>
              <w:pBdr>
                <w:top w:val="nil"/>
                <w:left w:val="nil"/>
                <w:bottom w:val="nil"/>
                <w:right w:val="nil"/>
                <w:between w:val="nil"/>
              </w:pBdr>
              <w:rPr>
                <w:rFonts w:ascii="Arial" w:hAnsi="Arial" w:cs="Arial"/>
                <w:b/>
                <w:color w:val="FFFFFF" w:themeColor="background1"/>
                <w:sz w:val="20"/>
                <w:szCs w:val="20"/>
                <w:lang w:val="es-ES"/>
              </w:rPr>
            </w:pPr>
            <w:r w:rsidRPr="00546E74">
              <w:rPr>
                <w:rFonts w:ascii="Arial" w:hAnsi="Arial" w:cs="Arial"/>
                <w:b/>
                <w:bCs/>
                <w:color w:val="FFFFFF" w:themeColor="background1"/>
                <w:sz w:val="20"/>
                <w:szCs w:val="20"/>
                <w:lang w:val="es-ES"/>
              </w:rPr>
              <w:t>Actividades</w:t>
            </w:r>
          </w:p>
        </w:tc>
        <w:tc>
          <w:tcPr>
            <w:tcW w:w="2140" w:type="dxa"/>
            <w:shd w:val="clear" w:color="auto" w:fill="666666"/>
            <w:tcMar>
              <w:top w:w="100" w:type="dxa"/>
              <w:left w:w="100" w:type="dxa"/>
              <w:bottom w:w="100" w:type="dxa"/>
              <w:right w:w="100" w:type="dxa"/>
            </w:tcMar>
          </w:tcPr>
          <w:p w14:paraId="7AC285AC" w14:textId="77777777" w:rsidR="00C54645" w:rsidRPr="00546E74" w:rsidRDefault="00C54645" w:rsidP="00061180">
            <w:pPr>
              <w:widowControl w:val="0"/>
              <w:pBdr>
                <w:top w:val="nil"/>
                <w:left w:val="nil"/>
                <w:bottom w:val="nil"/>
                <w:right w:val="nil"/>
                <w:between w:val="nil"/>
              </w:pBdr>
              <w:rPr>
                <w:rFonts w:ascii="Arial" w:hAnsi="Arial" w:cs="Arial"/>
                <w:b/>
                <w:color w:val="FFFFFF" w:themeColor="background1"/>
                <w:sz w:val="20"/>
                <w:szCs w:val="20"/>
                <w:lang w:val="es-ES"/>
              </w:rPr>
            </w:pPr>
            <w:r w:rsidRPr="00546E74">
              <w:rPr>
                <w:rFonts w:ascii="Arial" w:hAnsi="Arial" w:cs="Arial"/>
                <w:b/>
                <w:bCs/>
                <w:color w:val="FFFFFF" w:themeColor="background1"/>
                <w:sz w:val="20"/>
                <w:szCs w:val="20"/>
                <w:lang w:val="es-ES"/>
              </w:rPr>
              <w:t>Iniciativas de la COI</w:t>
            </w:r>
          </w:p>
        </w:tc>
        <w:tc>
          <w:tcPr>
            <w:tcW w:w="5749" w:type="dxa"/>
            <w:tcBorders>
              <w:top w:val="single" w:sz="4" w:space="0" w:color="000000"/>
              <w:left w:val="single" w:sz="4" w:space="0" w:color="000000"/>
              <w:bottom w:val="single" w:sz="4" w:space="0" w:color="000000"/>
              <w:right w:val="single" w:sz="4" w:space="0" w:color="000000"/>
            </w:tcBorders>
            <w:shd w:val="clear" w:color="auto" w:fill="666666"/>
            <w:tcMar>
              <w:top w:w="99" w:type="dxa"/>
              <w:left w:w="99" w:type="dxa"/>
              <w:bottom w:w="99" w:type="dxa"/>
              <w:right w:w="99" w:type="dxa"/>
            </w:tcMar>
          </w:tcPr>
          <w:p w14:paraId="138F0E40" w14:textId="77777777" w:rsidR="00C54645" w:rsidRPr="00546E74" w:rsidRDefault="00C54645" w:rsidP="00061180">
            <w:pPr>
              <w:widowControl w:val="0"/>
              <w:rPr>
                <w:rFonts w:ascii="Arial" w:hAnsi="Arial" w:cs="Arial"/>
                <w:color w:val="FFFFFF" w:themeColor="background1"/>
                <w:sz w:val="20"/>
                <w:szCs w:val="20"/>
                <w:lang w:val="es-ES"/>
              </w:rPr>
            </w:pPr>
            <w:r w:rsidRPr="00546E74">
              <w:rPr>
                <w:rFonts w:ascii="Arial" w:hAnsi="Arial" w:cs="Arial"/>
                <w:b/>
                <w:bCs/>
                <w:color w:val="FFFFFF" w:themeColor="background1"/>
                <w:sz w:val="20"/>
                <w:szCs w:val="20"/>
                <w:lang w:val="es-ES"/>
              </w:rPr>
              <w:t>Ejemplos</w:t>
            </w:r>
          </w:p>
        </w:tc>
      </w:tr>
      <w:tr w:rsidR="003330BA" w:rsidRPr="00BF516E" w14:paraId="0F5EE8E3" w14:textId="77777777" w:rsidTr="00783168">
        <w:trPr>
          <w:trHeight w:val="444"/>
        </w:trPr>
        <w:tc>
          <w:tcPr>
            <w:tcW w:w="1745" w:type="dxa"/>
            <w:vMerge w:val="restart"/>
            <w:shd w:val="clear" w:color="auto" w:fill="auto"/>
            <w:tcMar>
              <w:top w:w="100" w:type="dxa"/>
              <w:left w:w="100" w:type="dxa"/>
              <w:bottom w:w="100" w:type="dxa"/>
              <w:right w:w="100" w:type="dxa"/>
            </w:tcMar>
          </w:tcPr>
          <w:p w14:paraId="2D1083CB" w14:textId="77777777" w:rsidR="00C54645" w:rsidRPr="0007319D" w:rsidRDefault="00C54645" w:rsidP="00061180">
            <w:pPr>
              <w:widowControl w:val="0"/>
              <w:rPr>
                <w:rFonts w:ascii="Arial" w:hAnsi="Arial" w:cs="Arial"/>
                <w:b/>
                <w:color w:val="4E5763"/>
                <w:sz w:val="20"/>
                <w:szCs w:val="20"/>
                <w:lang w:val="es-ES"/>
              </w:rPr>
            </w:pPr>
            <w:r w:rsidRPr="0007319D">
              <w:rPr>
                <w:rFonts w:ascii="Arial" w:hAnsi="Arial" w:cs="Arial"/>
                <w:b/>
                <w:bCs/>
                <w:sz w:val="20"/>
                <w:szCs w:val="20"/>
                <w:lang w:val="es-ES"/>
              </w:rPr>
              <w:t>Desarrollo de capacidades</w:t>
            </w:r>
          </w:p>
        </w:tc>
        <w:tc>
          <w:tcPr>
            <w:tcW w:w="2140" w:type="dxa"/>
            <w:vMerge w:val="restart"/>
            <w:shd w:val="clear" w:color="auto" w:fill="auto"/>
            <w:tcMar>
              <w:top w:w="100" w:type="dxa"/>
              <w:left w:w="100" w:type="dxa"/>
              <w:bottom w:w="100" w:type="dxa"/>
              <w:right w:w="100" w:type="dxa"/>
            </w:tcMar>
          </w:tcPr>
          <w:p w14:paraId="6D9CD5B0"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 xml:space="preserve">Academia Mundial </w:t>
            </w:r>
            <w:proofErr w:type="spellStart"/>
            <w:r w:rsidRPr="0007319D">
              <w:rPr>
                <w:rFonts w:ascii="Arial" w:hAnsi="Arial" w:cs="Arial"/>
                <w:sz w:val="20"/>
                <w:szCs w:val="20"/>
                <w:lang w:val="es-ES"/>
              </w:rPr>
              <w:t>OceanTeacher</w:t>
            </w:r>
            <w:proofErr w:type="spellEnd"/>
            <w:r w:rsidRPr="0007319D">
              <w:rPr>
                <w:rFonts w:ascii="Arial" w:hAnsi="Arial" w:cs="Arial"/>
                <w:sz w:val="20"/>
                <w:szCs w:val="20"/>
                <w:lang w:val="es-ES"/>
              </w:rPr>
              <w:t xml:space="preserve">, </w:t>
            </w:r>
            <w:proofErr w:type="spellStart"/>
            <w:r w:rsidRPr="0007319D">
              <w:rPr>
                <w:rFonts w:ascii="Arial" w:hAnsi="Arial" w:cs="Arial"/>
                <w:sz w:val="20"/>
                <w:szCs w:val="20"/>
                <w:lang w:val="es-ES"/>
              </w:rPr>
              <w:t>Ocean</w:t>
            </w:r>
            <w:proofErr w:type="spellEnd"/>
            <w:r w:rsidRPr="0007319D">
              <w:rPr>
                <w:rFonts w:ascii="Arial" w:hAnsi="Arial" w:cs="Arial"/>
                <w:sz w:val="20"/>
                <w:szCs w:val="20"/>
                <w:lang w:val="es-ES"/>
              </w:rPr>
              <w:t xml:space="preserve"> CD-Hub,</w:t>
            </w:r>
          </w:p>
          <w:p w14:paraId="34BEC410" w14:textId="77777777" w:rsidR="00C54645" w:rsidRPr="0007319D" w:rsidRDefault="00C54645" w:rsidP="00061180">
            <w:pPr>
              <w:widowControl w:val="0"/>
              <w:rPr>
                <w:rFonts w:ascii="Arial" w:hAnsi="Arial" w:cs="Arial"/>
                <w:sz w:val="20"/>
                <w:szCs w:val="20"/>
                <w:lang w:val="es-ES"/>
              </w:rPr>
            </w:pPr>
            <w:proofErr w:type="spellStart"/>
            <w:r w:rsidRPr="0007319D">
              <w:rPr>
                <w:rFonts w:ascii="Arial" w:hAnsi="Arial" w:cs="Arial"/>
                <w:sz w:val="20"/>
                <w:szCs w:val="20"/>
                <w:lang w:val="es-ES"/>
              </w:rPr>
              <w:t>OceanExpert</w:t>
            </w:r>
            <w:proofErr w:type="spellEnd"/>
            <w:r w:rsidRPr="0007319D">
              <w:rPr>
                <w:rFonts w:ascii="Arial" w:hAnsi="Arial" w:cs="Arial"/>
                <w:sz w:val="20"/>
                <w:szCs w:val="20"/>
                <w:lang w:val="es-ES"/>
              </w:rPr>
              <w:t>, Portal de cultura oceánica,</w:t>
            </w:r>
          </w:p>
          <w:p w14:paraId="2ECDA79E" w14:textId="2D609AAF" w:rsidR="00C54645" w:rsidRPr="0007319D" w:rsidRDefault="00C54645" w:rsidP="00546E74">
            <w:pPr>
              <w:widowControl w:val="0"/>
              <w:rPr>
                <w:rFonts w:ascii="Arial" w:hAnsi="Arial" w:cs="Arial"/>
                <w:sz w:val="20"/>
                <w:szCs w:val="20"/>
                <w:lang w:val="es-ES"/>
              </w:rPr>
            </w:pPr>
            <w:r w:rsidRPr="0007319D">
              <w:rPr>
                <w:rFonts w:ascii="Arial" w:hAnsi="Arial" w:cs="Arial"/>
                <w:sz w:val="20"/>
                <w:szCs w:val="20"/>
                <w:lang w:val="es-ES"/>
              </w:rPr>
              <w:t>red de profesionales del océano que inician su carrera</w:t>
            </w:r>
          </w:p>
        </w:tc>
        <w:tc>
          <w:tcPr>
            <w:tcW w:w="574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2A42CFF" w14:textId="32CC2F40"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 xml:space="preserve">Organizar talleres para </w:t>
            </w:r>
            <w:r w:rsidR="00BF7C99">
              <w:rPr>
                <w:rFonts w:ascii="Arial" w:hAnsi="Arial" w:cs="Arial"/>
                <w:sz w:val="20"/>
                <w:szCs w:val="20"/>
                <w:lang w:val="es-ES"/>
              </w:rPr>
              <w:t>que</w:t>
            </w:r>
            <w:r w:rsidRPr="0007319D">
              <w:rPr>
                <w:rFonts w:ascii="Arial" w:hAnsi="Arial" w:cs="Arial"/>
                <w:sz w:val="20"/>
                <w:szCs w:val="20"/>
                <w:lang w:val="es-ES"/>
              </w:rPr>
              <w:t xml:space="preserve"> los Estados Miembros y las comunidades de práctica</w:t>
            </w:r>
            <w:r w:rsidR="00BF7C99">
              <w:rPr>
                <w:rFonts w:ascii="Arial" w:hAnsi="Arial" w:cs="Arial"/>
                <w:sz w:val="20"/>
                <w:szCs w:val="20"/>
                <w:lang w:val="es-ES"/>
              </w:rPr>
              <w:t xml:space="preserve"> compartan conocimientos</w:t>
            </w:r>
            <w:r w:rsidRPr="0007319D">
              <w:rPr>
                <w:rFonts w:ascii="Arial" w:hAnsi="Arial" w:cs="Arial"/>
                <w:sz w:val="20"/>
                <w:szCs w:val="20"/>
                <w:lang w:val="es-ES"/>
              </w:rPr>
              <w:t>.</w:t>
            </w:r>
          </w:p>
        </w:tc>
      </w:tr>
      <w:tr w:rsidR="003330BA" w:rsidRPr="00BF516E" w14:paraId="5AC2F806" w14:textId="77777777" w:rsidTr="00783168">
        <w:trPr>
          <w:trHeight w:val="360"/>
        </w:trPr>
        <w:tc>
          <w:tcPr>
            <w:tcW w:w="1745" w:type="dxa"/>
            <w:vMerge/>
            <w:shd w:val="clear" w:color="auto" w:fill="auto"/>
            <w:tcMar>
              <w:top w:w="100" w:type="dxa"/>
              <w:left w:w="100" w:type="dxa"/>
              <w:bottom w:w="100" w:type="dxa"/>
              <w:right w:w="100" w:type="dxa"/>
            </w:tcMar>
          </w:tcPr>
          <w:p w14:paraId="4719136C"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280AF09A"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6BCF9AB"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Organizar programas de desarrollo de capacidades que incluyan cursos de formación sobre planificación y gestión del océano.</w:t>
            </w:r>
          </w:p>
        </w:tc>
      </w:tr>
      <w:tr w:rsidR="003330BA" w:rsidRPr="00BF516E" w14:paraId="33642B2F" w14:textId="77777777" w:rsidTr="00783168">
        <w:trPr>
          <w:trHeight w:val="360"/>
        </w:trPr>
        <w:tc>
          <w:tcPr>
            <w:tcW w:w="1745" w:type="dxa"/>
            <w:vMerge/>
            <w:shd w:val="clear" w:color="auto" w:fill="auto"/>
            <w:tcMar>
              <w:top w:w="100" w:type="dxa"/>
              <w:left w:w="100" w:type="dxa"/>
              <w:bottom w:w="100" w:type="dxa"/>
              <w:right w:w="100" w:type="dxa"/>
            </w:tcMar>
          </w:tcPr>
          <w:p w14:paraId="04B1F565"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3A1FD6CB"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27FFEF0"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Capacitar a los encargados del acopio y la gestión de datos en todos los aspectos de la recopilación y gestión de datos.</w:t>
            </w:r>
          </w:p>
        </w:tc>
      </w:tr>
      <w:tr w:rsidR="003330BA" w:rsidRPr="00BF516E" w14:paraId="5DB13AAC" w14:textId="77777777" w:rsidTr="00A84818">
        <w:trPr>
          <w:trHeight w:val="215"/>
        </w:trPr>
        <w:tc>
          <w:tcPr>
            <w:tcW w:w="1745" w:type="dxa"/>
            <w:vMerge/>
            <w:shd w:val="clear" w:color="auto" w:fill="auto"/>
            <w:tcMar>
              <w:top w:w="100" w:type="dxa"/>
              <w:left w:w="100" w:type="dxa"/>
              <w:bottom w:w="100" w:type="dxa"/>
              <w:right w:w="100" w:type="dxa"/>
            </w:tcMar>
          </w:tcPr>
          <w:p w14:paraId="24D9766E"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45A110F5"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F146D48"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 xml:space="preserve">Impartir formación sobre la obtención de conocimientos a </w:t>
            </w:r>
            <w:r w:rsidRPr="0007319D">
              <w:rPr>
                <w:rFonts w:ascii="Arial" w:hAnsi="Arial" w:cs="Arial"/>
                <w:sz w:val="20"/>
                <w:szCs w:val="20"/>
                <w:lang w:val="es-ES"/>
              </w:rPr>
              <w:lastRenderedPageBreak/>
              <w:t>partir de datos.</w:t>
            </w:r>
          </w:p>
        </w:tc>
      </w:tr>
      <w:tr w:rsidR="003330BA" w:rsidRPr="00BF516E" w14:paraId="277D5F30" w14:textId="77777777" w:rsidTr="00783168">
        <w:trPr>
          <w:trHeight w:val="519"/>
        </w:trPr>
        <w:tc>
          <w:tcPr>
            <w:tcW w:w="1745" w:type="dxa"/>
            <w:vMerge/>
            <w:shd w:val="clear" w:color="auto" w:fill="auto"/>
            <w:tcMar>
              <w:top w:w="100" w:type="dxa"/>
              <w:left w:w="100" w:type="dxa"/>
              <w:bottom w:w="100" w:type="dxa"/>
              <w:right w:w="100" w:type="dxa"/>
            </w:tcMar>
          </w:tcPr>
          <w:p w14:paraId="7324B851"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62BFE17A"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39EE71"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Proporcionar apoyo técnico a los Estados Miembros que deseen integrar la planificación oceánica en los planes de desarrollo nacionales y regionales.</w:t>
            </w:r>
          </w:p>
        </w:tc>
      </w:tr>
      <w:tr w:rsidR="003330BA" w:rsidRPr="00BF516E" w14:paraId="1FC59B49" w14:textId="77777777" w:rsidTr="00783168">
        <w:trPr>
          <w:trHeight w:val="599"/>
        </w:trPr>
        <w:tc>
          <w:tcPr>
            <w:tcW w:w="1745" w:type="dxa"/>
            <w:vMerge/>
            <w:shd w:val="clear" w:color="auto" w:fill="auto"/>
            <w:tcMar>
              <w:top w:w="100" w:type="dxa"/>
              <w:left w:w="100" w:type="dxa"/>
              <w:bottom w:w="100" w:type="dxa"/>
              <w:right w:w="100" w:type="dxa"/>
            </w:tcMar>
          </w:tcPr>
          <w:p w14:paraId="0FB96AEA"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57474881"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4B5713A"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Ofrecer plataformas para el intercambio de conocimientos sobre la adaptación de las políticas nacionales a las buenas prácticas o metodologías acordadas y a los procesos mundiales de evaluación existentes en materia de gestión del océano.</w:t>
            </w:r>
          </w:p>
        </w:tc>
      </w:tr>
      <w:tr w:rsidR="003330BA" w:rsidRPr="00BF516E" w14:paraId="04AFAE58" w14:textId="77777777" w:rsidTr="00783168">
        <w:trPr>
          <w:trHeight w:val="559"/>
        </w:trPr>
        <w:tc>
          <w:tcPr>
            <w:tcW w:w="1745" w:type="dxa"/>
            <w:vMerge w:val="restart"/>
            <w:shd w:val="clear" w:color="auto" w:fill="auto"/>
            <w:tcMar>
              <w:top w:w="100" w:type="dxa"/>
              <w:left w:w="100" w:type="dxa"/>
              <w:bottom w:w="100" w:type="dxa"/>
              <w:right w:w="100" w:type="dxa"/>
            </w:tcMar>
          </w:tcPr>
          <w:p w14:paraId="7AE2F17E" w14:textId="77777777" w:rsidR="00C54645" w:rsidRPr="0007319D" w:rsidRDefault="00C54645" w:rsidP="00061180">
            <w:pPr>
              <w:widowControl w:val="0"/>
              <w:rPr>
                <w:rFonts w:ascii="Arial" w:hAnsi="Arial" w:cs="Arial"/>
                <w:b/>
                <w:color w:val="4E5763"/>
                <w:sz w:val="20"/>
                <w:szCs w:val="20"/>
                <w:lang w:val="es-ES"/>
              </w:rPr>
            </w:pPr>
            <w:r w:rsidRPr="0007319D">
              <w:rPr>
                <w:rFonts w:ascii="Arial" w:hAnsi="Arial" w:cs="Arial"/>
                <w:b/>
                <w:bCs/>
                <w:sz w:val="20"/>
                <w:szCs w:val="20"/>
                <w:lang w:val="es-ES"/>
              </w:rPr>
              <w:t>Colaboración y comunicación</w:t>
            </w:r>
          </w:p>
        </w:tc>
        <w:tc>
          <w:tcPr>
            <w:tcW w:w="2140" w:type="dxa"/>
            <w:vMerge w:val="restart"/>
            <w:shd w:val="clear" w:color="auto" w:fill="auto"/>
            <w:tcMar>
              <w:top w:w="100" w:type="dxa"/>
              <w:left w:w="100" w:type="dxa"/>
              <w:bottom w:w="100" w:type="dxa"/>
              <w:right w:w="100" w:type="dxa"/>
            </w:tcMar>
          </w:tcPr>
          <w:p w14:paraId="6F5774E4" w14:textId="77777777" w:rsidR="00C54645" w:rsidRPr="0007319D" w:rsidRDefault="00C54645" w:rsidP="00061180">
            <w:pPr>
              <w:widowControl w:val="0"/>
              <w:rPr>
                <w:rFonts w:ascii="Arial" w:hAnsi="Arial" w:cs="Arial"/>
                <w:b/>
                <w:sz w:val="20"/>
                <w:szCs w:val="20"/>
                <w:lang w:val="es-ES"/>
              </w:rPr>
            </w:pPr>
            <w:r w:rsidRPr="0007319D">
              <w:rPr>
                <w:rFonts w:ascii="Arial" w:hAnsi="Arial" w:cs="Arial"/>
                <w:sz w:val="20"/>
                <w:szCs w:val="20"/>
                <w:lang w:val="es-ES"/>
              </w:rPr>
              <w:t xml:space="preserve">Órganos subsidiarios regionales, Grupo Mixto de Expertos sobre los Aspectos Científicos de la Protección del Medio Marino, </w:t>
            </w:r>
            <w:proofErr w:type="spellStart"/>
            <w:r w:rsidRPr="0007319D">
              <w:rPr>
                <w:rFonts w:ascii="Arial" w:hAnsi="Arial" w:cs="Arial"/>
                <w:sz w:val="20"/>
                <w:szCs w:val="20"/>
                <w:lang w:val="es-ES"/>
              </w:rPr>
              <w:t>OceanOPS</w:t>
            </w:r>
            <w:proofErr w:type="spellEnd"/>
          </w:p>
        </w:tc>
        <w:tc>
          <w:tcPr>
            <w:tcW w:w="574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92C546E" w14:textId="4005C2A2"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Prestar apoyo específico y adaptado al contexto aportando conocimientos especializados a los responsables de la toma de decisiones y a los gestores.</w:t>
            </w:r>
          </w:p>
        </w:tc>
      </w:tr>
      <w:tr w:rsidR="003330BA" w:rsidRPr="00BF516E" w14:paraId="083EA80C" w14:textId="77777777" w:rsidTr="00783168">
        <w:trPr>
          <w:trHeight w:val="499"/>
        </w:trPr>
        <w:tc>
          <w:tcPr>
            <w:tcW w:w="1745" w:type="dxa"/>
            <w:vMerge/>
            <w:shd w:val="clear" w:color="auto" w:fill="auto"/>
            <w:tcMar>
              <w:top w:w="100" w:type="dxa"/>
              <w:left w:w="100" w:type="dxa"/>
              <w:bottom w:w="100" w:type="dxa"/>
              <w:right w:w="100" w:type="dxa"/>
            </w:tcMar>
          </w:tcPr>
          <w:p w14:paraId="62C02A27"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011DFF40"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D5EEFF" w14:textId="4C31210D"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 xml:space="preserve">Promover el intercambio de experiencias y enseñanzas extraídas de proyectos piloto </w:t>
            </w:r>
            <w:r w:rsidR="0013712B">
              <w:rPr>
                <w:rFonts w:ascii="Arial" w:hAnsi="Arial" w:cs="Arial"/>
                <w:sz w:val="20"/>
                <w:szCs w:val="20"/>
                <w:lang w:val="es-ES"/>
              </w:rPr>
              <w:t>sobre</w:t>
            </w:r>
            <w:r w:rsidRPr="0007319D">
              <w:rPr>
                <w:rFonts w:ascii="Arial" w:hAnsi="Arial" w:cs="Arial"/>
                <w:sz w:val="20"/>
                <w:szCs w:val="20"/>
                <w:lang w:val="es-ES"/>
              </w:rPr>
              <w:t xml:space="preserve"> prácticas de planificación y gestión sostenibles del océano entre los Estados Miembros.</w:t>
            </w:r>
          </w:p>
        </w:tc>
      </w:tr>
      <w:tr w:rsidR="003330BA" w:rsidRPr="004C4B08" w14:paraId="1868A30A" w14:textId="77777777" w:rsidTr="00783168">
        <w:trPr>
          <w:trHeight w:val="360"/>
        </w:trPr>
        <w:tc>
          <w:tcPr>
            <w:tcW w:w="1745" w:type="dxa"/>
            <w:vMerge/>
            <w:shd w:val="clear" w:color="auto" w:fill="auto"/>
            <w:tcMar>
              <w:top w:w="100" w:type="dxa"/>
              <w:left w:w="100" w:type="dxa"/>
              <w:bottom w:w="100" w:type="dxa"/>
              <w:right w:w="100" w:type="dxa"/>
            </w:tcMar>
          </w:tcPr>
          <w:p w14:paraId="66C199AA"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2C310FA3"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131A3DF" w14:textId="78F9DCF8"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Convocar grupos de trabajo o comités intersectoriales y transfronterizos para abordar retos y oportunidades comunes.</w:t>
            </w:r>
          </w:p>
        </w:tc>
      </w:tr>
      <w:tr w:rsidR="003330BA" w:rsidRPr="00BF516E" w14:paraId="00E6CB92" w14:textId="77777777" w:rsidTr="00783168">
        <w:trPr>
          <w:trHeight w:val="360"/>
        </w:trPr>
        <w:tc>
          <w:tcPr>
            <w:tcW w:w="1745" w:type="dxa"/>
            <w:vMerge/>
            <w:shd w:val="clear" w:color="auto" w:fill="auto"/>
            <w:tcMar>
              <w:top w:w="100" w:type="dxa"/>
              <w:left w:w="100" w:type="dxa"/>
              <w:bottom w:w="100" w:type="dxa"/>
              <w:right w:w="100" w:type="dxa"/>
            </w:tcMar>
          </w:tcPr>
          <w:p w14:paraId="01438862"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16D3D199"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71CA4B0" w14:textId="147FD228"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Organizar proyectos e iniciativas conjunt</w:t>
            </w:r>
            <w:r w:rsidR="0013712B">
              <w:rPr>
                <w:rFonts w:ascii="Arial" w:hAnsi="Arial" w:cs="Arial"/>
                <w:sz w:val="20"/>
                <w:szCs w:val="20"/>
                <w:lang w:val="es-ES"/>
              </w:rPr>
              <w:t>o</w:t>
            </w:r>
            <w:r w:rsidRPr="0007319D">
              <w:rPr>
                <w:rFonts w:ascii="Arial" w:hAnsi="Arial" w:cs="Arial"/>
                <w:sz w:val="20"/>
                <w:szCs w:val="20"/>
                <w:lang w:val="es-ES"/>
              </w:rPr>
              <w:t>s que promuevan la planificación y gestión sostenibles del océano en todos los sectores.</w:t>
            </w:r>
          </w:p>
        </w:tc>
      </w:tr>
      <w:tr w:rsidR="003330BA" w:rsidRPr="00BF516E" w14:paraId="7A77A1D2" w14:textId="77777777" w:rsidTr="00783168">
        <w:trPr>
          <w:trHeight w:val="360"/>
        </w:trPr>
        <w:tc>
          <w:tcPr>
            <w:tcW w:w="1745" w:type="dxa"/>
            <w:vMerge/>
            <w:shd w:val="clear" w:color="auto" w:fill="auto"/>
            <w:tcMar>
              <w:top w:w="100" w:type="dxa"/>
              <w:left w:w="100" w:type="dxa"/>
              <w:bottom w:w="100" w:type="dxa"/>
              <w:right w:w="100" w:type="dxa"/>
            </w:tcMar>
          </w:tcPr>
          <w:p w14:paraId="311C50BE"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2652656A"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2095110"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Prestar apoyo en materia de comunicación a los países miembros y formular estrategias de comunicación.</w:t>
            </w:r>
          </w:p>
        </w:tc>
      </w:tr>
      <w:tr w:rsidR="003330BA" w:rsidRPr="00BF516E" w14:paraId="56BC0B51" w14:textId="77777777" w:rsidTr="00783168">
        <w:trPr>
          <w:trHeight w:val="360"/>
        </w:trPr>
        <w:tc>
          <w:tcPr>
            <w:tcW w:w="1745" w:type="dxa"/>
            <w:vMerge/>
            <w:shd w:val="clear" w:color="auto" w:fill="auto"/>
            <w:tcMar>
              <w:top w:w="100" w:type="dxa"/>
              <w:left w:w="100" w:type="dxa"/>
              <w:bottom w:w="100" w:type="dxa"/>
              <w:right w:w="100" w:type="dxa"/>
            </w:tcMar>
          </w:tcPr>
          <w:p w14:paraId="5A87F710"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2D1E11BB"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59B0281" w14:textId="09734278"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Establecer mecanismos, o promover los existentes, para permitir la participación de los pueblos indígenas y las comunidades locales en los procesos de toma de decisiones.</w:t>
            </w:r>
          </w:p>
        </w:tc>
      </w:tr>
      <w:tr w:rsidR="003330BA" w:rsidRPr="00BF516E" w14:paraId="546EB254" w14:textId="77777777" w:rsidTr="00783168">
        <w:trPr>
          <w:trHeight w:val="360"/>
        </w:trPr>
        <w:tc>
          <w:tcPr>
            <w:tcW w:w="1745" w:type="dxa"/>
            <w:vMerge/>
            <w:shd w:val="clear" w:color="auto" w:fill="auto"/>
            <w:tcMar>
              <w:top w:w="100" w:type="dxa"/>
              <w:left w:w="100" w:type="dxa"/>
              <w:bottom w:w="100" w:type="dxa"/>
              <w:right w:w="100" w:type="dxa"/>
            </w:tcMar>
          </w:tcPr>
          <w:p w14:paraId="070B1765"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4F8D1F8F"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4008EAF"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Establecer mecanismos de coordinación y comunicación intersectoriales y transfronterizas permanentes.</w:t>
            </w:r>
          </w:p>
        </w:tc>
      </w:tr>
      <w:tr w:rsidR="003330BA" w:rsidRPr="00BF516E" w14:paraId="0273018F" w14:textId="77777777" w:rsidTr="00783168">
        <w:trPr>
          <w:trHeight w:val="360"/>
        </w:trPr>
        <w:tc>
          <w:tcPr>
            <w:tcW w:w="1745" w:type="dxa"/>
            <w:vMerge/>
            <w:shd w:val="clear" w:color="auto" w:fill="auto"/>
            <w:tcMar>
              <w:top w:w="100" w:type="dxa"/>
              <w:left w:w="100" w:type="dxa"/>
              <w:bottom w:w="100" w:type="dxa"/>
              <w:right w:w="100" w:type="dxa"/>
            </w:tcMar>
          </w:tcPr>
          <w:p w14:paraId="35BC29F1"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0EA1CBD6"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157694" w14:textId="003DCBE3"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 xml:space="preserve">Establecer plataformas </w:t>
            </w:r>
            <w:proofErr w:type="spellStart"/>
            <w:r w:rsidRPr="0007319D">
              <w:rPr>
                <w:rFonts w:ascii="Arial" w:hAnsi="Arial" w:cs="Arial"/>
                <w:sz w:val="20"/>
                <w:szCs w:val="20"/>
                <w:lang w:val="es-ES"/>
              </w:rPr>
              <w:t>multipartitas</w:t>
            </w:r>
            <w:proofErr w:type="spellEnd"/>
            <w:r w:rsidRPr="0007319D">
              <w:rPr>
                <w:rFonts w:ascii="Arial" w:hAnsi="Arial" w:cs="Arial"/>
                <w:sz w:val="20"/>
                <w:szCs w:val="20"/>
                <w:lang w:val="es-ES"/>
              </w:rPr>
              <w:t xml:space="preserve"> y marcos de </w:t>
            </w:r>
            <w:r w:rsidR="00E76053">
              <w:rPr>
                <w:rFonts w:ascii="Arial" w:hAnsi="Arial" w:cs="Arial"/>
                <w:sz w:val="20"/>
                <w:szCs w:val="20"/>
                <w:lang w:val="es-ES"/>
              </w:rPr>
              <w:t>participación</w:t>
            </w:r>
            <w:r w:rsidRPr="0007319D">
              <w:rPr>
                <w:rFonts w:ascii="Arial" w:hAnsi="Arial" w:cs="Arial"/>
                <w:sz w:val="20"/>
                <w:szCs w:val="20"/>
                <w:lang w:val="es-ES"/>
              </w:rPr>
              <w:t>.</w:t>
            </w:r>
          </w:p>
        </w:tc>
      </w:tr>
      <w:tr w:rsidR="003330BA" w:rsidRPr="00BF516E" w14:paraId="0F2F642D" w14:textId="77777777" w:rsidTr="00783168">
        <w:trPr>
          <w:trHeight w:val="360"/>
        </w:trPr>
        <w:tc>
          <w:tcPr>
            <w:tcW w:w="1745" w:type="dxa"/>
            <w:vMerge/>
            <w:shd w:val="clear" w:color="auto" w:fill="auto"/>
            <w:tcMar>
              <w:top w:w="100" w:type="dxa"/>
              <w:left w:w="100" w:type="dxa"/>
              <w:bottom w:w="100" w:type="dxa"/>
              <w:right w:w="100" w:type="dxa"/>
            </w:tcMar>
          </w:tcPr>
          <w:p w14:paraId="110F6CBF"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17CB8BCC"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BEC242"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Aprovechar las redes, las capacidades técnicas y la experiencia en la interfaz ciencia-política-sociedad del océano y la PEM.</w:t>
            </w:r>
          </w:p>
        </w:tc>
      </w:tr>
      <w:tr w:rsidR="003330BA" w:rsidRPr="00BF516E" w14:paraId="573451F9" w14:textId="77777777" w:rsidTr="00A84818">
        <w:trPr>
          <w:trHeight w:val="184"/>
        </w:trPr>
        <w:tc>
          <w:tcPr>
            <w:tcW w:w="1745" w:type="dxa"/>
            <w:vMerge/>
            <w:shd w:val="clear" w:color="auto" w:fill="auto"/>
            <w:tcMar>
              <w:top w:w="100" w:type="dxa"/>
              <w:left w:w="100" w:type="dxa"/>
              <w:bottom w:w="100" w:type="dxa"/>
              <w:right w:w="100" w:type="dxa"/>
            </w:tcMar>
          </w:tcPr>
          <w:p w14:paraId="2822D21D"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5AE36C1D"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4" w:space="0" w:color="auto"/>
              <w:right w:val="single" w:sz="5" w:space="0" w:color="000000"/>
            </w:tcBorders>
            <w:tcMar>
              <w:top w:w="0" w:type="dxa"/>
              <w:left w:w="100" w:type="dxa"/>
              <w:bottom w:w="0" w:type="dxa"/>
              <w:right w:w="100" w:type="dxa"/>
            </w:tcMar>
          </w:tcPr>
          <w:p w14:paraId="61B77C9C"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Promover el diálogo y el intercambio de buenas prácticas entre los Estados Miembros sobre la adopción y aplicación de directrices y normas mundiales para la planificación y gestión del océano.</w:t>
            </w:r>
          </w:p>
        </w:tc>
      </w:tr>
      <w:tr w:rsidR="003330BA" w:rsidRPr="00BF516E" w14:paraId="2A614C2E" w14:textId="77777777" w:rsidTr="00783168">
        <w:trPr>
          <w:trHeight w:val="619"/>
        </w:trPr>
        <w:tc>
          <w:tcPr>
            <w:tcW w:w="1745" w:type="dxa"/>
            <w:vMerge/>
            <w:shd w:val="clear" w:color="auto" w:fill="auto"/>
            <w:tcMar>
              <w:top w:w="100" w:type="dxa"/>
              <w:left w:w="100" w:type="dxa"/>
              <w:bottom w:w="100" w:type="dxa"/>
              <w:right w:w="100" w:type="dxa"/>
            </w:tcMar>
          </w:tcPr>
          <w:p w14:paraId="0D39AD7A"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tcBorders>
              <w:right w:val="single" w:sz="4" w:space="0" w:color="auto"/>
            </w:tcBorders>
            <w:shd w:val="clear" w:color="auto" w:fill="auto"/>
            <w:tcMar>
              <w:top w:w="100" w:type="dxa"/>
              <w:left w:w="100" w:type="dxa"/>
              <w:bottom w:w="100" w:type="dxa"/>
              <w:right w:w="100" w:type="dxa"/>
            </w:tcMar>
          </w:tcPr>
          <w:p w14:paraId="78C0E9FF"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BDDE32F" w14:textId="3488CF2E"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Promover la armonización de los enfoques existentes, como los planes oceánicos sostenibles, las hojas de ruta de la economía oceánica y la rendición de cuentas de los países sobre el océano, mediante campañas de comunicación y actividades de promoción.</w:t>
            </w:r>
          </w:p>
        </w:tc>
      </w:tr>
    </w:tbl>
    <w:p w14:paraId="2C7562A9" w14:textId="77777777" w:rsidR="00546E74" w:rsidRPr="00976470" w:rsidRDefault="00546E74">
      <w:pPr>
        <w:rPr>
          <w:lang w:val="es-ES"/>
        </w:rPr>
      </w:pPr>
      <w:r w:rsidRPr="00976470">
        <w:rPr>
          <w:lang w:val="es-ES"/>
        </w:rPr>
        <w:br w:type="page"/>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45"/>
        <w:gridCol w:w="2140"/>
        <w:gridCol w:w="5749"/>
      </w:tblGrid>
      <w:tr w:rsidR="003330BA" w:rsidRPr="00BF516E" w14:paraId="066D6C2E" w14:textId="77777777" w:rsidTr="00783168">
        <w:trPr>
          <w:trHeight w:val="523"/>
        </w:trPr>
        <w:tc>
          <w:tcPr>
            <w:tcW w:w="1745" w:type="dxa"/>
            <w:vMerge w:val="restart"/>
            <w:shd w:val="clear" w:color="auto" w:fill="auto"/>
            <w:tcMar>
              <w:top w:w="100" w:type="dxa"/>
              <w:left w:w="100" w:type="dxa"/>
              <w:bottom w:w="100" w:type="dxa"/>
              <w:right w:w="100" w:type="dxa"/>
            </w:tcMar>
          </w:tcPr>
          <w:p w14:paraId="2CF49C90" w14:textId="2E2DC1ED" w:rsidR="00C54645" w:rsidRPr="0007319D" w:rsidRDefault="00C54645" w:rsidP="00061180">
            <w:pPr>
              <w:widowControl w:val="0"/>
              <w:rPr>
                <w:rFonts w:ascii="Arial" w:hAnsi="Arial" w:cs="Arial"/>
                <w:b/>
                <w:color w:val="4E5763"/>
                <w:sz w:val="20"/>
                <w:szCs w:val="20"/>
                <w:lang w:val="es-ES"/>
              </w:rPr>
            </w:pPr>
            <w:r w:rsidRPr="0007319D">
              <w:rPr>
                <w:rFonts w:ascii="Arial" w:hAnsi="Arial" w:cs="Arial"/>
                <w:b/>
                <w:bCs/>
                <w:sz w:val="20"/>
                <w:szCs w:val="20"/>
                <w:lang w:val="es-ES"/>
              </w:rPr>
              <w:lastRenderedPageBreak/>
              <w:t>Observación y recogida y gestión de datos</w:t>
            </w:r>
          </w:p>
        </w:tc>
        <w:tc>
          <w:tcPr>
            <w:tcW w:w="2140" w:type="dxa"/>
            <w:vMerge w:val="restart"/>
            <w:shd w:val="clear" w:color="auto" w:fill="auto"/>
            <w:tcMar>
              <w:top w:w="100" w:type="dxa"/>
              <w:left w:w="100" w:type="dxa"/>
              <w:bottom w:w="100" w:type="dxa"/>
              <w:right w:w="100" w:type="dxa"/>
            </w:tcMar>
          </w:tcPr>
          <w:p w14:paraId="3F270CAA" w14:textId="249EFFBF"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 xml:space="preserve">Sistema Mundial de Observación del Océano, </w:t>
            </w:r>
            <w:proofErr w:type="spellStart"/>
            <w:r w:rsidRPr="0007319D">
              <w:rPr>
                <w:rFonts w:ascii="Arial" w:hAnsi="Arial" w:cs="Arial"/>
                <w:sz w:val="20"/>
                <w:szCs w:val="20"/>
                <w:lang w:val="es-ES"/>
              </w:rPr>
              <w:t>CoastPredict</w:t>
            </w:r>
            <w:proofErr w:type="spellEnd"/>
            <w:r w:rsidRPr="0007319D">
              <w:rPr>
                <w:rFonts w:ascii="Arial" w:hAnsi="Arial" w:cs="Arial"/>
                <w:sz w:val="20"/>
                <w:szCs w:val="20"/>
                <w:lang w:val="es-ES"/>
              </w:rPr>
              <w:t>, Grupo institucional de datos del Decenio del Océano, Sistema Mundial de Observación del Clima, Red Mundial de Observación de la Acidificación de los Océanos, Intercambio Internacional de Datos e Información Oceanográficos, Sistema de Información sobre la Biodiversidad del Océano, Sistema de Datos e Información Oceanográficos de la COI</w:t>
            </w:r>
          </w:p>
        </w:tc>
        <w:tc>
          <w:tcPr>
            <w:tcW w:w="5749" w:type="dxa"/>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14:paraId="581DB31E" w14:textId="31680D95"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 xml:space="preserve">Alentar a los Estados Miembros a que apoyen la elaboración de planes de ejecución para la observación del océano con vistas a </w:t>
            </w:r>
            <w:r w:rsidR="00E17C38">
              <w:rPr>
                <w:rFonts w:ascii="Arial" w:hAnsi="Arial" w:cs="Arial"/>
                <w:sz w:val="20"/>
                <w:szCs w:val="20"/>
                <w:lang w:val="es-ES"/>
              </w:rPr>
              <w:t>aplicar</w:t>
            </w:r>
            <w:r w:rsidRPr="0007319D">
              <w:rPr>
                <w:rFonts w:ascii="Arial" w:hAnsi="Arial" w:cs="Arial"/>
                <w:sz w:val="20"/>
                <w:szCs w:val="20"/>
                <w:lang w:val="es-ES"/>
              </w:rPr>
              <w:t xml:space="preserve"> la estrategia.</w:t>
            </w:r>
          </w:p>
        </w:tc>
      </w:tr>
      <w:tr w:rsidR="003330BA" w:rsidRPr="00BF516E" w14:paraId="3B902A41" w14:textId="77777777" w:rsidTr="00783168">
        <w:trPr>
          <w:trHeight w:val="491"/>
        </w:trPr>
        <w:tc>
          <w:tcPr>
            <w:tcW w:w="1745" w:type="dxa"/>
            <w:vMerge/>
            <w:shd w:val="clear" w:color="auto" w:fill="auto"/>
            <w:tcMar>
              <w:top w:w="100" w:type="dxa"/>
              <w:left w:w="100" w:type="dxa"/>
              <w:bottom w:w="100" w:type="dxa"/>
              <w:right w:w="100" w:type="dxa"/>
            </w:tcMar>
          </w:tcPr>
          <w:p w14:paraId="2EDBD1DE" w14:textId="77777777" w:rsidR="00C54645" w:rsidRPr="0007319D" w:rsidRDefault="00C54645" w:rsidP="00061180">
            <w:pPr>
              <w:widowControl w:val="0"/>
              <w:rPr>
                <w:rFonts w:ascii="Arial" w:hAnsi="Arial" w:cs="Arial"/>
                <w:b/>
                <w:color w:val="4E5763"/>
                <w:sz w:val="20"/>
                <w:szCs w:val="20"/>
                <w:lang w:val="es-ES"/>
              </w:rPr>
            </w:pPr>
          </w:p>
        </w:tc>
        <w:tc>
          <w:tcPr>
            <w:tcW w:w="2140" w:type="dxa"/>
            <w:vMerge/>
            <w:shd w:val="clear" w:color="auto" w:fill="auto"/>
            <w:tcMar>
              <w:top w:w="100" w:type="dxa"/>
              <w:left w:w="100" w:type="dxa"/>
              <w:bottom w:w="100" w:type="dxa"/>
              <w:right w:w="100" w:type="dxa"/>
            </w:tcMar>
          </w:tcPr>
          <w:p w14:paraId="420EEB1E" w14:textId="77777777" w:rsidR="00C54645" w:rsidRPr="0007319D" w:rsidRDefault="00C54645" w:rsidP="00061180">
            <w:pPr>
              <w:widowControl w:val="0"/>
              <w:rPr>
                <w:rFonts w:ascii="Arial" w:hAnsi="Arial" w:cs="Arial"/>
                <w:sz w:val="20"/>
                <w:szCs w:val="20"/>
                <w:lang w:val="es-ES"/>
              </w:rPr>
            </w:pPr>
          </w:p>
        </w:tc>
        <w:tc>
          <w:tcPr>
            <w:tcW w:w="574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15EC3F3"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Animar a los Estados Miembros a adoptar métodos y tecnologías avanzados de recogida de datos que mejoren la precisión, la eficacia y el alcance de la recogida de datos ambientales, sociales y económicos.</w:t>
            </w:r>
          </w:p>
        </w:tc>
      </w:tr>
      <w:tr w:rsidR="003330BA" w:rsidRPr="00BF516E" w14:paraId="398D74BA" w14:textId="77777777" w:rsidTr="00783168">
        <w:trPr>
          <w:trHeight w:val="508"/>
        </w:trPr>
        <w:tc>
          <w:tcPr>
            <w:tcW w:w="1745" w:type="dxa"/>
            <w:vMerge/>
            <w:shd w:val="clear" w:color="auto" w:fill="auto"/>
            <w:tcMar>
              <w:top w:w="100" w:type="dxa"/>
              <w:left w:w="100" w:type="dxa"/>
              <w:bottom w:w="100" w:type="dxa"/>
              <w:right w:w="100" w:type="dxa"/>
            </w:tcMar>
          </w:tcPr>
          <w:p w14:paraId="24B1C573"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52F08B57"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11E7C24" w14:textId="76C6F9C1"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Facilitar el intercambio de buenas prácticas y metodologías</w:t>
            </w:r>
            <w:r w:rsidR="00B85DDB" w:rsidRPr="0007319D">
              <w:rPr>
                <w:rFonts w:ascii="Arial" w:hAnsi="Arial" w:cs="Arial"/>
                <w:sz w:val="20"/>
                <w:szCs w:val="20"/>
                <w:lang w:val="es-ES"/>
              </w:rPr>
              <w:t xml:space="preserve"> entre los Estados Miembros</w:t>
            </w:r>
            <w:r w:rsidRPr="0007319D">
              <w:rPr>
                <w:rFonts w:ascii="Arial" w:hAnsi="Arial" w:cs="Arial"/>
                <w:sz w:val="20"/>
                <w:szCs w:val="20"/>
                <w:lang w:val="es-ES"/>
              </w:rPr>
              <w:t xml:space="preserve"> para establecer sistemas de datos y conocimientos relacionados con el océano</w:t>
            </w:r>
            <w:r w:rsidR="00B85DDB">
              <w:rPr>
                <w:rFonts w:ascii="Arial" w:hAnsi="Arial" w:cs="Arial"/>
                <w:sz w:val="20"/>
                <w:szCs w:val="20"/>
                <w:lang w:val="es-ES"/>
              </w:rPr>
              <w:t>.</w:t>
            </w:r>
            <w:r w:rsidRPr="0007319D">
              <w:rPr>
                <w:rFonts w:ascii="Arial" w:hAnsi="Arial" w:cs="Arial"/>
                <w:sz w:val="20"/>
                <w:szCs w:val="20"/>
                <w:lang w:val="es-ES"/>
              </w:rPr>
              <w:t xml:space="preserve"> </w:t>
            </w:r>
          </w:p>
        </w:tc>
      </w:tr>
      <w:tr w:rsidR="003330BA" w:rsidRPr="00BF516E" w14:paraId="4694DCA9" w14:textId="77777777" w:rsidTr="00783168">
        <w:trPr>
          <w:trHeight w:val="360"/>
        </w:trPr>
        <w:tc>
          <w:tcPr>
            <w:tcW w:w="1745" w:type="dxa"/>
            <w:vMerge/>
            <w:shd w:val="clear" w:color="auto" w:fill="auto"/>
            <w:tcMar>
              <w:top w:w="100" w:type="dxa"/>
              <w:left w:w="100" w:type="dxa"/>
              <w:bottom w:w="100" w:type="dxa"/>
              <w:right w:w="100" w:type="dxa"/>
            </w:tcMar>
          </w:tcPr>
          <w:p w14:paraId="02C3E2F5"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2FE68D3F"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AC5853A"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Promover iniciativas de datos abiertos y la normalización de variables oceánicas esenciales en todos los programas existentes.</w:t>
            </w:r>
          </w:p>
        </w:tc>
      </w:tr>
      <w:tr w:rsidR="003330BA" w:rsidRPr="00BF516E" w14:paraId="303F009D" w14:textId="77777777" w:rsidTr="00783168">
        <w:trPr>
          <w:trHeight w:val="360"/>
        </w:trPr>
        <w:tc>
          <w:tcPr>
            <w:tcW w:w="1745" w:type="dxa"/>
            <w:vMerge/>
            <w:shd w:val="clear" w:color="auto" w:fill="auto"/>
            <w:tcMar>
              <w:top w:w="100" w:type="dxa"/>
              <w:left w:w="100" w:type="dxa"/>
              <w:bottom w:w="100" w:type="dxa"/>
              <w:right w:w="100" w:type="dxa"/>
            </w:tcMar>
          </w:tcPr>
          <w:p w14:paraId="57E20A06"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15A75EBA"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0E9B12E" w14:textId="0FAE6ED2" w:rsidR="00C54645" w:rsidRPr="0007319D" w:rsidRDefault="00E60D67" w:rsidP="00061180">
            <w:pPr>
              <w:widowControl w:val="0"/>
              <w:rPr>
                <w:rFonts w:ascii="Arial" w:hAnsi="Arial" w:cs="Arial"/>
                <w:sz w:val="20"/>
                <w:szCs w:val="20"/>
                <w:lang w:val="es-ES"/>
              </w:rPr>
            </w:pPr>
            <w:r>
              <w:rPr>
                <w:rFonts w:ascii="Arial" w:hAnsi="Arial" w:cs="Arial"/>
                <w:sz w:val="20"/>
                <w:szCs w:val="20"/>
                <w:lang w:val="es-ES"/>
              </w:rPr>
              <w:t>P</w:t>
            </w:r>
            <w:r w:rsidR="00C54645" w:rsidRPr="0007319D">
              <w:rPr>
                <w:rFonts w:ascii="Arial" w:hAnsi="Arial" w:cs="Arial"/>
                <w:sz w:val="20"/>
                <w:szCs w:val="20"/>
                <w:lang w:val="es-ES"/>
              </w:rPr>
              <w:t xml:space="preserve">romover </w:t>
            </w:r>
            <w:r>
              <w:rPr>
                <w:rFonts w:ascii="Arial" w:hAnsi="Arial" w:cs="Arial"/>
                <w:sz w:val="20"/>
                <w:szCs w:val="20"/>
                <w:lang w:val="es-ES"/>
              </w:rPr>
              <w:t xml:space="preserve">y dar a conocer </w:t>
            </w:r>
            <w:r w:rsidR="00C54645" w:rsidRPr="0007319D">
              <w:rPr>
                <w:rFonts w:ascii="Arial" w:hAnsi="Arial" w:cs="Arial"/>
                <w:sz w:val="20"/>
                <w:szCs w:val="20"/>
                <w:lang w:val="es-ES"/>
              </w:rPr>
              <w:t>métodos, directrices y manuales recomendados para la recogida de datos relacionados con el océano.</w:t>
            </w:r>
          </w:p>
        </w:tc>
      </w:tr>
      <w:tr w:rsidR="003330BA" w:rsidRPr="00BF516E" w14:paraId="09DA83D0" w14:textId="77777777" w:rsidTr="00783168">
        <w:trPr>
          <w:trHeight w:val="568"/>
        </w:trPr>
        <w:tc>
          <w:tcPr>
            <w:tcW w:w="1745" w:type="dxa"/>
            <w:vMerge/>
            <w:shd w:val="clear" w:color="auto" w:fill="auto"/>
            <w:tcMar>
              <w:top w:w="100" w:type="dxa"/>
              <w:left w:w="100" w:type="dxa"/>
              <w:bottom w:w="100" w:type="dxa"/>
              <w:right w:w="100" w:type="dxa"/>
            </w:tcMar>
          </w:tcPr>
          <w:p w14:paraId="7C0744C6"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3DE6538B"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81FDFD3"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Centrar la investigación, la recopilación de datos conexos y la gestión en lagunas de conocimiento específicas como la dinámica de los ecosistemas, las evaluaciones de amenazas y la contabilidad del capital natural.</w:t>
            </w:r>
          </w:p>
        </w:tc>
      </w:tr>
      <w:tr w:rsidR="003330BA" w:rsidRPr="00BF516E" w14:paraId="71E03485" w14:textId="77777777" w:rsidTr="00783168">
        <w:trPr>
          <w:trHeight w:val="460"/>
        </w:trPr>
        <w:tc>
          <w:tcPr>
            <w:tcW w:w="1745" w:type="dxa"/>
            <w:vMerge/>
            <w:shd w:val="clear" w:color="auto" w:fill="auto"/>
            <w:tcMar>
              <w:top w:w="100" w:type="dxa"/>
              <w:left w:w="100" w:type="dxa"/>
              <w:bottom w:w="100" w:type="dxa"/>
              <w:right w:w="100" w:type="dxa"/>
            </w:tcMar>
          </w:tcPr>
          <w:p w14:paraId="1EFF7418"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491572AB"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6DCDB91" w14:textId="50F7C361"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Fomentar la investigación transdisciplinaria y la recopilación y gestión de datos conexos para impulsar soluciones innovadoras y una comprensión global de la gestión del océano.</w:t>
            </w:r>
          </w:p>
        </w:tc>
      </w:tr>
      <w:tr w:rsidR="003330BA" w:rsidRPr="00BF516E" w14:paraId="2800CC1E" w14:textId="77777777" w:rsidTr="00A84818">
        <w:trPr>
          <w:trHeight w:val="349"/>
        </w:trPr>
        <w:tc>
          <w:tcPr>
            <w:tcW w:w="1745" w:type="dxa"/>
            <w:vMerge/>
            <w:shd w:val="clear" w:color="auto" w:fill="auto"/>
            <w:tcMar>
              <w:top w:w="100" w:type="dxa"/>
              <w:left w:w="100" w:type="dxa"/>
              <w:bottom w:w="100" w:type="dxa"/>
              <w:right w:w="100" w:type="dxa"/>
            </w:tcMar>
          </w:tcPr>
          <w:p w14:paraId="414BD345"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shd w:val="clear" w:color="auto" w:fill="auto"/>
            <w:tcMar>
              <w:top w:w="100" w:type="dxa"/>
              <w:left w:w="100" w:type="dxa"/>
              <w:bottom w:w="100" w:type="dxa"/>
              <w:right w:w="100" w:type="dxa"/>
            </w:tcMar>
          </w:tcPr>
          <w:p w14:paraId="14F4C8C6"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DC70B15" w14:textId="1FF4622D"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Desarrollar y utilizar técnicas avanzadas de modelización y previsión para fundamentar la toma de decisiones en la gestión del océano.</w:t>
            </w:r>
          </w:p>
        </w:tc>
      </w:tr>
      <w:tr w:rsidR="003330BA" w:rsidRPr="00BF516E" w14:paraId="024808F9" w14:textId="77777777" w:rsidTr="00783168">
        <w:trPr>
          <w:trHeight w:val="559"/>
        </w:trPr>
        <w:tc>
          <w:tcPr>
            <w:tcW w:w="1745" w:type="dxa"/>
            <w:vMerge w:val="restart"/>
            <w:shd w:val="clear" w:color="auto" w:fill="auto"/>
            <w:tcMar>
              <w:top w:w="100" w:type="dxa"/>
              <w:left w:w="100" w:type="dxa"/>
              <w:bottom w:w="100" w:type="dxa"/>
              <w:right w:w="100" w:type="dxa"/>
            </w:tcMar>
          </w:tcPr>
          <w:p w14:paraId="41A36A2C" w14:textId="77777777" w:rsidR="00C54645" w:rsidRPr="0007319D" w:rsidRDefault="00C54645" w:rsidP="00061180">
            <w:pPr>
              <w:widowControl w:val="0"/>
              <w:rPr>
                <w:rFonts w:ascii="Arial" w:hAnsi="Arial" w:cs="Arial"/>
                <w:b/>
                <w:color w:val="4E5763"/>
                <w:sz w:val="20"/>
                <w:szCs w:val="20"/>
                <w:lang w:val="es-ES"/>
              </w:rPr>
            </w:pPr>
            <w:r w:rsidRPr="0007319D">
              <w:rPr>
                <w:rFonts w:ascii="Arial" w:hAnsi="Arial" w:cs="Arial"/>
                <w:b/>
                <w:bCs/>
                <w:sz w:val="20"/>
                <w:szCs w:val="20"/>
                <w:lang w:val="es-ES"/>
              </w:rPr>
              <w:t>Apoyo financiero y promoción</w:t>
            </w:r>
          </w:p>
        </w:tc>
        <w:tc>
          <w:tcPr>
            <w:tcW w:w="2140" w:type="dxa"/>
            <w:vMerge w:val="restart"/>
            <w:shd w:val="clear" w:color="auto" w:fill="auto"/>
            <w:tcMar>
              <w:top w:w="100" w:type="dxa"/>
              <w:left w:w="100" w:type="dxa"/>
              <w:bottom w:w="100" w:type="dxa"/>
              <w:right w:w="100" w:type="dxa"/>
            </w:tcMar>
          </w:tcPr>
          <w:p w14:paraId="352CFA91"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Decenio del Océano,</w:t>
            </w:r>
          </w:p>
          <w:p w14:paraId="19956BB0" w14:textId="77777777" w:rsidR="00C54645" w:rsidRPr="0007319D" w:rsidRDefault="00C54645" w:rsidP="00061180">
            <w:pPr>
              <w:widowControl w:val="0"/>
              <w:rPr>
                <w:rFonts w:ascii="Arial" w:hAnsi="Arial" w:cs="Arial"/>
                <w:sz w:val="20"/>
                <w:szCs w:val="20"/>
                <w:lang w:val="es-ES"/>
              </w:rPr>
            </w:pPr>
            <w:proofErr w:type="spellStart"/>
            <w:r w:rsidRPr="0007319D">
              <w:rPr>
                <w:rFonts w:ascii="Arial" w:hAnsi="Arial" w:cs="Arial"/>
                <w:sz w:val="20"/>
                <w:szCs w:val="20"/>
                <w:lang w:val="es-ES"/>
              </w:rPr>
              <w:t>MSPglobal</w:t>
            </w:r>
            <w:proofErr w:type="spellEnd"/>
          </w:p>
        </w:tc>
        <w:tc>
          <w:tcPr>
            <w:tcW w:w="574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450FEB4"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Coordinar debates y sesiones de intercambio de conocimientos sobre estrategias para garantizar la financiación de determinados aspectos de la planificación y gestión sostenibles del océano.</w:t>
            </w:r>
          </w:p>
        </w:tc>
      </w:tr>
      <w:tr w:rsidR="003330BA" w:rsidRPr="00BF516E" w14:paraId="31538E18" w14:textId="77777777" w:rsidTr="00783168">
        <w:trPr>
          <w:trHeight w:val="519"/>
        </w:trPr>
        <w:tc>
          <w:tcPr>
            <w:tcW w:w="1745" w:type="dxa"/>
            <w:vMerge/>
            <w:shd w:val="clear" w:color="auto" w:fill="auto"/>
            <w:tcMar>
              <w:top w:w="100" w:type="dxa"/>
              <w:left w:w="100" w:type="dxa"/>
              <w:bottom w:w="100" w:type="dxa"/>
              <w:right w:w="100" w:type="dxa"/>
            </w:tcMar>
          </w:tcPr>
          <w:p w14:paraId="208CFA2C"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tcBorders>
              <w:bottom w:val="single" w:sz="4" w:space="0" w:color="auto"/>
            </w:tcBorders>
            <w:shd w:val="clear" w:color="auto" w:fill="auto"/>
            <w:tcMar>
              <w:top w:w="100" w:type="dxa"/>
              <w:left w:w="100" w:type="dxa"/>
              <w:bottom w:w="100" w:type="dxa"/>
              <w:right w:w="100" w:type="dxa"/>
            </w:tcMar>
          </w:tcPr>
          <w:p w14:paraId="5B6628ED"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93CECC1"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Crear un mecanismo para vincular las iniciativas de planificación y gestión del océano con posibles donantes filantrópicos, mejorando las oportunidades de financiación y la movilización de recursos.</w:t>
            </w:r>
          </w:p>
        </w:tc>
      </w:tr>
      <w:tr w:rsidR="003330BA" w:rsidRPr="00BF516E" w14:paraId="75DCD500" w14:textId="77777777" w:rsidTr="00783168">
        <w:trPr>
          <w:trHeight w:val="400"/>
        </w:trPr>
        <w:tc>
          <w:tcPr>
            <w:tcW w:w="1745" w:type="dxa"/>
            <w:vMerge w:val="restart"/>
            <w:tcBorders>
              <w:right w:val="single" w:sz="4" w:space="0" w:color="auto"/>
            </w:tcBorders>
            <w:shd w:val="clear" w:color="auto" w:fill="auto"/>
            <w:tcMar>
              <w:top w:w="100" w:type="dxa"/>
              <w:left w:w="100" w:type="dxa"/>
              <w:bottom w:w="100" w:type="dxa"/>
              <w:right w:w="100" w:type="dxa"/>
            </w:tcMar>
          </w:tcPr>
          <w:p w14:paraId="1B02901B" w14:textId="51C73EBC" w:rsidR="00C54645" w:rsidRPr="0007319D" w:rsidRDefault="00C54645" w:rsidP="00546E74">
            <w:pPr>
              <w:widowControl w:val="0"/>
              <w:rPr>
                <w:rFonts w:ascii="Arial" w:hAnsi="Arial" w:cs="Arial"/>
                <w:b/>
                <w:color w:val="4E5763"/>
                <w:sz w:val="20"/>
                <w:szCs w:val="20"/>
                <w:lang w:val="es-ES"/>
              </w:rPr>
            </w:pPr>
            <w:r w:rsidRPr="0007319D">
              <w:rPr>
                <w:rFonts w:ascii="Arial" w:hAnsi="Arial" w:cs="Arial"/>
                <w:b/>
                <w:bCs/>
                <w:sz w:val="20"/>
                <w:szCs w:val="20"/>
                <w:lang w:val="es-ES"/>
              </w:rPr>
              <w:t>Elaboración de directrices y asistencia para la planificación</w:t>
            </w:r>
          </w:p>
        </w:tc>
        <w:tc>
          <w:tcPr>
            <w:tcW w:w="214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4ECA3558" w14:textId="77777777" w:rsidR="00C54645" w:rsidRPr="0007319D" w:rsidRDefault="00C54645" w:rsidP="00061180">
            <w:pPr>
              <w:rPr>
                <w:rFonts w:ascii="Arial" w:hAnsi="Arial" w:cs="Arial"/>
                <w:sz w:val="20"/>
                <w:szCs w:val="20"/>
                <w:lang w:val="es-ES"/>
              </w:rPr>
            </w:pPr>
            <w:proofErr w:type="spellStart"/>
            <w:r w:rsidRPr="0007319D">
              <w:rPr>
                <w:rFonts w:ascii="Arial" w:hAnsi="Arial" w:cs="Arial"/>
                <w:sz w:val="20"/>
                <w:szCs w:val="20"/>
                <w:lang w:val="es-ES"/>
              </w:rPr>
              <w:t>MSPglobal</w:t>
            </w:r>
            <w:proofErr w:type="spellEnd"/>
            <w:r w:rsidRPr="0007319D">
              <w:rPr>
                <w:rFonts w:ascii="Arial" w:hAnsi="Arial" w:cs="Arial"/>
                <w:sz w:val="20"/>
                <w:szCs w:val="20"/>
                <w:lang w:val="es-ES"/>
              </w:rPr>
              <w:t>, Proyecto Internacional de Coordinación sobre el Carbono Oceánico,</w:t>
            </w:r>
          </w:p>
          <w:p w14:paraId="4C5F2CE1" w14:textId="529BE36E" w:rsidR="00A74F92" w:rsidRPr="0007319D" w:rsidRDefault="00A74F92" w:rsidP="00061180">
            <w:pPr>
              <w:rPr>
                <w:rFonts w:ascii="Arial" w:hAnsi="Arial" w:cs="Arial"/>
                <w:b/>
                <w:sz w:val="20"/>
                <w:szCs w:val="20"/>
                <w:lang w:val="es-ES"/>
              </w:rPr>
            </w:pPr>
            <w:r w:rsidRPr="0007319D">
              <w:rPr>
                <w:rFonts w:ascii="Arial" w:hAnsi="Arial" w:cs="Arial"/>
                <w:sz w:val="20"/>
                <w:szCs w:val="20"/>
                <w:lang w:val="es-ES"/>
              </w:rPr>
              <w:t>programas de ciencias oceánicas</w:t>
            </w:r>
          </w:p>
        </w:tc>
        <w:tc>
          <w:tcPr>
            <w:tcW w:w="5749" w:type="dxa"/>
            <w:tcBorders>
              <w:top w:val="single" w:sz="5" w:space="0" w:color="000000"/>
              <w:left w:val="single" w:sz="4" w:space="0" w:color="auto"/>
              <w:bottom w:val="single" w:sz="5" w:space="0" w:color="000000"/>
              <w:right w:val="single" w:sz="5" w:space="0" w:color="000000"/>
            </w:tcBorders>
            <w:tcMar>
              <w:top w:w="0" w:type="dxa"/>
              <w:left w:w="100" w:type="dxa"/>
              <w:bottom w:w="0" w:type="dxa"/>
              <w:right w:w="100" w:type="dxa"/>
            </w:tcMar>
          </w:tcPr>
          <w:p w14:paraId="7A49A21B" w14:textId="259D9A2B"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 xml:space="preserve">Elaborar herramientas y directrices para integrar </w:t>
            </w:r>
            <w:r w:rsidR="00C70341">
              <w:rPr>
                <w:rFonts w:ascii="Arial" w:hAnsi="Arial" w:cs="Arial"/>
                <w:sz w:val="20"/>
                <w:szCs w:val="20"/>
                <w:lang w:val="es-ES"/>
              </w:rPr>
              <w:t>medidas de</w:t>
            </w:r>
            <w:r w:rsidRPr="0007319D">
              <w:rPr>
                <w:rFonts w:ascii="Arial" w:hAnsi="Arial" w:cs="Arial"/>
                <w:sz w:val="20"/>
                <w:szCs w:val="20"/>
                <w:lang w:val="es-ES"/>
              </w:rPr>
              <w:t xml:space="preserve"> resiliencia climática y conservación en la planificación oceánica.</w:t>
            </w:r>
          </w:p>
        </w:tc>
      </w:tr>
      <w:tr w:rsidR="003330BA" w:rsidRPr="00BF516E" w14:paraId="51BEBD46" w14:textId="77777777" w:rsidTr="00783168">
        <w:trPr>
          <w:trHeight w:val="615"/>
        </w:trPr>
        <w:tc>
          <w:tcPr>
            <w:tcW w:w="1745" w:type="dxa"/>
            <w:vMerge/>
            <w:tcBorders>
              <w:right w:val="single" w:sz="4" w:space="0" w:color="auto"/>
            </w:tcBorders>
            <w:shd w:val="clear" w:color="auto" w:fill="auto"/>
            <w:tcMar>
              <w:top w:w="100" w:type="dxa"/>
              <w:left w:w="100" w:type="dxa"/>
              <w:bottom w:w="100" w:type="dxa"/>
              <w:right w:w="100" w:type="dxa"/>
            </w:tcMar>
          </w:tcPr>
          <w:p w14:paraId="33E4501F"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tcBorders>
              <w:left w:val="single" w:sz="4" w:space="0" w:color="auto"/>
              <w:right w:val="single" w:sz="4" w:space="0" w:color="auto"/>
            </w:tcBorders>
            <w:shd w:val="clear" w:color="auto" w:fill="auto"/>
            <w:tcMar>
              <w:top w:w="100" w:type="dxa"/>
              <w:left w:w="100" w:type="dxa"/>
              <w:bottom w:w="100" w:type="dxa"/>
              <w:right w:w="100" w:type="dxa"/>
            </w:tcMar>
          </w:tcPr>
          <w:p w14:paraId="58E2771F"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0300D381" w14:textId="0A289520"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 xml:space="preserve">Elaborar y publicar periódicamente informes y evaluaciones sobre buenas prácticas y </w:t>
            </w:r>
            <w:r w:rsidR="00ED286D">
              <w:rPr>
                <w:rFonts w:ascii="Arial" w:hAnsi="Arial" w:cs="Arial"/>
                <w:sz w:val="20"/>
                <w:szCs w:val="20"/>
                <w:lang w:val="es-ES"/>
              </w:rPr>
              <w:t>directrices</w:t>
            </w:r>
            <w:r w:rsidRPr="0007319D">
              <w:rPr>
                <w:rFonts w:ascii="Arial" w:hAnsi="Arial" w:cs="Arial"/>
                <w:sz w:val="20"/>
                <w:szCs w:val="20"/>
                <w:lang w:val="es-ES"/>
              </w:rPr>
              <w:t xml:space="preserve"> en materia de planificación y gestión sostenibles del océano.</w:t>
            </w:r>
          </w:p>
        </w:tc>
      </w:tr>
      <w:tr w:rsidR="003330BA" w:rsidRPr="00BF516E" w14:paraId="633AECDD" w14:textId="77777777" w:rsidTr="00783168">
        <w:trPr>
          <w:trHeight w:val="369"/>
        </w:trPr>
        <w:tc>
          <w:tcPr>
            <w:tcW w:w="1745" w:type="dxa"/>
            <w:vMerge/>
            <w:tcBorders>
              <w:right w:val="single" w:sz="4" w:space="0" w:color="auto"/>
            </w:tcBorders>
            <w:shd w:val="clear" w:color="auto" w:fill="auto"/>
            <w:tcMar>
              <w:top w:w="100" w:type="dxa"/>
              <w:left w:w="100" w:type="dxa"/>
              <w:bottom w:w="100" w:type="dxa"/>
              <w:right w:w="100" w:type="dxa"/>
            </w:tcMar>
          </w:tcPr>
          <w:p w14:paraId="1D70163A"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tcBorders>
              <w:left w:val="single" w:sz="4" w:space="0" w:color="auto"/>
              <w:right w:val="single" w:sz="4" w:space="0" w:color="auto"/>
            </w:tcBorders>
            <w:shd w:val="clear" w:color="auto" w:fill="auto"/>
            <w:tcMar>
              <w:top w:w="100" w:type="dxa"/>
              <w:left w:w="100" w:type="dxa"/>
              <w:bottom w:w="100" w:type="dxa"/>
              <w:right w:w="100" w:type="dxa"/>
            </w:tcMar>
          </w:tcPr>
          <w:p w14:paraId="701179D9"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4" w:space="0" w:color="auto"/>
              <w:bottom w:val="single" w:sz="5" w:space="0" w:color="000000"/>
              <w:right w:val="single" w:sz="5" w:space="0" w:color="000000"/>
            </w:tcBorders>
            <w:tcMar>
              <w:top w:w="0" w:type="dxa"/>
              <w:left w:w="100" w:type="dxa"/>
              <w:bottom w:w="0" w:type="dxa"/>
              <w:right w:w="100" w:type="dxa"/>
            </w:tcMar>
          </w:tcPr>
          <w:p w14:paraId="697C5E4F"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Facilitar la elaboración de directrices y normas mundiales para la planificación y gestión del océano.</w:t>
            </w:r>
          </w:p>
        </w:tc>
      </w:tr>
      <w:tr w:rsidR="003330BA" w:rsidRPr="00BF516E" w14:paraId="0D29AF53" w14:textId="77777777" w:rsidTr="00546E74">
        <w:trPr>
          <w:trHeight w:val="365"/>
        </w:trPr>
        <w:tc>
          <w:tcPr>
            <w:tcW w:w="1745" w:type="dxa"/>
            <w:vMerge/>
            <w:tcBorders>
              <w:right w:val="single" w:sz="4" w:space="0" w:color="auto"/>
            </w:tcBorders>
            <w:shd w:val="clear" w:color="auto" w:fill="auto"/>
            <w:tcMar>
              <w:top w:w="100" w:type="dxa"/>
              <w:left w:w="100" w:type="dxa"/>
              <w:bottom w:w="100" w:type="dxa"/>
              <w:right w:w="100" w:type="dxa"/>
            </w:tcMar>
          </w:tcPr>
          <w:p w14:paraId="669DD743"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tcBorders>
              <w:left w:val="single" w:sz="4" w:space="0" w:color="auto"/>
              <w:right w:val="single" w:sz="4" w:space="0" w:color="auto"/>
            </w:tcBorders>
            <w:shd w:val="clear" w:color="auto" w:fill="auto"/>
            <w:tcMar>
              <w:top w:w="100" w:type="dxa"/>
              <w:left w:w="100" w:type="dxa"/>
              <w:bottom w:w="100" w:type="dxa"/>
              <w:right w:w="100" w:type="dxa"/>
            </w:tcMar>
          </w:tcPr>
          <w:p w14:paraId="505824A4"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nil"/>
              <w:left w:val="single" w:sz="4" w:space="0" w:color="auto"/>
              <w:bottom w:val="single" w:sz="4" w:space="0" w:color="auto"/>
              <w:right w:val="single" w:sz="5" w:space="0" w:color="000000"/>
            </w:tcBorders>
            <w:tcMar>
              <w:top w:w="0" w:type="dxa"/>
              <w:left w:w="100" w:type="dxa"/>
              <w:bottom w:w="0" w:type="dxa"/>
              <w:right w:w="100" w:type="dxa"/>
            </w:tcMar>
          </w:tcPr>
          <w:p w14:paraId="608298B8" w14:textId="77777777"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Ayudar a los Estados Miembros a facilitar la integración efectiva de los principios de planificación y gestión del océano.</w:t>
            </w:r>
          </w:p>
        </w:tc>
      </w:tr>
      <w:tr w:rsidR="003330BA" w:rsidRPr="00BF516E" w14:paraId="232DA0F8" w14:textId="77777777" w:rsidTr="00546E74">
        <w:trPr>
          <w:trHeight w:val="529"/>
        </w:trPr>
        <w:tc>
          <w:tcPr>
            <w:tcW w:w="1745" w:type="dxa"/>
            <w:vMerge/>
            <w:tcBorders>
              <w:right w:val="single" w:sz="4" w:space="0" w:color="auto"/>
            </w:tcBorders>
            <w:shd w:val="clear" w:color="auto" w:fill="auto"/>
            <w:tcMar>
              <w:top w:w="100" w:type="dxa"/>
              <w:left w:w="100" w:type="dxa"/>
              <w:bottom w:w="100" w:type="dxa"/>
              <w:right w:w="100" w:type="dxa"/>
            </w:tcMar>
          </w:tcPr>
          <w:p w14:paraId="1337CCE3"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vMerge/>
            <w:tcBorders>
              <w:left w:val="single" w:sz="4" w:space="0" w:color="auto"/>
              <w:right w:val="single" w:sz="4" w:space="0" w:color="auto"/>
            </w:tcBorders>
            <w:shd w:val="clear" w:color="auto" w:fill="auto"/>
            <w:tcMar>
              <w:top w:w="100" w:type="dxa"/>
              <w:left w:w="100" w:type="dxa"/>
              <w:bottom w:w="100" w:type="dxa"/>
              <w:right w:w="100" w:type="dxa"/>
            </w:tcMar>
          </w:tcPr>
          <w:p w14:paraId="5EBBC9C0" w14:textId="77777777" w:rsidR="00C54645" w:rsidRPr="0007319D" w:rsidRDefault="00C54645"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single" w:sz="4" w:space="0" w:color="auto"/>
              <w:left w:val="single" w:sz="4" w:space="0" w:color="auto"/>
              <w:bottom w:val="single" w:sz="4" w:space="0" w:color="auto"/>
              <w:right w:val="single" w:sz="6" w:space="0" w:color="000000"/>
            </w:tcBorders>
            <w:tcMar>
              <w:top w:w="0" w:type="dxa"/>
              <w:left w:w="100" w:type="dxa"/>
              <w:bottom w:w="0" w:type="dxa"/>
              <w:right w:w="100" w:type="dxa"/>
            </w:tcMar>
          </w:tcPr>
          <w:p w14:paraId="6537A7CF" w14:textId="36C4D096" w:rsidR="00C54645" w:rsidRPr="0007319D" w:rsidRDefault="00C54645" w:rsidP="00061180">
            <w:pPr>
              <w:widowControl w:val="0"/>
              <w:rPr>
                <w:rFonts w:ascii="Arial" w:hAnsi="Arial" w:cs="Arial"/>
                <w:sz w:val="20"/>
                <w:szCs w:val="20"/>
                <w:lang w:val="es-ES"/>
              </w:rPr>
            </w:pPr>
            <w:r w:rsidRPr="0007319D">
              <w:rPr>
                <w:rFonts w:ascii="Arial" w:hAnsi="Arial" w:cs="Arial"/>
                <w:sz w:val="20"/>
                <w:szCs w:val="20"/>
                <w:lang w:val="es-ES"/>
              </w:rPr>
              <w:t>Ayudar a los Estados Miembros a elaborar conjuntamente hojas de ruta globales para orientar la elaboración y aplicación de enfoques relacionados con la planificación y gestión sostenibles del océano.</w:t>
            </w:r>
          </w:p>
        </w:tc>
      </w:tr>
      <w:tr w:rsidR="00A74F92" w:rsidRPr="00BF516E" w14:paraId="2E2CDD6D" w14:textId="77777777" w:rsidTr="00783168">
        <w:trPr>
          <w:trHeight w:val="529"/>
        </w:trPr>
        <w:tc>
          <w:tcPr>
            <w:tcW w:w="1745" w:type="dxa"/>
            <w:tcBorders>
              <w:right w:val="single" w:sz="4" w:space="0" w:color="auto"/>
            </w:tcBorders>
            <w:shd w:val="clear" w:color="auto" w:fill="auto"/>
            <w:tcMar>
              <w:top w:w="100" w:type="dxa"/>
              <w:left w:w="100" w:type="dxa"/>
              <w:bottom w:w="100" w:type="dxa"/>
              <w:right w:w="100" w:type="dxa"/>
            </w:tcMar>
          </w:tcPr>
          <w:p w14:paraId="09F23236" w14:textId="77777777" w:rsidR="00A74F92" w:rsidRPr="0007319D" w:rsidRDefault="00A74F92" w:rsidP="00061180">
            <w:pPr>
              <w:widowControl w:val="0"/>
              <w:pBdr>
                <w:top w:val="nil"/>
                <w:left w:val="nil"/>
                <w:bottom w:val="nil"/>
                <w:right w:val="nil"/>
                <w:between w:val="nil"/>
              </w:pBdr>
              <w:rPr>
                <w:rFonts w:ascii="Arial" w:hAnsi="Arial" w:cs="Arial"/>
                <w:i/>
                <w:color w:val="4E5763"/>
                <w:sz w:val="20"/>
                <w:szCs w:val="20"/>
                <w:lang w:val="es-ES"/>
              </w:rPr>
            </w:pPr>
          </w:p>
        </w:tc>
        <w:tc>
          <w:tcPr>
            <w:tcW w:w="2140" w:type="dxa"/>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7CFB77" w14:textId="77777777" w:rsidR="00A74F92" w:rsidRPr="0007319D" w:rsidRDefault="00A74F92" w:rsidP="00061180">
            <w:pPr>
              <w:widowControl w:val="0"/>
              <w:pBdr>
                <w:top w:val="nil"/>
                <w:left w:val="nil"/>
                <w:bottom w:val="nil"/>
                <w:right w:val="nil"/>
                <w:between w:val="nil"/>
              </w:pBdr>
              <w:rPr>
                <w:rFonts w:ascii="Arial" w:hAnsi="Arial" w:cs="Arial"/>
                <w:i/>
                <w:color w:val="4E5763"/>
                <w:sz w:val="20"/>
                <w:szCs w:val="20"/>
                <w:lang w:val="es-ES"/>
              </w:rPr>
            </w:pPr>
          </w:p>
        </w:tc>
        <w:tc>
          <w:tcPr>
            <w:tcW w:w="574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4C7C065" w14:textId="4489AEEC" w:rsidR="00A74F92" w:rsidRPr="0007319D" w:rsidRDefault="00A74F92" w:rsidP="00061180">
            <w:pPr>
              <w:widowControl w:val="0"/>
              <w:rPr>
                <w:rFonts w:ascii="Arial" w:hAnsi="Arial" w:cs="Arial"/>
                <w:sz w:val="20"/>
                <w:szCs w:val="20"/>
                <w:lang w:val="es-ES"/>
              </w:rPr>
            </w:pPr>
            <w:r w:rsidRPr="0007319D">
              <w:rPr>
                <w:rFonts w:ascii="Arial" w:hAnsi="Arial" w:cs="Arial"/>
                <w:sz w:val="20"/>
                <w:szCs w:val="20"/>
                <w:lang w:val="es-ES"/>
              </w:rPr>
              <w:t>Encontrar nuevas pruebas científicas para integrarlas en los procesos/herramientas de planificación y gestión sostenibles del océano.</w:t>
            </w:r>
          </w:p>
        </w:tc>
      </w:tr>
    </w:tbl>
    <w:p w14:paraId="4A43D1D0" w14:textId="173FBEE0" w:rsidR="00C54645" w:rsidRPr="004C4B08" w:rsidRDefault="00C54645" w:rsidP="00F50C62">
      <w:pPr>
        <w:keepNext/>
        <w:spacing w:before="240"/>
        <w:rPr>
          <w:rFonts w:ascii="Arial" w:hAnsi="Arial" w:cs="Arial"/>
          <w:sz w:val="22"/>
          <w:szCs w:val="22"/>
          <w:lang w:val="es-ES"/>
        </w:rPr>
      </w:pPr>
      <w:r w:rsidRPr="004C4B08">
        <w:rPr>
          <w:rFonts w:ascii="Arial" w:hAnsi="Arial" w:cs="Arial"/>
          <w:b/>
          <w:bCs/>
          <w:sz w:val="22"/>
          <w:szCs w:val="22"/>
          <w:lang w:val="es-ES"/>
        </w:rPr>
        <w:t>Cuadro 2.</w:t>
      </w:r>
      <w:r w:rsidRPr="004C4B08">
        <w:rPr>
          <w:rFonts w:ascii="Arial" w:hAnsi="Arial" w:cs="Arial"/>
          <w:sz w:val="22"/>
          <w:szCs w:val="22"/>
          <w:lang w:val="es-ES"/>
        </w:rPr>
        <w:t xml:space="preserve"> </w:t>
      </w:r>
      <w:r w:rsidRPr="004C4B08">
        <w:rPr>
          <w:rFonts w:ascii="Arial" w:hAnsi="Arial" w:cs="Arial"/>
          <w:i/>
          <w:iCs/>
          <w:sz w:val="22"/>
          <w:szCs w:val="22"/>
          <w:lang w:val="es-ES"/>
        </w:rPr>
        <w:t xml:space="preserve">Contribución que podrían hacer los programas de la COI al logro de los objetivos estratégicos (cuando existe una contribución o sinergia, la celda aparece </w:t>
      </w:r>
      <w:r w:rsidR="00ED286D">
        <w:rPr>
          <w:rFonts w:ascii="Arial" w:hAnsi="Arial" w:cs="Arial"/>
          <w:i/>
          <w:iCs/>
          <w:sz w:val="22"/>
          <w:szCs w:val="22"/>
          <w:lang w:val="es-ES"/>
        </w:rPr>
        <w:t xml:space="preserve">sombreada </w:t>
      </w:r>
      <w:r w:rsidRPr="004C4B08">
        <w:rPr>
          <w:rFonts w:ascii="Arial" w:hAnsi="Arial" w:cs="Arial"/>
          <w:i/>
          <w:iCs/>
          <w:sz w:val="22"/>
          <w:szCs w:val="22"/>
          <w:lang w:val="es-ES"/>
        </w:rPr>
        <w:t>en verde)</w:t>
      </w:r>
    </w:p>
    <w:p w14:paraId="52A927FC" w14:textId="3E6FD81F" w:rsidR="00C54645" w:rsidRPr="004C4B08" w:rsidRDefault="00C54645" w:rsidP="00C54645">
      <w:pPr>
        <w:rPr>
          <w:b/>
          <w:sz w:val="16"/>
          <w:szCs w:val="16"/>
          <w:lang w:val="es-ES"/>
        </w:rPr>
      </w:pPr>
    </w:p>
    <w:tbl>
      <w:tblPr>
        <w:tblW w:w="9815" w:type="dxa"/>
        <w:tblBorders>
          <w:top w:val="nil"/>
          <w:left w:val="nil"/>
          <w:bottom w:val="nil"/>
          <w:right w:val="nil"/>
          <w:insideH w:val="nil"/>
          <w:insideV w:val="nil"/>
        </w:tblBorders>
        <w:tblLayout w:type="fixed"/>
        <w:tblLook w:val="0600" w:firstRow="0" w:lastRow="0" w:firstColumn="0" w:lastColumn="0" w:noHBand="1" w:noVBand="1"/>
      </w:tblPr>
      <w:tblGrid>
        <w:gridCol w:w="3392"/>
        <w:gridCol w:w="1701"/>
        <w:gridCol w:w="1701"/>
        <w:gridCol w:w="1560"/>
        <w:gridCol w:w="1461"/>
      </w:tblGrid>
      <w:tr w:rsidR="003330BA" w:rsidRPr="004C4B08" w14:paraId="09076804" w14:textId="77777777" w:rsidTr="00BA333B">
        <w:trPr>
          <w:trHeight w:val="319"/>
          <w:tblHeader/>
        </w:trPr>
        <w:tc>
          <w:tcPr>
            <w:tcW w:w="3392" w:type="dxa"/>
            <w:vMerge w:val="restart"/>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4929D6A5" w14:textId="77777777" w:rsidR="00C54645" w:rsidRPr="00546E74" w:rsidRDefault="00C54645" w:rsidP="00061180">
            <w:pPr>
              <w:jc w:val="center"/>
              <w:rPr>
                <w:rFonts w:ascii="Arial" w:hAnsi="Arial" w:cs="Arial"/>
                <w:b/>
                <w:color w:val="FFFFFF" w:themeColor="background1"/>
                <w:sz w:val="20"/>
                <w:szCs w:val="20"/>
                <w:lang w:val="es-ES"/>
              </w:rPr>
            </w:pPr>
            <w:r w:rsidRPr="00546E74">
              <w:rPr>
                <w:rFonts w:ascii="Arial" w:hAnsi="Arial" w:cs="Arial"/>
                <w:b/>
                <w:bCs/>
                <w:color w:val="FFFFFF" w:themeColor="background1"/>
                <w:sz w:val="20"/>
                <w:szCs w:val="20"/>
                <w:lang w:val="es-ES"/>
              </w:rPr>
              <w:t>Programas de la COI</w:t>
            </w:r>
          </w:p>
        </w:tc>
        <w:tc>
          <w:tcPr>
            <w:tcW w:w="6423" w:type="dxa"/>
            <w:gridSpan w:val="4"/>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651C481D" w14:textId="77777777" w:rsidR="00C54645" w:rsidRPr="00546E74" w:rsidRDefault="00C54645" w:rsidP="00061180">
            <w:pPr>
              <w:rPr>
                <w:rFonts w:ascii="Arial" w:hAnsi="Arial" w:cs="Arial"/>
                <w:b/>
                <w:color w:val="FFFFFF" w:themeColor="background1"/>
                <w:sz w:val="20"/>
                <w:szCs w:val="20"/>
                <w:lang w:val="es-ES"/>
              </w:rPr>
            </w:pPr>
            <w:r w:rsidRPr="00546E74">
              <w:rPr>
                <w:rFonts w:ascii="Arial" w:hAnsi="Arial" w:cs="Arial"/>
                <w:b/>
                <w:bCs/>
                <w:color w:val="FFFFFF" w:themeColor="background1"/>
                <w:sz w:val="20"/>
                <w:szCs w:val="20"/>
                <w:lang w:val="es-ES"/>
              </w:rPr>
              <w:t>Objetivos estratégicos</w:t>
            </w:r>
          </w:p>
        </w:tc>
      </w:tr>
      <w:tr w:rsidR="003330BA" w:rsidRPr="00BF516E" w14:paraId="7EE5C7EE" w14:textId="77777777" w:rsidTr="00BA333B">
        <w:trPr>
          <w:trHeight w:val="525"/>
          <w:tblHeader/>
        </w:trPr>
        <w:tc>
          <w:tcPr>
            <w:tcW w:w="3392" w:type="dxa"/>
            <w:vMerge/>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7C2E0F02" w14:textId="77777777" w:rsidR="00C54645" w:rsidRPr="00546E74" w:rsidRDefault="00C54645" w:rsidP="00061180">
            <w:pPr>
              <w:rPr>
                <w:rFonts w:ascii="Arial" w:hAnsi="Arial" w:cs="Arial"/>
                <w:b/>
                <w:color w:val="FFFFFF" w:themeColor="background1"/>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0E02AA5A" w14:textId="6BBE72EE" w:rsidR="00C54645" w:rsidRPr="00546E74" w:rsidRDefault="00B314FA" w:rsidP="00061180">
            <w:pPr>
              <w:rPr>
                <w:rFonts w:ascii="Arial" w:hAnsi="Arial" w:cs="Arial"/>
                <w:b/>
                <w:color w:val="FFFFFF" w:themeColor="background1"/>
                <w:sz w:val="20"/>
                <w:szCs w:val="20"/>
                <w:lang w:val="es-ES"/>
              </w:rPr>
            </w:pPr>
            <w:r w:rsidRPr="00546E74">
              <w:rPr>
                <w:rFonts w:ascii="Arial" w:hAnsi="Arial" w:cs="Arial"/>
                <w:color w:val="FFFFFF" w:themeColor="background1"/>
                <w:sz w:val="20"/>
                <w:szCs w:val="20"/>
                <w:lang w:val="es-ES"/>
              </w:rPr>
              <w:t>M</w:t>
            </w:r>
            <w:r w:rsidR="00C54645" w:rsidRPr="00546E74">
              <w:rPr>
                <w:rFonts w:ascii="Arial" w:hAnsi="Arial" w:cs="Arial"/>
                <w:color w:val="FFFFFF" w:themeColor="background1"/>
                <w:sz w:val="20"/>
                <w:szCs w:val="20"/>
                <w:lang w:val="es-ES"/>
              </w:rPr>
              <w:t>ayor integración e incorporación de enfoques de planificación y gestión sostenibles del océano</w:t>
            </w:r>
          </w:p>
        </w:tc>
        <w:tc>
          <w:tcPr>
            <w:tcW w:w="1701" w:type="dxa"/>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174E0475" w14:textId="77777777" w:rsidR="00C54645" w:rsidRPr="00546E74" w:rsidRDefault="00C54645" w:rsidP="00061180">
            <w:pPr>
              <w:rPr>
                <w:rFonts w:ascii="Arial" w:hAnsi="Arial" w:cs="Arial"/>
                <w:color w:val="FFFFFF" w:themeColor="background1"/>
                <w:sz w:val="20"/>
                <w:szCs w:val="20"/>
                <w:lang w:val="es-ES"/>
              </w:rPr>
            </w:pPr>
            <w:r w:rsidRPr="00546E74">
              <w:rPr>
                <w:rFonts w:ascii="Arial" w:hAnsi="Arial" w:cs="Arial"/>
                <w:color w:val="FFFFFF" w:themeColor="background1"/>
                <w:sz w:val="20"/>
                <w:szCs w:val="20"/>
                <w:lang w:val="es-ES"/>
              </w:rPr>
              <w:t>Mejora de la observación, los datos, los marcos de datos y la gestión del conocimiento para la gestión basada en los ecosistemas y las aplicaciones sectoriales</w:t>
            </w:r>
          </w:p>
        </w:tc>
        <w:tc>
          <w:tcPr>
            <w:tcW w:w="1560" w:type="dxa"/>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270DB41A" w14:textId="77777777" w:rsidR="00C54645" w:rsidRPr="00546E74" w:rsidRDefault="00C54645" w:rsidP="00061180">
            <w:pPr>
              <w:rPr>
                <w:rFonts w:ascii="Arial" w:hAnsi="Arial" w:cs="Arial"/>
                <w:color w:val="FFFFFF" w:themeColor="background1"/>
                <w:sz w:val="20"/>
                <w:szCs w:val="20"/>
                <w:lang w:val="es-ES"/>
              </w:rPr>
            </w:pPr>
            <w:r w:rsidRPr="00546E74">
              <w:rPr>
                <w:rFonts w:ascii="Arial" w:hAnsi="Arial" w:cs="Arial"/>
                <w:color w:val="FFFFFF" w:themeColor="background1"/>
                <w:sz w:val="20"/>
                <w:szCs w:val="20"/>
                <w:lang w:val="es-ES"/>
              </w:rPr>
              <w:t>Refuerzo de la coordinación intersectorial y transfronteriza</w:t>
            </w:r>
          </w:p>
        </w:tc>
        <w:tc>
          <w:tcPr>
            <w:tcW w:w="1461" w:type="dxa"/>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53C31ABE" w14:textId="77777777" w:rsidR="00C54645" w:rsidRPr="00546E74" w:rsidRDefault="00C54645" w:rsidP="00061180">
            <w:pPr>
              <w:spacing w:after="160"/>
              <w:rPr>
                <w:rFonts w:ascii="Arial" w:hAnsi="Arial" w:cs="Arial"/>
                <w:color w:val="FFFFFF" w:themeColor="background1"/>
                <w:sz w:val="20"/>
                <w:szCs w:val="20"/>
                <w:lang w:val="es-ES"/>
              </w:rPr>
            </w:pPr>
            <w:r w:rsidRPr="00546E74">
              <w:rPr>
                <w:rFonts w:ascii="Arial" w:hAnsi="Arial" w:cs="Arial"/>
                <w:color w:val="FFFFFF" w:themeColor="background1"/>
                <w:sz w:val="20"/>
                <w:szCs w:val="20"/>
                <w:lang w:val="es-ES"/>
              </w:rPr>
              <w:t>Ampliación del desarrollo de capacidades</w:t>
            </w:r>
          </w:p>
        </w:tc>
      </w:tr>
      <w:tr w:rsidR="003330BA" w:rsidRPr="00BF516E" w14:paraId="3C8B2342" w14:textId="77777777" w:rsidTr="00BA333B">
        <w:trPr>
          <w:trHeight w:val="231"/>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33FEA7"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 xml:space="preserve">Sistema Mundial de Observación del Océano (GOOS)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5BD3CFC"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77D97419"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47DA4A"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B8E48CA"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650002AC" w14:textId="77777777" w:rsidTr="00BA333B">
        <w:trPr>
          <w:trHeight w:val="346"/>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0D46575"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 xml:space="preserve">Datos e información - Intercambio Internacional de Datos e Información Oceanográficos (IODE)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45021C"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056EC664"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BD921E"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49B4DAF"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7F2A96CD" w14:textId="77777777" w:rsidTr="00BA333B">
        <w:trPr>
          <w:trHeight w:val="219"/>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C7360FE"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 xml:space="preserve">Sistema de Información sobre la Biodiversidad del Océano (OBIS)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15CC851"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F7D8F4F"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EEFB944"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DA35CC3"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356D9340" w14:textId="77777777" w:rsidTr="00BA333B">
        <w:trPr>
          <w:trHeight w:val="289"/>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E84151"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Mapa Batimétrico General de los Océanos (GEBCO)/</w:t>
            </w:r>
            <w:proofErr w:type="spellStart"/>
            <w:r w:rsidRPr="0007319D">
              <w:rPr>
                <w:rFonts w:ascii="Arial" w:hAnsi="Arial" w:cs="Arial"/>
                <w:sz w:val="20"/>
                <w:szCs w:val="20"/>
                <w:lang w:val="es-ES"/>
              </w:rPr>
              <w:t>Seabed</w:t>
            </w:r>
            <w:proofErr w:type="spellEnd"/>
            <w:r w:rsidRPr="0007319D">
              <w:rPr>
                <w:rFonts w:ascii="Arial" w:hAnsi="Arial" w:cs="Arial"/>
                <w:sz w:val="20"/>
                <w:szCs w:val="20"/>
                <w:lang w:val="es-ES"/>
              </w:rPr>
              <w:t xml:space="preserve"> 2030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1E8A3B"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AA9D00D"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F9F5BA9"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8C538A"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7112B569" w14:textId="77777777" w:rsidTr="00BA333B">
        <w:trPr>
          <w:trHeight w:val="513"/>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7B6C7FB"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Centro Conjunto de la OMM y la COI de Apoyo a los Programas de Observaciones Oceanográficas y de Meteorología Marina In Situ (</w:t>
            </w:r>
            <w:proofErr w:type="spellStart"/>
            <w:r w:rsidRPr="0007319D">
              <w:rPr>
                <w:rFonts w:ascii="Arial" w:hAnsi="Arial" w:cs="Arial"/>
                <w:sz w:val="20"/>
                <w:szCs w:val="20"/>
                <w:lang w:val="es-ES"/>
              </w:rPr>
              <w:t>OceanOPS</w:t>
            </w:r>
            <w:proofErr w:type="spellEnd"/>
            <w:r w:rsidRPr="0007319D">
              <w:rPr>
                <w:rFonts w:ascii="Arial" w:hAnsi="Arial" w:cs="Arial"/>
                <w:sz w:val="20"/>
                <w:szCs w:val="20"/>
                <w:lang w:val="es-ES"/>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A22B7D5"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0F34371"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F6F1073"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2D71A24"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7DE74779" w14:textId="77777777" w:rsidTr="00BA333B">
        <w:trPr>
          <w:trHeight w:val="228"/>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5C67148"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 xml:space="preserve">Sistema Mundial de Observación del Nivel del Mar (GLOSS)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8F4C5F9"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15BD42C"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AE77957"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D270B40"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7C83D6C6" w14:textId="77777777" w:rsidTr="00BA333B">
        <w:trPr>
          <w:trHeight w:val="303"/>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ADFA20"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Programa sobre Floraciones de Algas Nocivas y trabajos conexos sobre nutrientes, eutrofización costera y desoxigenación</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615932"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A79627"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638187B"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10FF702"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09E477E8" w14:textId="77777777" w:rsidTr="00BA333B">
        <w:trPr>
          <w:trHeight w:val="291"/>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D35BF8"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 xml:space="preserve">Programa sobre los Tsunamis de la COI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F7C249E"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8958DFA"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0C747BBA"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BBB421E"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4C4B08" w14:paraId="7F243C37" w14:textId="77777777" w:rsidTr="00BA333B">
        <w:trPr>
          <w:trHeight w:val="270"/>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CD8AE44" w14:textId="6D74AAAC"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 xml:space="preserve">Programa Tsunami </w:t>
            </w:r>
            <w:proofErr w:type="spellStart"/>
            <w:r w:rsidRPr="0007319D">
              <w:rPr>
                <w:rFonts w:ascii="Arial" w:hAnsi="Arial" w:cs="Arial"/>
                <w:sz w:val="20"/>
                <w:szCs w:val="20"/>
                <w:lang w:val="es-ES"/>
              </w:rPr>
              <w:t>Ready</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FA215E9"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82F4FC1"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A137D39"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B7D2F1"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0E7BB7BA" w14:textId="77777777" w:rsidTr="00BA333B">
        <w:trPr>
          <w:trHeight w:val="285"/>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2713ED"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 xml:space="preserve">Informe sobre el estado del océano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342E02"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6D5E46F"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A94AC4"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7A6363F"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74A2FD64" w14:textId="77777777" w:rsidTr="00BA333B">
        <w:trPr>
          <w:trHeight w:val="270"/>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B440DD2"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 xml:space="preserve">Informe mundial sobre las ciencias oceánicas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D3146B"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08C332A1"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379F13A"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281463"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5F7BF9DF" w14:textId="77777777" w:rsidTr="00BA333B">
        <w:trPr>
          <w:trHeight w:val="263"/>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DFE6F5"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lastRenderedPageBreak/>
              <w:t xml:space="preserve">Contribución a la Evaluación mundial de los océanos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7AC01C5"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CCCC852"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72DBEE4"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1010725"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71F0130B" w14:textId="77777777" w:rsidTr="00BA333B">
        <w:trPr>
          <w:trHeight w:val="270"/>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2DBB47" w14:textId="2A2F2394"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Evaluación de las metas del ODS 14</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764F6A"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18D146F7"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9C20B6"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9FBBB0"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4C4B08" w14:paraId="1FD6DAAC" w14:textId="77777777" w:rsidTr="00BA333B">
        <w:trPr>
          <w:trHeight w:val="270"/>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179179" w14:textId="1EB19CA9"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Evaluaciones del GESAMP</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D3487D3"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634BA4AF"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F9B14D"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13CE1B"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47BE8812" w14:textId="77777777" w:rsidTr="00BA333B">
        <w:trPr>
          <w:trHeight w:val="304"/>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8FAB84" w14:textId="686F68A1" w:rsidR="00C54645" w:rsidRPr="0007319D" w:rsidRDefault="00314B59"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Programa mundial conjunto de la COI y la DG MARE de planificación espacial marina (</w:t>
            </w:r>
            <w:proofErr w:type="spellStart"/>
            <w:r w:rsidRPr="0007319D">
              <w:rPr>
                <w:rFonts w:ascii="Arial" w:hAnsi="Arial" w:cs="Arial"/>
                <w:sz w:val="20"/>
                <w:szCs w:val="20"/>
                <w:lang w:val="es-ES"/>
              </w:rPr>
              <w:t>MSPglobal</w:t>
            </w:r>
            <w:proofErr w:type="spellEnd"/>
            <w:r w:rsidRPr="0007319D">
              <w:rPr>
                <w:rFonts w:ascii="Arial" w:hAnsi="Arial" w:cs="Arial"/>
                <w:sz w:val="20"/>
                <w:szCs w:val="20"/>
                <w:lang w:val="es-ES"/>
              </w:rPr>
              <w:t>)</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72B38ED0"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6D7AB3AD"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174BE644"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5CD8044"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5E89BAB9" w14:textId="77777777" w:rsidTr="00BA333B">
        <w:trPr>
          <w:trHeight w:val="304"/>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76EC6F" w14:textId="2EE130FF" w:rsidR="00C54645" w:rsidRPr="0007319D" w:rsidRDefault="007C1995" w:rsidP="00422210">
            <w:pPr>
              <w:snapToGrid w:val="0"/>
              <w:spacing w:before="40" w:afterLines="40" w:after="96"/>
              <w:rPr>
                <w:rFonts w:ascii="Arial" w:hAnsi="Arial" w:cs="Arial"/>
                <w:sz w:val="20"/>
                <w:szCs w:val="20"/>
                <w:lang w:val="es-ES"/>
              </w:rPr>
            </w:pPr>
            <w:r>
              <w:rPr>
                <w:rFonts w:ascii="Arial" w:hAnsi="Arial" w:cs="Arial"/>
                <w:sz w:val="20"/>
                <w:szCs w:val="20"/>
                <w:lang w:val="es-ES"/>
              </w:rPr>
              <w:t>Productos de IW</w:t>
            </w:r>
            <w:r w:rsidR="00413388">
              <w:rPr>
                <w:rFonts w:ascii="Arial" w:hAnsi="Arial" w:cs="Arial"/>
                <w:sz w:val="20"/>
                <w:szCs w:val="20"/>
                <w:lang w:val="es-ES"/>
              </w:rPr>
              <w:t>:</w:t>
            </w:r>
            <w:r>
              <w:rPr>
                <w:rFonts w:ascii="Arial" w:hAnsi="Arial" w:cs="Arial"/>
                <w:sz w:val="20"/>
                <w:szCs w:val="20"/>
                <w:lang w:val="es-ES"/>
              </w:rPr>
              <w:t>LEARN del</w:t>
            </w:r>
            <w:r w:rsidRPr="0007319D">
              <w:rPr>
                <w:rFonts w:ascii="Arial" w:hAnsi="Arial" w:cs="Arial"/>
                <w:sz w:val="20"/>
                <w:szCs w:val="20"/>
                <w:lang w:val="es-ES"/>
              </w:rPr>
              <w:t xml:space="preserve"> FMAM</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4594C9F"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DD319F"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C59401"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6CBABC6"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323D1CBE" w14:textId="77777777" w:rsidTr="00BA333B">
        <w:trPr>
          <w:trHeight w:val="493"/>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CD2558" w14:textId="3B14801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 xml:space="preserve">Academia Mundial </w:t>
            </w:r>
            <w:proofErr w:type="spellStart"/>
            <w:r w:rsidRPr="0007319D">
              <w:rPr>
                <w:rFonts w:ascii="Arial" w:hAnsi="Arial" w:cs="Arial"/>
                <w:sz w:val="20"/>
                <w:szCs w:val="20"/>
                <w:lang w:val="es-ES"/>
              </w:rPr>
              <w:t>OceanTeacher</w:t>
            </w:r>
            <w:proofErr w:type="spellEnd"/>
            <w:r w:rsidRPr="0007319D">
              <w:rPr>
                <w:rFonts w:ascii="Arial" w:hAnsi="Arial" w:cs="Arial"/>
                <w:sz w:val="20"/>
                <w:szCs w:val="20"/>
                <w:lang w:val="es-ES"/>
              </w:rPr>
              <w:t xml:space="preserve"> y otros servicios/</w:t>
            </w:r>
            <w:r w:rsidR="00A52A5E">
              <w:rPr>
                <w:rFonts w:ascii="Arial" w:hAnsi="Arial" w:cs="Arial"/>
                <w:sz w:val="20"/>
                <w:szCs w:val="20"/>
                <w:lang w:val="es-ES"/>
              </w:rPr>
              <w:t>centros</w:t>
            </w:r>
            <w:r w:rsidRPr="0007319D">
              <w:rPr>
                <w:rFonts w:ascii="Arial" w:hAnsi="Arial" w:cs="Arial"/>
                <w:sz w:val="20"/>
                <w:szCs w:val="20"/>
                <w:lang w:val="es-ES"/>
              </w:rPr>
              <w:t xml:space="preserve"> de desarrollo de capacidades de la COI (como el </w:t>
            </w:r>
            <w:proofErr w:type="spellStart"/>
            <w:r w:rsidRPr="0007319D">
              <w:rPr>
                <w:rFonts w:ascii="Arial" w:hAnsi="Arial" w:cs="Arial"/>
                <w:sz w:val="20"/>
                <w:szCs w:val="20"/>
                <w:lang w:val="es-ES"/>
              </w:rPr>
              <w:t>Ocean</w:t>
            </w:r>
            <w:proofErr w:type="spellEnd"/>
            <w:r w:rsidRPr="0007319D">
              <w:rPr>
                <w:rFonts w:ascii="Arial" w:hAnsi="Arial" w:cs="Arial"/>
                <w:sz w:val="20"/>
                <w:szCs w:val="20"/>
                <w:lang w:val="es-ES"/>
              </w:rPr>
              <w:t xml:space="preserve"> CD-Hub)</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D1E8E84"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4E26DD"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93595A5"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7BABEF8"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4C4B08" w14:paraId="765E975A" w14:textId="77777777" w:rsidTr="00BA333B">
        <w:trPr>
          <w:trHeight w:val="314"/>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D846708"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Programa de cultura oceánica</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0B719F16"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F0C82A"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3BBD70"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1EDF44C9"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502E14C5" w14:textId="77777777" w:rsidTr="00BA333B">
        <w:trPr>
          <w:trHeight w:val="225"/>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E14AB6" w14:textId="1E3B73AC"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 xml:space="preserve">Centros de categoría 2 </w:t>
            </w:r>
            <w:r w:rsidR="002B10D4">
              <w:rPr>
                <w:rFonts w:ascii="Arial" w:hAnsi="Arial" w:cs="Arial"/>
                <w:sz w:val="20"/>
                <w:szCs w:val="20"/>
                <w:lang w:val="es-ES"/>
              </w:rPr>
              <w:t xml:space="preserve">de </w:t>
            </w:r>
            <w:r w:rsidRPr="0007319D">
              <w:rPr>
                <w:rFonts w:ascii="Arial" w:hAnsi="Arial" w:cs="Arial"/>
                <w:sz w:val="20"/>
                <w:szCs w:val="20"/>
                <w:lang w:val="es-ES"/>
              </w:rPr>
              <w:t>la UNESCO</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EFBFB10"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DB7193"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A0E94D"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C22DABB"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r w:rsidR="003330BA" w:rsidRPr="00BF516E" w14:paraId="2DDFAAC3" w14:textId="77777777" w:rsidTr="00BA333B">
        <w:trPr>
          <w:trHeight w:val="270"/>
        </w:trPr>
        <w:tc>
          <w:tcPr>
            <w:tcW w:w="339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DFA56E" w14:textId="77777777" w:rsidR="00C54645" w:rsidRPr="0007319D" w:rsidRDefault="00C54645" w:rsidP="00422210">
            <w:pPr>
              <w:snapToGrid w:val="0"/>
              <w:spacing w:before="40" w:afterLines="40" w:after="96"/>
              <w:rPr>
                <w:rFonts w:ascii="Arial" w:hAnsi="Arial" w:cs="Arial"/>
                <w:sz w:val="20"/>
                <w:szCs w:val="20"/>
                <w:lang w:val="es-ES"/>
              </w:rPr>
            </w:pPr>
            <w:r w:rsidRPr="0007319D">
              <w:rPr>
                <w:rFonts w:ascii="Arial" w:hAnsi="Arial" w:cs="Arial"/>
                <w:sz w:val="20"/>
                <w:szCs w:val="20"/>
                <w:lang w:val="es-ES"/>
              </w:rPr>
              <w:t xml:space="preserve">Red de profesionales del océano que inician su carrera </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8DA3AF7"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14CC94"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560"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3F9221B"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179E4592" w14:textId="77777777" w:rsidR="00C54645" w:rsidRPr="0007319D" w:rsidRDefault="00C54645" w:rsidP="00422210">
            <w:pPr>
              <w:snapToGrid w:val="0"/>
              <w:spacing w:before="40" w:afterLines="40" w:after="96"/>
              <w:rPr>
                <w:rFonts w:asciiTheme="minorBidi" w:hAnsiTheme="minorBidi" w:cstheme="minorBidi"/>
                <w:sz w:val="20"/>
                <w:szCs w:val="20"/>
                <w:lang w:val="es-ES"/>
              </w:rPr>
            </w:pPr>
          </w:p>
        </w:tc>
      </w:tr>
    </w:tbl>
    <w:p w14:paraId="36B0DF1A" w14:textId="77777777" w:rsidR="000246AA" w:rsidRPr="004C4B08" w:rsidRDefault="000246AA" w:rsidP="00BA333B">
      <w:pPr>
        <w:spacing w:after="240"/>
        <w:rPr>
          <w:b/>
          <w:lang w:val="es-ES"/>
        </w:rPr>
      </w:pPr>
    </w:p>
    <w:sectPr w:rsidR="000246AA" w:rsidRPr="004C4B08" w:rsidSect="00FA4098">
      <w:headerReference w:type="even" r:id="rId16"/>
      <w:headerReference w:type="default" r:id="rId17"/>
      <w:headerReference w:type="first" r:id="rId18"/>
      <w:type w:val="oddPage"/>
      <w:pgSz w:w="11900" w:h="16840"/>
      <w:pgMar w:top="1440" w:right="1135" w:bottom="144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23829" w14:textId="77777777" w:rsidR="00D90E07" w:rsidRPr="00241215" w:rsidRDefault="00D90E07" w:rsidP="009F5F54">
      <w:r w:rsidRPr="00241215">
        <w:separator/>
      </w:r>
    </w:p>
  </w:endnote>
  <w:endnote w:type="continuationSeparator" w:id="0">
    <w:p w14:paraId="0B147730" w14:textId="77777777" w:rsidR="00D90E07" w:rsidRPr="00241215" w:rsidRDefault="00D90E07" w:rsidP="009F5F54">
      <w:r w:rsidRPr="00241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9E805" w14:textId="77777777" w:rsidR="00D90E07" w:rsidRPr="00241215" w:rsidRDefault="00D90E07" w:rsidP="009F5F54">
      <w:r w:rsidRPr="00241215">
        <w:separator/>
      </w:r>
    </w:p>
  </w:footnote>
  <w:footnote w:type="continuationSeparator" w:id="0">
    <w:p w14:paraId="35AB2EC5" w14:textId="77777777" w:rsidR="00D90E07" w:rsidRPr="00241215" w:rsidRDefault="00D90E07" w:rsidP="009F5F54">
      <w:r w:rsidRPr="00241215">
        <w:continuationSeparator/>
      </w:r>
    </w:p>
  </w:footnote>
  <w:footnote w:id="1">
    <w:p w14:paraId="6E9EBEBB" w14:textId="1D9B60D1" w:rsidR="00061180" w:rsidRPr="002E1AB5" w:rsidRDefault="00061180" w:rsidP="002E1AB5">
      <w:pPr>
        <w:spacing w:after="120"/>
        <w:ind w:left="567" w:hanging="567"/>
        <w:jc w:val="both"/>
        <w:rPr>
          <w:rFonts w:asciiTheme="minorBidi" w:hAnsiTheme="minorBidi" w:cstheme="minorBidi"/>
          <w:sz w:val="18"/>
          <w:szCs w:val="18"/>
          <w:lang w:val="es-ES"/>
        </w:rPr>
      </w:pPr>
      <w:r w:rsidRPr="002E1AB5">
        <w:rPr>
          <w:rStyle w:val="Refdenotaalpie"/>
          <w:rFonts w:asciiTheme="minorBidi" w:hAnsiTheme="minorBidi" w:cstheme="minorBidi"/>
          <w:sz w:val="18"/>
          <w:szCs w:val="18"/>
          <w:lang w:val="es-ES"/>
        </w:rPr>
        <w:footnoteRef/>
      </w:r>
      <w:r w:rsidR="002E1AB5">
        <w:rPr>
          <w:rFonts w:asciiTheme="minorBidi" w:hAnsiTheme="minorBidi" w:cstheme="minorBidi"/>
          <w:sz w:val="18"/>
          <w:szCs w:val="18"/>
          <w:lang w:val="es-ES"/>
        </w:rPr>
        <w:tab/>
      </w:r>
      <w:r w:rsidRPr="002E1AB5">
        <w:rPr>
          <w:rFonts w:asciiTheme="minorBidi" w:hAnsiTheme="minorBidi" w:cstheme="minorBidi"/>
          <w:sz w:val="18"/>
          <w:szCs w:val="18"/>
          <w:lang w:val="es-ES"/>
        </w:rPr>
        <w:t xml:space="preserve">Por </w:t>
      </w:r>
      <w:r w:rsidR="00976470">
        <w:rPr>
          <w:rFonts w:asciiTheme="minorBidi" w:hAnsiTheme="minorBidi" w:cstheme="minorBidi"/>
          <w:sz w:val="18"/>
          <w:szCs w:val="18"/>
          <w:lang w:val="es-ES"/>
        </w:rPr>
        <w:t>“</w:t>
      </w:r>
      <w:r w:rsidRPr="002E1AB5">
        <w:rPr>
          <w:rFonts w:asciiTheme="minorBidi" w:hAnsiTheme="minorBidi" w:cstheme="minorBidi"/>
          <w:sz w:val="18"/>
          <w:szCs w:val="18"/>
          <w:lang w:val="es-ES"/>
        </w:rPr>
        <w:t>marco de datos</w:t>
      </w:r>
      <w:r w:rsidR="00976470">
        <w:rPr>
          <w:rFonts w:asciiTheme="minorBidi" w:hAnsiTheme="minorBidi" w:cstheme="minorBidi"/>
          <w:sz w:val="18"/>
          <w:szCs w:val="18"/>
          <w:lang w:val="es-ES"/>
        </w:rPr>
        <w:t>”</w:t>
      </w:r>
      <w:r w:rsidRPr="002E1AB5">
        <w:rPr>
          <w:rFonts w:asciiTheme="minorBidi" w:hAnsiTheme="minorBidi" w:cstheme="minorBidi"/>
          <w:sz w:val="18"/>
          <w:szCs w:val="18"/>
          <w:lang w:val="es-ES"/>
        </w:rPr>
        <w:t xml:space="preserve"> se entiende un enfoque organizado de la gestión y el tratamiento de los datos a lo largo de su ciclo de vida, lo que incluye su recogida, almacenamiento, tratamiento, análisis y difusión. Comprende herramientas de gestión de datos, como directrices y políticas.</w:t>
      </w:r>
    </w:p>
  </w:footnote>
  <w:footnote w:id="2">
    <w:p w14:paraId="5B0804CB" w14:textId="6B851593" w:rsidR="00061180" w:rsidRPr="002E1AB5" w:rsidRDefault="00061180" w:rsidP="002E1AB5">
      <w:pPr>
        <w:spacing w:after="120"/>
        <w:ind w:left="567" w:hanging="567"/>
        <w:jc w:val="both"/>
        <w:rPr>
          <w:rFonts w:asciiTheme="minorBidi" w:hAnsiTheme="minorBidi" w:cstheme="minorBidi"/>
          <w:color w:val="000000"/>
          <w:sz w:val="18"/>
          <w:szCs w:val="18"/>
          <w:lang w:val="es-ES"/>
        </w:rPr>
      </w:pPr>
      <w:r w:rsidRPr="002E1AB5">
        <w:rPr>
          <w:rStyle w:val="Refdenotaalpie"/>
          <w:rFonts w:asciiTheme="minorBidi" w:hAnsiTheme="minorBidi" w:cstheme="minorBidi"/>
          <w:sz w:val="18"/>
          <w:szCs w:val="18"/>
          <w:lang w:val="es-ES"/>
        </w:rPr>
        <w:footnoteRef/>
      </w:r>
      <w:r w:rsidR="002E1AB5">
        <w:rPr>
          <w:rFonts w:asciiTheme="minorBidi" w:hAnsiTheme="minorBidi" w:cstheme="minorBidi"/>
          <w:sz w:val="18"/>
          <w:szCs w:val="18"/>
          <w:lang w:val="es-ES"/>
        </w:rPr>
        <w:tab/>
      </w:r>
      <w:r w:rsidRPr="002E1AB5">
        <w:rPr>
          <w:rFonts w:asciiTheme="minorBidi" w:hAnsiTheme="minorBidi" w:cstheme="minorBidi"/>
          <w:sz w:val="18"/>
          <w:szCs w:val="18"/>
          <w:lang w:val="es-ES"/>
        </w:rPr>
        <w:t xml:space="preserve">Red de Economistas de las Naciones Unidas, </w:t>
      </w:r>
      <w:r w:rsidRPr="002E1AB5">
        <w:rPr>
          <w:rFonts w:asciiTheme="minorBidi" w:hAnsiTheme="minorBidi" w:cstheme="minorBidi"/>
          <w:i/>
          <w:iCs/>
          <w:sz w:val="18"/>
          <w:szCs w:val="18"/>
          <w:lang w:val="es-ES"/>
        </w:rPr>
        <w:t>New Economics for Sustainable Development: Sustainable Ocean Economy,</w:t>
      </w:r>
      <w:r w:rsidRPr="002E1AB5">
        <w:rPr>
          <w:rFonts w:asciiTheme="minorBidi" w:hAnsiTheme="minorBidi" w:cstheme="minorBidi"/>
          <w:sz w:val="18"/>
          <w:szCs w:val="18"/>
          <w:lang w:val="es-ES"/>
        </w:rPr>
        <w:t xml:space="preserve"> 2023.</w:t>
      </w:r>
    </w:p>
  </w:footnote>
  <w:footnote w:id="3">
    <w:p w14:paraId="5DACB922" w14:textId="6B9987EF" w:rsidR="00061180" w:rsidRPr="00E620BB" w:rsidRDefault="00061180" w:rsidP="002E1AB5">
      <w:pPr>
        <w:spacing w:after="120"/>
        <w:ind w:left="567" w:hanging="567"/>
        <w:jc w:val="both"/>
        <w:rPr>
          <w:rFonts w:ascii="Arial" w:hAnsi="Arial" w:cs="Arial"/>
          <w:sz w:val="20"/>
          <w:szCs w:val="20"/>
          <w:lang w:val="es-ES"/>
        </w:rPr>
      </w:pPr>
      <w:r w:rsidRPr="002E1AB5">
        <w:rPr>
          <w:rStyle w:val="Refdenotaalpie"/>
          <w:rFonts w:asciiTheme="minorBidi" w:hAnsiTheme="minorBidi" w:cstheme="minorBidi"/>
          <w:sz w:val="18"/>
          <w:szCs w:val="18"/>
          <w:lang w:val="es-ES"/>
        </w:rPr>
        <w:footnoteRef/>
      </w:r>
      <w:r w:rsidR="002E1AB5">
        <w:rPr>
          <w:rFonts w:asciiTheme="minorBidi" w:hAnsiTheme="minorBidi" w:cstheme="minorBidi"/>
          <w:sz w:val="18"/>
          <w:szCs w:val="18"/>
          <w:lang w:val="es-ES"/>
        </w:rPr>
        <w:tab/>
      </w:r>
      <w:r w:rsidRPr="002E1AB5">
        <w:rPr>
          <w:rFonts w:asciiTheme="minorBidi" w:hAnsiTheme="minorBidi" w:cstheme="minorBidi"/>
          <w:sz w:val="18"/>
          <w:szCs w:val="18"/>
          <w:lang w:val="es-ES"/>
        </w:rPr>
        <w:t>UNESCO-COI, segunda edición del informe de la COI sobre el estado del océano (</w:t>
      </w:r>
      <w:r w:rsidRPr="002E1AB5">
        <w:rPr>
          <w:rFonts w:asciiTheme="minorBidi" w:hAnsiTheme="minorBidi" w:cstheme="minorBidi"/>
          <w:i/>
          <w:iCs/>
          <w:sz w:val="18"/>
          <w:szCs w:val="18"/>
          <w:lang w:val="es-ES"/>
        </w:rPr>
        <w:t>State of the Ocean Report</w:t>
      </w:r>
      <w:r w:rsidRPr="002E1AB5">
        <w:rPr>
          <w:rFonts w:asciiTheme="minorBidi" w:hAnsiTheme="minorBidi" w:cstheme="minorBidi"/>
          <w:sz w:val="18"/>
          <w:szCs w:val="18"/>
          <w:lang w:val="es-ES"/>
        </w:rPr>
        <w:t>), 2024.</w:t>
      </w:r>
    </w:p>
  </w:footnote>
  <w:footnote w:id="4">
    <w:p w14:paraId="6E6132DA" w14:textId="0610858C" w:rsidR="00061180" w:rsidRPr="002E1AB5" w:rsidRDefault="00061180" w:rsidP="002E1AB5">
      <w:pPr>
        <w:pStyle w:val="Textonotapie"/>
        <w:ind w:left="567" w:hanging="567"/>
        <w:jc w:val="both"/>
        <w:rPr>
          <w:rFonts w:asciiTheme="minorBidi" w:hAnsiTheme="minorBidi" w:cstheme="minorBidi"/>
          <w:sz w:val="18"/>
          <w:szCs w:val="18"/>
          <w:lang w:val="es-ES"/>
        </w:rPr>
      </w:pPr>
      <w:r w:rsidRPr="002E1AB5">
        <w:rPr>
          <w:rStyle w:val="Refdenotaalpie"/>
          <w:rFonts w:asciiTheme="minorBidi" w:hAnsiTheme="minorBidi" w:cstheme="minorBidi"/>
          <w:sz w:val="18"/>
          <w:szCs w:val="18"/>
          <w:lang w:val="es-ES"/>
        </w:rPr>
        <w:footnoteRef/>
      </w:r>
      <w:r w:rsidR="002E1AB5">
        <w:rPr>
          <w:rFonts w:asciiTheme="minorBidi" w:hAnsiTheme="minorBidi" w:cstheme="minorBidi"/>
          <w:sz w:val="18"/>
          <w:szCs w:val="18"/>
          <w:lang w:val="es-ES"/>
        </w:rPr>
        <w:tab/>
      </w:r>
      <w:r w:rsidRPr="002E1AB5">
        <w:rPr>
          <w:rFonts w:asciiTheme="minorBidi" w:hAnsiTheme="minorBidi" w:cstheme="minorBidi"/>
          <w:sz w:val="18"/>
          <w:szCs w:val="18"/>
          <w:lang w:val="es-ES"/>
        </w:rPr>
        <w:t>La estrategia se ejecutará de conformidad con el derecho internacional, incluida la Convención de las Naciones Unidas sobre el Derecho del Mar (CNUDM).</w:t>
      </w:r>
    </w:p>
  </w:footnote>
  <w:footnote w:id="5">
    <w:p w14:paraId="2C38BF77" w14:textId="04B4DB1E" w:rsidR="00061180" w:rsidRPr="007A7DA0" w:rsidRDefault="00061180" w:rsidP="007A7DA0">
      <w:pPr>
        <w:spacing w:after="40"/>
        <w:ind w:left="567" w:hanging="567"/>
        <w:jc w:val="both"/>
        <w:rPr>
          <w:rFonts w:asciiTheme="minorBidi" w:hAnsiTheme="minorBidi" w:cstheme="minorBidi"/>
          <w:sz w:val="18"/>
          <w:szCs w:val="18"/>
          <w:lang w:val="es-ES"/>
        </w:rPr>
      </w:pPr>
      <w:r w:rsidRPr="007A7DA0">
        <w:rPr>
          <w:rStyle w:val="Refdenotaalpie"/>
          <w:rFonts w:asciiTheme="minorBidi" w:hAnsiTheme="minorBidi" w:cstheme="minorBidi"/>
          <w:sz w:val="18"/>
          <w:szCs w:val="18"/>
          <w:lang w:val="es-ES"/>
        </w:rPr>
        <w:footnoteRef/>
      </w:r>
      <w:r w:rsidR="007A7DA0" w:rsidRPr="007A7DA0">
        <w:rPr>
          <w:rFonts w:asciiTheme="minorBidi" w:hAnsiTheme="minorBidi" w:cstheme="minorBidi"/>
          <w:sz w:val="18"/>
          <w:szCs w:val="18"/>
          <w:lang w:val="es-ES"/>
        </w:rPr>
        <w:tab/>
      </w:r>
      <w:r w:rsidRPr="007A7DA0">
        <w:rPr>
          <w:rFonts w:asciiTheme="minorBidi" w:hAnsiTheme="minorBidi" w:cstheme="minorBidi"/>
          <w:sz w:val="18"/>
          <w:szCs w:val="18"/>
          <w:lang w:val="es-ES"/>
        </w:rPr>
        <w:t>FAIR: Fáciles de encontrar, Accesibles, Interoperables y Reutilizables. Wilkinson, M., Dumontier, M., Aalbersberg, I. et al., 2016.</w:t>
      </w:r>
    </w:p>
  </w:footnote>
  <w:footnote w:id="6">
    <w:p w14:paraId="181606FC" w14:textId="58BBB35F" w:rsidR="00061180" w:rsidRPr="007A7DA0" w:rsidRDefault="00061180" w:rsidP="007A7DA0">
      <w:pPr>
        <w:spacing w:after="40"/>
        <w:ind w:left="567" w:hanging="567"/>
        <w:jc w:val="both"/>
        <w:rPr>
          <w:rFonts w:asciiTheme="minorBidi" w:hAnsiTheme="minorBidi" w:cstheme="minorBidi"/>
          <w:sz w:val="18"/>
          <w:szCs w:val="18"/>
          <w:lang w:val="es-ES"/>
        </w:rPr>
      </w:pPr>
      <w:r w:rsidRPr="007A7DA0">
        <w:rPr>
          <w:rStyle w:val="Refdenotaalpie"/>
          <w:rFonts w:asciiTheme="minorBidi" w:hAnsiTheme="minorBidi" w:cstheme="minorBidi"/>
          <w:sz w:val="18"/>
          <w:szCs w:val="18"/>
          <w:lang w:val="es-ES"/>
        </w:rPr>
        <w:footnoteRef/>
      </w:r>
      <w:r w:rsidR="007A7DA0">
        <w:rPr>
          <w:rFonts w:asciiTheme="minorBidi" w:hAnsiTheme="minorBidi" w:cstheme="minorBidi"/>
          <w:sz w:val="18"/>
          <w:szCs w:val="18"/>
          <w:lang w:val="es-ES"/>
        </w:rPr>
        <w:tab/>
      </w:r>
      <w:r w:rsidRPr="007A7DA0">
        <w:rPr>
          <w:rFonts w:asciiTheme="minorBidi" w:hAnsiTheme="minorBidi" w:cstheme="minorBidi"/>
          <w:sz w:val="18"/>
          <w:szCs w:val="18"/>
          <w:lang w:val="es-ES"/>
        </w:rPr>
        <w:t>Coordinación y alineación de actividades y políticas de distintos sectores industriales, como la pesca, el transporte marítimo y el turismo, para lograr un enfoque unificado de la planificación oceánica.</w:t>
      </w:r>
    </w:p>
  </w:footnote>
  <w:footnote w:id="7">
    <w:p w14:paraId="2016A15A" w14:textId="33DD1C74" w:rsidR="00061180" w:rsidRPr="00E620BB" w:rsidRDefault="00061180" w:rsidP="007A7DA0">
      <w:pPr>
        <w:spacing w:after="40"/>
        <w:ind w:left="567" w:hanging="567"/>
        <w:jc w:val="both"/>
        <w:rPr>
          <w:sz w:val="20"/>
          <w:szCs w:val="20"/>
          <w:lang w:val="es-ES"/>
        </w:rPr>
      </w:pPr>
      <w:r w:rsidRPr="007A7DA0">
        <w:rPr>
          <w:rStyle w:val="Refdenotaalpie"/>
          <w:rFonts w:asciiTheme="minorBidi" w:hAnsiTheme="minorBidi" w:cstheme="minorBidi"/>
          <w:sz w:val="18"/>
          <w:szCs w:val="18"/>
          <w:lang w:val="es-ES"/>
        </w:rPr>
        <w:footnoteRef/>
      </w:r>
      <w:r w:rsidR="007A7DA0">
        <w:rPr>
          <w:rFonts w:asciiTheme="minorBidi" w:hAnsiTheme="minorBidi" w:cstheme="minorBidi"/>
          <w:sz w:val="18"/>
          <w:szCs w:val="18"/>
          <w:lang w:val="es-ES"/>
        </w:rPr>
        <w:tab/>
      </w:r>
      <w:r w:rsidRPr="007A7DA0">
        <w:rPr>
          <w:rFonts w:asciiTheme="minorBidi" w:hAnsiTheme="minorBidi" w:cstheme="minorBidi"/>
          <w:sz w:val="18"/>
          <w:szCs w:val="18"/>
          <w:lang w:val="es-ES"/>
        </w:rPr>
        <w:t>Cooperación entre países o regiones vecinos para gestionar medios y recursos marinos compartidos. Esto es esencial para abordar cuestiones que sobrepasan las fronteras nacionales, como la protección de especies marinas migratorias.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71175" w14:textId="4B385ABB" w:rsidR="00061180" w:rsidRPr="00A84818" w:rsidRDefault="00061180">
    <w:pPr>
      <w:pStyle w:val="Encabezado"/>
      <w:rPr>
        <w:rFonts w:ascii="Arial" w:hAnsi="Arial" w:cs="Arial"/>
        <w:sz w:val="22"/>
        <w:szCs w:val="22"/>
        <w:lang w:val="fr-FR"/>
      </w:rPr>
    </w:pPr>
    <w:r w:rsidRPr="00390A35">
      <w:rPr>
        <w:rFonts w:ascii="Arial" w:hAnsi="Arial" w:cs="Arial"/>
        <w:sz w:val="22"/>
        <w:szCs w:val="22"/>
        <w:lang w:val="en-US"/>
      </w:rPr>
      <w:t>IOC/EC-57/</w:t>
    </w:r>
    <w:bookmarkStart w:id="15" w:name="_Hlk169078068"/>
    <w:r w:rsidRPr="00390A35">
      <w:rPr>
        <w:rFonts w:ascii="Arial" w:hAnsi="Arial" w:cs="Arial"/>
        <w:sz w:val="22"/>
        <w:szCs w:val="22"/>
        <w:lang w:val="en-US"/>
      </w:rPr>
      <w:t>4.3.Doc(1) Rev.</w:t>
    </w:r>
    <w:bookmarkEnd w:id="15"/>
    <w:r w:rsidRPr="00390A35">
      <w:rPr>
        <w:rFonts w:ascii="Arial" w:hAnsi="Arial" w:cs="Arial"/>
        <w:sz w:val="22"/>
        <w:szCs w:val="22"/>
        <w:lang w:val="en-US"/>
      </w:rPr>
      <w:t xml:space="preserve"> – </w:t>
    </w:r>
    <w:r w:rsidR="00390A35" w:rsidRPr="00390A35">
      <w:rPr>
        <w:rFonts w:ascii="Arial" w:hAnsi="Arial" w:cs="Arial"/>
        <w:sz w:val="22"/>
        <w:szCs w:val="22"/>
        <w:lang w:val="en-US"/>
      </w:rPr>
      <w:t>pág.</w:t>
    </w:r>
    <w:r w:rsidRPr="00390A35">
      <w:rPr>
        <w:rFonts w:ascii="Arial" w:hAnsi="Arial" w:cs="Arial"/>
        <w:sz w:val="22"/>
        <w:szCs w:val="22"/>
        <w:lang w:val="en-US"/>
      </w:rPr>
      <w:t xml:space="preserve"> </w:t>
    </w:r>
    <w:r w:rsidRPr="00716ED5">
      <w:rPr>
        <w:rFonts w:ascii="Arial" w:hAnsi="Arial" w:cs="Arial"/>
        <w:sz w:val="22"/>
        <w:szCs w:val="22"/>
      </w:rPr>
      <w:fldChar w:fldCharType="begin"/>
    </w:r>
    <w:r w:rsidRPr="00390A35">
      <w:rPr>
        <w:rFonts w:ascii="Arial" w:hAnsi="Arial" w:cs="Arial"/>
        <w:sz w:val="22"/>
        <w:szCs w:val="22"/>
        <w:lang w:val="en-US"/>
      </w:rPr>
      <w:instrText xml:space="preserve"> PAGE   \* MERGEFORMAT </w:instrText>
    </w:r>
    <w:r w:rsidRPr="00716ED5">
      <w:rPr>
        <w:rFonts w:ascii="Arial" w:hAnsi="Arial" w:cs="Arial"/>
        <w:sz w:val="22"/>
        <w:szCs w:val="22"/>
      </w:rPr>
      <w:fldChar w:fldCharType="separate"/>
    </w:r>
    <w:r w:rsidRPr="00A84818">
      <w:rPr>
        <w:rFonts w:ascii="Arial" w:hAnsi="Arial" w:cs="Arial"/>
        <w:sz w:val="22"/>
        <w:szCs w:val="22"/>
        <w:lang w:val="fr-FR"/>
      </w:rPr>
      <w:t>1</w:t>
    </w:r>
    <w:r w:rsidRPr="00716ED5">
      <w:rPr>
        <w:rFonts w:ascii="Arial" w:hAnsi="Arial" w:cs="Aria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D155E" w14:textId="38388DD2" w:rsidR="00061180" w:rsidRPr="00A84818" w:rsidRDefault="00061180" w:rsidP="00FA4098">
    <w:pPr>
      <w:pStyle w:val="Encabezado"/>
      <w:tabs>
        <w:tab w:val="clear" w:pos="9360"/>
      </w:tabs>
      <w:ind w:right="-8"/>
      <w:jc w:val="right"/>
      <w:rPr>
        <w:szCs w:val="20"/>
        <w:lang w:val="fr-FR"/>
      </w:rPr>
    </w:pPr>
    <w:r w:rsidRPr="00390A35">
      <w:rPr>
        <w:rFonts w:ascii="Arial" w:hAnsi="Arial" w:cs="Arial"/>
        <w:sz w:val="22"/>
        <w:szCs w:val="22"/>
        <w:lang w:val="en-US"/>
      </w:rPr>
      <w:t>IOC/EC-57/4.3.Doc(1) Rev. – p</w:t>
    </w:r>
    <w:r w:rsidR="00390A35" w:rsidRPr="00390A35">
      <w:rPr>
        <w:rFonts w:ascii="Arial" w:hAnsi="Arial" w:cs="Arial"/>
        <w:sz w:val="22"/>
        <w:szCs w:val="22"/>
        <w:lang w:val="en-US"/>
      </w:rPr>
      <w:t>ág.</w:t>
    </w:r>
    <w:r w:rsidRPr="00390A35">
      <w:rPr>
        <w:rFonts w:ascii="Arial" w:hAnsi="Arial" w:cs="Arial"/>
        <w:sz w:val="22"/>
        <w:szCs w:val="22"/>
        <w:lang w:val="en-US"/>
      </w:rPr>
      <w:t xml:space="preserve"> </w:t>
    </w:r>
    <w:r w:rsidRPr="00716ED5">
      <w:rPr>
        <w:rFonts w:ascii="Arial" w:hAnsi="Arial" w:cs="Arial"/>
        <w:sz w:val="22"/>
        <w:szCs w:val="22"/>
      </w:rPr>
      <w:fldChar w:fldCharType="begin"/>
    </w:r>
    <w:r w:rsidRPr="00390A35">
      <w:rPr>
        <w:rFonts w:ascii="Arial" w:hAnsi="Arial" w:cs="Arial"/>
        <w:sz w:val="22"/>
        <w:szCs w:val="22"/>
        <w:lang w:val="en-US"/>
      </w:rPr>
      <w:instrText xml:space="preserve"> PAGE   \* MERGEFORMAT </w:instrText>
    </w:r>
    <w:r w:rsidRPr="00716ED5">
      <w:rPr>
        <w:rFonts w:ascii="Arial" w:hAnsi="Arial" w:cs="Arial"/>
        <w:sz w:val="22"/>
        <w:szCs w:val="22"/>
      </w:rPr>
      <w:fldChar w:fldCharType="separate"/>
    </w:r>
    <w:r w:rsidRPr="00A84818">
      <w:rPr>
        <w:rFonts w:ascii="Arial" w:hAnsi="Arial" w:cs="Arial"/>
        <w:sz w:val="22"/>
        <w:szCs w:val="22"/>
        <w:lang w:val="fr-FR"/>
      </w:rPr>
      <w:t>2</w:t>
    </w:r>
    <w:r w:rsidRPr="00716ED5">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6EC0A" w14:textId="323416D9" w:rsidR="00390A35" w:rsidRPr="00390A35" w:rsidRDefault="00390A35" w:rsidP="00390A35">
    <w:pPr>
      <w:snapToGrid w:val="0"/>
      <w:ind w:left="5103" w:hanging="5103"/>
      <w:jc w:val="both"/>
      <w:rPr>
        <w:rFonts w:ascii="Arial" w:hAnsi="Arial" w:cs="Arial"/>
        <w:b/>
        <w:snapToGrid w:val="0"/>
        <w:sz w:val="22"/>
        <w:szCs w:val="22"/>
        <w:lang w:val="es-ES" w:eastAsia="en-US"/>
      </w:rPr>
    </w:pPr>
    <w:r w:rsidRPr="00390A35">
      <w:rPr>
        <w:rFonts w:ascii="Arial" w:hAnsi="Arial"/>
        <w:snapToGrid w:val="0"/>
        <w:sz w:val="22"/>
        <w:lang w:val="es-ES" w:eastAsia="en-US"/>
      </w:rPr>
      <w:t>Distribución limitada</w:t>
    </w:r>
    <w:r w:rsidRPr="00390A35">
      <w:rPr>
        <w:rFonts w:ascii="Arial" w:hAnsi="Arial"/>
        <w:snapToGrid w:val="0"/>
        <w:sz w:val="22"/>
        <w:lang w:val="es-ES" w:eastAsia="en-US"/>
      </w:rPr>
      <w:tab/>
    </w:r>
    <w:r w:rsidRPr="00390A35">
      <w:rPr>
        <w:rFonts w:ascii="Arial" w:hAnsi="Arial"/>
        <w:b/>
        <w:bCs/>
        <w:snapToGrid w:val="0"/>
        <w:sz w:val="36"/>
        <w:szCs w:val="36"/>
        <w:lang w:val="es-ES" w:eastAsia="en-US"/>
      </w:rPr>
      <w:t>IOC/EC-57/4.3.Doc(1) Rev.</w:t>
    </w:r>
  </w:p>
  <w:p w14:paraId="50BA20C9" w14:textId="51C3AB73" w:rsidR="00390A35" w:rsidRPr="00390A35" w:rsidRDefault="00390A35" w:rsidP="00390A35">
    <w:pPr>
      <w:snapToGrid w:val="0"/>
      <w:ind w:left="5103"/>
      <w:jc w:val="both"/>
      <w:rPr>
        <w:rFonts w:ascii="Arial" w:hAnsi="Arial" w:cs="Arial"/>
        <w:snapToGrid w:val="0"/>
        <w:sz w:val="22"/>
        <w:szCs w:val="22"/>
        <w:lang w:val="es-ES" w:eastAsia="en-US"/>
      </w:rPr>
    </w:pPr>
    <w:r w:rsidRPr="00390A35">
      <w:rPr>
        <w:rFonts w:ascii="Arial" w:hAnsi="Arial"/>
        <w:noProof/>
        <w:snapToGrid w:val="0"/>
        <w:sz w:val="22"/>
        <w:lang w:val="es-ES" w:eastAsia="en-US"/>
      </w:rPr>
      <w:drawing>
        <wp:anchor distT="0" distB="0" distL="114300" distR="114300" simplePos="0" relativeHeight="251659264" behindDoc="0" locked="0" layoutInCell="1" allowOverlap="1" wp14:anchorId="084DD7B4" wp14:editId="2D58D73A">
          <wp:simplePos x="0" y="0"/>
          <wp:positionH relativeFrom="column">
            <wp:posOffset>-19685</wp:posOffset>
          </wp:positionH>
          <wp:positionV relativeFrom="paragraph">
            <wp:posOffset>101600</wp:posOffset>
          </wp:positionV>
          <wp:extent cx="1578610" cy="1047115"/>
          <wp:effectExtent l="0" t="0" r="2540" b="635"/>
          <wp:wrapSquare wrapText="bothSides"/>
          <wp:docPr id="1725710061" name="Picture 172571006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A35">
      <w:rPr>
        <w:rFonts w:ascii="Arial" w:hAnsi="Arial"/>
        <w:snapToGrid w:val="0"/>
        <w:sz w:val="22"/>
        <w:lang w:val="es-ES" w:eastAsia="en-US"/>
      </w:rPr>
      <w:t xml:space="preserve">París, </w:t>
    </w:r>
    <w:r w:rsidR="00F50C62">
      <w:rPr>
        <w:rFonts w:ascii="Arial" w:hAnsi="Arial"/>
        <w:snapToGrid w:val="0"/>
        <w:sz w:val="22"/>
        <w:lang w:val="es-ES" w:eastAsia="en-US"/>
      </w:rPr>
      <w:t>3 de junio de 2024</w:t>
    </w:r>
  </w:p>
  <w:p w14:paraId="0F88A11B" w14:textId="105FC01B" w:rsidR="00390A35" w:rsidRPr="00390A35" w:rsidRDefault="00390A35" w:rsidP="00390A35">
    <w:pPr>
      <w:snapToGrid w:val="0"/>
      <w:ind w:left="5103"/>
      <w:jc w:val="both"/>
      <w:rPr>
        <w:rFonts w:ascii="Arial" w:hAnsi="Arial" w:cs="Arial"/>
        <w:snapToGrid w:val="0"/>
        <w:sz w:val="22"/>
        <w:szCs w:val="22"/>
        <w:lang w:val="es-ES" w:eastAsia="en-US"/>
      </w:rPr>
    </w:pPr>
    <w:r w:rsidRPr="00390A35">
      <w:rPr>
        <w:rFonts w:ascii="Arial" w:hAnsi="Arial"/>
        <w:snapToGrid w:val="0"/>
        <w:sz w:val="22"/>
        <w:lang w:val="es-ES" w:eastAsia="en-US"/>
      </w:rPr>
      <w:t>Original: inglés</w:t>
    </w:r>
  </w:p>
  <w:p w14:paraId="0799335F" w14:textId="77777777" w:rsidR="00390A35" w:rsidRPr="00390A35" w:rsidRDefault="00390A35" w:rsidP="00390A35">
    <w:pPr>
      <w:tabs>
        <w:tab w:val="left" w:pos="-1440"/>
        <w:tab w:val="left" w:pos="-720"/>
        <w:tab w:val="left" w:pos="0"/>
        <w:tab w:val="left" w:pos="567"/>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snapToGrid w:val="0"/>
      <w:jc w:val="both"/>
      <w:rPr>
        <w:rFonts w:ascii="Arial" w:hAnsi="Arial" w:cs="Arial"/>
        <w:b/>
        <w:snapToGrid w:val="0"/>
        <w:sz w:val="22"/>
        <w:szCs w:val="22"/>
        <w:lang w:val="es-ES" w:eastAsia="en-US"/>
      </w:rPr>
    </w:pPr>
  </w:p>
  <w:p w14:paraId="1B547D95" w14:textId="77777777" w:rsidR="00390A35" w:rsidRPr="00390A35" w:rsidRDefault="00390A35" w:rsidP="00390A35">
    <w:pPr>
      <w:tabs>
        <w:tab w:val="left" w:pos="-1440"/>
        <w:tab w:val="left" w:pos="-720"/>
        <w:tab w:val="left" w:pos="567"/>
        <w:tab w:val="left" w:pos="720"/>
        <w:tab w:val="left" w:pos="2160"/>
        <w:tab w:val="left" w:pos="3600"/>
        <w:tab w:val="left" w:pos="4320"/>
        <w:tab w:val="left" w:pos="5040"/>
        <w:tab w:val="left" w:pos="5523"/>
        <w:tab w:val="left" w:pos="6480"/>
      </w:tabs>
      <w:snapToGrid w:val="0"/>
      <w:ind w:left="2772"/>
      <w:rPr>
        <w:rFonts w:ascii="Arial" w:hAnsi="Arial" w:cs="Arial"/>
        <w:b/>
        <w:snapToGrid w:val="0"/>
        <w:sz w:val="22"/>
        <w:szCs w:val="22"/>
        <w:lang w:val="es-ES" w:eastAsia="en-US"/>
      </w:rPr>
    </w:pPr>
  </w:p>
  <w:p w14:paraId="13628E34" w14:textId="77777777" w:rsidR="00390A35" w:rsidRPr="00390A35" w:rsidRDefault="00390A35" w:rsidP="00390A35">
    <w:pPr>
      <w:tabs>
        <w:tab w:val="left" w:pos="-1440"/>
        <w:tab w:val="left" w:pos="-720"/>
        <w:tab w:val="left" w:pos="567"/>
        <w:tab w:val="left" w:pos="720"/>
        <w:tab w:val="left" w:pos="2160"/>
        <w:tab w:val="left" w:pos="3600"/>
        <w:tab w:val="left" w:pos="4320"/>
        <w:tab w:val="left" w:pos="5040"/>
        <w:tab w:val="left" w:pos="5523"/>
        <w:tab w:val="left" w:pos="6480"/>
      </w:tabs>
      <w:snapToGrid w:val="0"/>
      <w:ind w:left="2772"/>
      <w:rPr>
        <w:rFonts w:ascii="Arial" w:hAnsi="Arial" w:cs="Arial"/>
        <w:b/>
        <w:snapToGrid w:val="0"/>
        <w:sz w:val="22"/>
        <w:szCs w:val="22"/>
        <w:lang w:val="es-ES" w:eastAsia="en-US"/>
      </w:rPr>
    </w:pPr>
  </w:p>
  <w:p w14:paraId="46F628E6" w14:textId="77777777" w:rsidR="00390A35" w:rsidRPr="00390A35" w:rsidRDefault="00390A35" w:rsidP="00390A35">
    <w:pPr>
      <w:tabs>
        <w:tab w:val="left" w:pos="-1440"/>
        <w:tab w:val="left" w:pos="-720"/>
        <w:tab w:val="left" w:pos="567"/>
        <w:tab w:val="left" w:pos="720"/>
        <w:tab w:val="left" w:pos="2160"/>
        <w:tab w:val="left" w:pos="3600"/>
        <w:tab w:val="left" w:pos="4320"/>
        <w:tab w:val="left" w:pos="5040"/>
        <w:tab w:val="left" w:pos="5523"/>
        <w:tab w:val="left" w:pos="6480"/>
      </w:tabs>
      <w:snapToGrid w:val="0"/>
      <w:ind w:left="2772"/>
      <w:rPr>
        <w:rFonts w:ascii="Arial" w:hAnsi="Arial" w:cs="Arial"/>
        <w:b/>
        <w:snapToGrid w:val="0"/>
        <w:sz w:val="22"/>
        <w:szCs w:val="22"/>
        <w:lang w:val="es-ES" w:eastAsia="en-US"/>
      </w:rPr>
    </w:pPr>
  </w:p>
  <w:p w14:paraId="6C8BC862" w14:textId="77777777" w:rsidR="00390A35" w:rsidRPr="00390A35" w:rsidRDefault="00390A35" w:rsidP="00390A35">
    <w:pPr>
      <w:tabs>
        <w:tab w:val="left" w:pos="-1440"/>
        <w:tab w:val="left" w:pos="-720"/>
        <w:tab w:val="left" w:pos="567"/>
        <w:tab w:val="left" w:pos="720"/>
        <w:tab w:val="left" w:pos="2160"/>
        <w:tab w:val="left" w:pos="3600"/>
        <w:tab w:val="left" w:pos="4320"/>
        <w:tab w:val="left" w:pos="5040"/>
        <w:tab w:val="left" w:pos="5523"/>
        <w:tab w:val="left" w:pos="6480"/>
      </w:tabs>
      <w:snapToGrid w:val="0"/>
      <w:ind w:left="2772"/>
      <w:rPr>
        <w:rFonts w:ascii="Arial" w:hAnsi="Arial" w:cs="Arial"/>
        <w:b/>
        <w:snapToGrid w:val="0"/>
        <w:sz w:val="22"/>
        <w:szCs w:val="22"/>
        <w:lang w:val="es-ES" w:eastAsia="en-US"/>
      </w:rPr>
    </w:pPr>
  </w:p>
  <w:p w14:paraId="499346B8" w14:textId="77777777" w:rsidR="00390A35" w:rsidRPr="00390A35" w:rsidRDefault="00390A35" w:rsidP="00390A35">
    <w:pPr>
      <w:tabs>
        <w:tab w:val="left" w:pos="-1440"/>
        <w:tab w:val="left" w:pos="-720"/>
        <w:tab w:val="left" w:pos="567"/>
        <w:tab w:val="left" w:pos="720"/>
        <w:tab w:val="left" w:pos="2160"/>
        <w:tab w:val="left" w:pos="3600"/>
        <w:tab w:val="left" w:pos="4320"/>
        <w:tab w:val="left" w:pos="5040"/>
        <w:tab w:val="left" w:pos="5523"/>
        <w:tab w:val="left" w:pos="6480"/>
      </w:tabs>
      <w:snapToGrid w:val="0"/>
      <w:ind w:left="2772"/>
      <w:rPr>
        <w:rFonts w:ascii="Arial" w:hAnsi="Arial" w:cs="Arial"/>
        <w:b/>
        <w:snapToGrid w:val="0"/>
        <w:sz w:val="22"/>
        <w:szCs w:val="22"/>
        <w:lang w:val="es-ES" w:eastAsia="en-US"/>
      </w:rPr>
    </w:pPr>
  </w:p>
  <w:p w14:paraId="320CE912" w14:textId="77777777" w:rsidR="00390A35" w:rsidRPr="00390A35" w:rsidRDefault="00390A35" w:rsidP="00390A35">
    <w:pPr>
      <w:tabs>
        <w:tab w:val="left" w:pos="-1440"/>
        <w:tab w:val="left" w:pos="-720"/>
        <w:tab w:val="left" w:pos="567"/>
        <w:tab w:val="left" w:pos="720"/>
        <w:tab w:val="left" w:pos="2160"/>
        <w:tab w:val="left" w:pos="3600"/>
        <w:tab w:val="left" w:pos="4320"/>
        <w:tab w:val="left" w:pos="5040"/>
        <w:tab w:val="left" w:pos="5523"/>
        <w:tab w:val="left" w:pos="6480"/>
      </w:tabs>
      <w:snapToGrid w:val="0"/>
      <w:jc w:val="center"/>
      <w:rPr>
        <w:rFonts w:ascii="Arial" w:hAnsi="Arial" w:cs="Arial"/>
        <w:b/>
        <w:snapToGrid w:val="0"/>
        <w:sz w:val="22"/>
        <w:szCs w:val="22"/>
        <w:lang w:val="es-ES" w:eastAsia="en-US"/>
      </w:rPr>
    </w:pPr>
    <w:r w:rsidRPr="00390A35">
      <w:rPr>
        <w:rFonts w:ascii="Arial" w:hAnsi="Arial"/>
        <w:b/>
        <w:bCs/>
        <w:snapToGrid w:val="0"/>
        <w:sz w:val="22"/>
        <w:szCs w:val="22"/>
        <w:lang w:val="es-ES" w:eastAsia="en-US"/>
      </w:rPr>
      <w:t>COMISIÓN OCEANOGRÁFICA INTERGUBERNAMENTAL</w:t>
    </w:r>
  </w:p>
  <w:p w14:paraId="3456246B" w14:textId="77777777" w:rsidR="00390A35" w:rsidRPr="00390A35" w:rsidRDefault="00390A35" w:rsidP="00390A35">
    <w:pPr>
      <w:tabs>
        <w:tab w:val="left" w:pos="-1440"/>
        <w:tab w:val="left" w:pos="-720"/>
        <w:tab w:val="left" w:pos="567"/>
        <w:tab w:val="left" w:pos="720"/>
        <w:tab w:val="left" w:pos="2160"/>
        <w:tab w:val="left" w:pos="3600"/>
        <w:tab w:val="left" w:pos="4320"/>
        <w:tab w:val="left" w:pos="5040"/>
        <w:tab w:val="left" w:pos="5523"/>
        <w:tab w:val="left" w:pos="6480"/>
      </w:tabs>
      <w:snapToGrid w:val="0"/>
      <w:jc w:val="center"/>
      <w:rPr>
        <w:rFonts w:ascii="Arial" w:hAnsi="Arial" w:cs="Arial"/>
        <w:bCs/>
        <w:snapToGrid w:val="0"/>
        <w:sz w:val="22"/>
        <w:szCs w:val="22"/>
        <w:lang w:val="es-ES" w:eastAsia="en-US"/>
      </w:rPr>
    </w:pPr>
    <w:r w:rsidRPr="00390A35">
      <w:rPr>
        <w:rFonts w:ascii="Arial" w:hAnsi="Arial"/>
        <w:snapToGrid w:val="0"/>
        <w:sz w:val="22"/>
        <w:szCs w:val="22"/>
        <w:lang w:val="es-ES" w:eastAsia="en-US"/>
      </w:rPr>
      <w:t>(de la UNESCO)</w:t>
    </w:r>
  </w:p>
  <w:p w14:paraId="67BFDE48" w14:textId="77777777" w:rsidR="00390A35" w:rsidRPr="00390A35" w:rsidRDefault="00390A35" w:rsidP="00390A35">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jc w:val="center"/>
      <w:rPr>
        <w:rFonts w:ascii="Arial" w:hAnsi="Arial" w:cs="Arial"/>
        <w:b/>
        <w:snapToGrid w:val="0"/>
        <w:sz w:val="22"/>
        <w:szCs w:val="22"/>
        <w:lang w:val="es-ES" w:eastAsia="en-US"/>
      </w:rPr>
    </w:pPr>
  </w:p>
  <w:p w14:paraId="46BF5FF3" w14:textId="77777777" w:rsidR="00390A35" w:rsidRPr="00390A35" w:rsidRDefault="00390A35" w:rsidP="00390A35">
    <w:pPr>
      <w:tabs>
        <w:tab w:val="left" w:pos="-1440"/>
        <w:tab w:val="left" w:pos="-720"/>
        <w:tab w:val="left" w:pos="567"/>
        <w:tab w:val="left" w:pos="720"/>
        <w:tab w:val="left" w:pos="1420"/>
        <w:tab w:val="left" w:pos="2160"/>
        <w:tab w:val="left" w:pos="3600"/>
        <w:tab w:val="left" w:pos="4320"/>
        <w:tab w:val="center" w:pos="4677"/>
        <w:tab w:val="left" w:pos="5040"/>
        <w:tab w:val="left" w:pos="5523"/>
        <w:tab w:val="left" w:pos="6480"/>
      </w:tabs>
      <w:snapToGrid w:val="0"/>
      <w:jc w:val="center"/>
      <w:rPr>
        <w:rFonts w:ascii="Arial" w:hAnsi="Arial" w:cs="Arial"/>
        <w:b/>
        <w:snapToGrid w:val="0"/>
        <w:sz w:val="22"/>
        <w:szCs w:val="22"/>
        <w:lang w:val="es-ES" w:eastAsia="en-US"/>
      </w:rPr>
    </w:pPr>
    <w:r w:rsidRPr="00390A35">
      <w:rPr>
        <w:rFonts w:ascii="Arial" w:hAnsi="Arial"/>
        <w:b/>
        <w:bCs/>
        <w:snapToGrid w:val="0"/>
        <w:sz w:val="22"/>
        <w:szCs w:val="22"/>
        <w:lang w:val="es-ES" w:eastAsia="en-US"/>
      </w:rPr>
      <w:t>57ª reunión del Consejo Ejecutivo</w:t>
    </w:r>
  </w:p>
  <w:p w14:paraId="36D0C76B" w14:textId="77777777" w:rsidR="00390A35" w:rsidRPr="00390A35" w:rsidRDefault="00390A35" w:rsidP="00390A35">
    <w:pPr>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snapToGrid w:val="0"/>
      <w:jc w:val="center"/>
      <w:rPr>
        <w:rFonts w:ascii="Arial" w:hAnsi="Arial" w:cs="Arial"/>
        <w:b/>
        <w:snapToGrid w:val="0"/>
        <w:sz w:val="22"/>
        <w:szCs w:val="22"/>
        <w:lang w:val="es-ES" w:eastAsia="en-US"/>
      </w:rPr>
    </w:pPr>
    <w:r w:rsidRPr="00390A35">
      <w:rPr>
        <w:rFonts w:ascii="Arial" w:hAnsi="Arial"/>
        <w:snapToGrid w:val="0"/>
        <w:sz w:val="22"/>
        <w:szCs w:val="22"/>
        <w:lang w:val="es-ES" w:eastAsia="en-US"/>
      </w:rPr>
      <w:t>UNESCO, París, 25-28 de junio de 2024</w:t>
    </w:r>
  </w:p>
  <w:p w14:paraId="027F1B0F" w14:textId="77777777" w:rsidR="00390A35" w:rsidRPr="00390A35" w:rsidRDefault="00390A35" w:rsidP="00390A35">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jc w:val="center"/>
      <w:rPr>
        <w:rFonts w:ascii="Arial" w:hAnsi="Arial" w:cs="Arial"/>
        <w:bCs/>
        <w:snapToGrid w:val="0"/>
        <w:sz w:val="22"/>
        <w:szCs w:val="22"/>
        <w:lang w:val="es-ES" w:eastAsia="en-US"/>
      </w:rPr>
    </w:pPr>
  </w:p>
  <w:p w14:paraId="613DB0FD" w14:textId="77777777" w:rsidR="00390A35" w:rsidRPr="00390A35" w:rsidRDefault="00390A35" w:rsidP="00390A35">
    <w:pPr>
      <w:tabs>
        <w:tab w:val="left" w:pos="567"/>
      </w:tabs>
      <w:snapToGrid w:val="0"/>
      <w:jc w:val="center"/>
      <w:rPr>
        <w:rFonts w:ascii="Arial" w:hAnsi="Arial" w:cs="Arial"/>
        <w:snapToGrid w:val="0"/>
        <w:sz w:val="22"/>
        <w:szCs w:val="22"/>
        <w:lang w:val="es-ES" w:eastAsia="en-US"/>
      </w:rPr>
    </w:pPr>
  </w:p>
  <w:p w14:paraId="16BBD001" w14:textId="77777777" w:rsidR="00390A35" w:rsidRPr="00390A35" w:rsidRDefault="00390A35" w:rsidP="00390A35">
    <w:pPr>
      <w:tabs>
        <w:tab w:val="left" w:pos="567"/>
      </w:tabs>
      <w:snapToGrid w:val="0"/>
      <w:jc w:val="center"/>
      <w:rPr>
        <w:rFonts w:ascii="Arial" w:hAnsi="Arial" w:cs="Arial"/>
        <w:snapToGrid w:val="0"/>
        <w:sz w:val="22"/>
        <w:szCs w:val="22"/>
        <w:lang w:val="es-ES" w:eastAsia="en-US"/>
      </w:rPr>
    </w:pPr>
  </w:p>
  <w:p w14:paraId="3E2764AB" w14:textId="77777777" w:rsidR="00390A35" w:rsidRPr="00390A35" w:rsidRDefault="00390A35" w:rsidP="00390A35">
    <w:pPr>
      <w:tabs>
        <w:tab w:val="left" w:pos="567"/>
      </w:tabs>
      <w:snapToGrid w:val="0"/>
      <w:jc w:val="center"/>
      <w:rPr>
        <w:rFonts w:ascii="Arial" w:hAnsi="Arial" w:cs="Arial"/>
        <w:snapToGrid w:val="0"/>
        <w:sz w:val="22"/>
        <w:szCs w:val="22"/>
        <w:lang w:val="es-ES" w:eastAsia="en-US"/>
      </w:rPr>
    </w:pPr>
  </w:p>
  <w:p w14:paraId="5BD63144" w14:textId="432278F7" w:rsidR="00061180" w:rsidRPr="002E1AB5" w:rsidRDefault="00061180" w:rsidP="00D215B0">
    <w:pPr>
      <w:pStyle w:val="Ttulo7"/>
      <w:tabs>
        <w:tab w:val="right" w:pos="9540"/>
      </w:tabs>
      <w:ind w:left="0"/>
      <w:rPr>
        <w:rFonts w:asciiTheme="minorBidi" w:hAnsiTheme="minorBidi" w:cstheme="minorBidi"/>
        <w:b w:val="0"/>
        <w:bCs w:val="0"/>
        <w:sz w:val="22"/>
        <w:szCs w:val="22"/>
        <w:u w:val="single"/>
        <w:lang w:val="es-ES"/>
      </w:rPr>
    </w:pPr>
    <w:r w:rsidRPr="002E1AB5">
      <w:rPr>
        <w:rFonts w:asciiTheme="minorBidi" w:hAnsiTheme="minorBidi" w:cstheme="minorBidi"/>
        <w:b w:val="0"/>
        <w:bCs w:val="0"/>
        <w:sz w:val="22"/>
        <w:szCs w:val="22"/>
        <w:u w:val="single"/>
        <w:lang w:val="es-ES"/>
      </w:rPr>
      <w:t xml:space="preserve">Punto </w:t>
    </w:r>
    <w:r w:rsidRPr="002E1AB5">
      <w:rPr>
        <w:rFonts w:asciiTheme="minorBidi" w:hAnsiTheme="minorBidi" w:cstheme="minorBidi"/>
        <w:sz w:val="22"/>
        <w:szCs w:val="22"/>
        <w:u w:val="single"/>
        <w:lang w:val="es-ES"/>
      </w:rPr>
      <w:t>4.3</w:t>
    </w:r>
    <w:r w:rsidRPr="002E1AB5">
      <w:rPr>
        <w:rFonts w:asciiTheme="minorBidi" w:hAnsiTheme="minorBidi" w:cstheme="minorBidi"/>
        <w:b w:val="0"/>
        <w:bCs w:val="0"/>
        <w:sz w:val="22"/>
        <w:szCs w:val="22"/>
        <w:u w:val="single"/>
        <w:lang w:val="es-ES"/>
      </w:rPr>
      <w:t xml:space="preserve"> del orden del día provisional</w:t>
    </w:r>
  </w:p>
  <w:p w14:paraId="432CE5C7" w14:textId="77777777" w:rsidR="00061180" w:rsidRPr="002E1AB5" w:rsidRDefault="00061180" w:rsidP="00D215B0">
    <w:pPr>
      <w:rPr>
        <w:rFonts w:asciiTheme="minorBidi" w:hAnsiTheme="minorBidi" w:cstheme="minorBidi"/>
        <w:sz w:val="22"/>
        <w:szCs w:val="22"/>
        <w:lang w:val="es-ES"/>
      </w:rPr>
    </w:pPr>
  </w:p>
  <w:p w14:paraId="2C77E899" w14:textId="77777777" w:rsidR="00061180" w:rsidRPr="002E1AB5" w:rsidRDefault="00061180" w:rsidP="00D215B0">
    <w:pPr>
      <w:rPr>
        <w:rFonts w:asciiTheme="minorBidi" w:hAnsiTheme="minorBidi" w:cstheme="minorBidi"/>
        <w:sz w:val="22"/>
        <w:szCs w:val="22"/>
        <w:lang w:val="es-ES"/>
      </w:rPr>
    </w:pPr>
  </w:p>
  <w:p w14:paraId="5AF5002B" w14:textId="3FC87446" w:rsidR="00061180" w:rsidRPr="002E1AB5" w:rsidRDefault="00DF079E" w:rsidP="002E1AB5">
    <w:pPr>
      <w:pStyle w:val="Encabezado"/>
      <w:jc w:val="center"/>
      <w:rPr>
        <w:rFonts w:asciiTheme="minorBidi" w:hAnsiTheme="minorBidi" w:cstheme="minorBidi"/>
        <w:sz w:val="22"/>
        <w:szCs w:val="22"/>
        <w:lang w:val="es-ES"/>
      </w:rPr>
    </w:pPr>
    <w:r>
      <w:rPr>
        <w:rFonts w:asciiTheme="minorBidi" w:hAnsiTheme="minorBidi" w:cstheme="minorBidi"/>
        <w:b/>
        <w:bCs/>
        <w:sz w:val="22"/>
        <w:szCs w:val="22"/>
        <w:lang w:val="es-ES"/>
      </w:rPr>
      <w:t>P</w:t>
    </w:r>
    <w:r w:rsidRPr="002E1AB5">
      <w:rPr>
        <w:rFonts w:asciiTheme="minorBidi" w:hAnsiTheme="minorBidi" w:cstheme="minorBidi"/>
        <w:b/>
        <w:bCs/>
        <w:sz w:val="22"/>
        <w:szCs w:val="22"/>
        <w:lang w:val="es-ES"/>
      </w:rPr>
      <w:t xml:space="preserve">ROYECTO DE ESTRATEGIA PARA TODA LA </w:t>
    </w:r>
    <w:r>
      <w:rPr>
        <w:rFonts w:asciiTheme="minorBidi" w:hAnsiTheme="minorBidi" w:cstheme="minorBidi"/>
        <w:b/>
        <w:bCs/>
        <w:sz w:val="22"/>
        <w:szCs w:val="22"/>
        <w:lang w:val="es-ES"/>
      </w:rPr>
      <w:t>COI</w:t>
    </w:r>
    <w:r w:rsidRPr="002E1AB5">
      <w:rPr>
        <w:rFonts w:asciiTheme="minorBidi" w:hAnsiTheme="minorBidi" w:cstheme="minorBidi"/>
        <w:b/>
        <w:bCs/>
        <w:sz w:val="22"/>
        <w:szCs w:val="22"/>
        <w:lang w:val="es-ES"/>
      </w:rPr>
      <w:t xml:space="preserve"> SOBRE LA PLANIFICACIÓN Y</w:t>
    </w:r>
    <w:r>
      <w:rPr>
        <w:rFonts w:asciiTheme="minorBidi" w:hAnsiTheme="minorBidi" w:cstheme="minorBidi"/>
        <w:b/>
        <w:bCs/>
        <w:sz w:val="22"/>
        <w:szCs w:val="22"/>
        <w:lang w:val="es-ES"/>
      </w:rPr>
      <w:br/>
    </w:r>
    <w:r w:rsidRPr="002E1AB5">
      <w:rPr>
        <w:rFonts w:asciiTheme="minorBidi" w:hAnsiTheme="minorBidi" w:cstheme="minorBidi"/>
        <w:b/>
        <w:bCs/>
        <w:sz w:val="22"/>
        <w:szCs w:val="22"/>
        <w:lang w:val="es-ES"/>
      </w:rPr>
      <w:t>GESTIÓN SOSTENIBLES DEL OCÉANO</w:t>
    </w:r>
    <w:r>
      <w:rPr>
        <w:rFonts w:asciiTheme="minorBidi" w:hAnsiTheme="minorBidi" w:cstheme="minorBidi"/>
        <w:b/>
        <w:bCs/>
        <w:sz w:val="22"/>
        <w:szCs w:val="22"/>
        <w:lang w:val="es-ES"/>
      </w:rPr>
      <w:t xml:space="preserve"> </w:t>
    </w:r>
    <w:r w:rsidRPr="002E1AB5">
      <w:rPr>
        <w:rFonts w:asciiTheme="minorBidi" w:hAnsiTheme="minorBidi" w:cstheme="minorBidi"/>
        <w:b/>
        <w:bCs/>
        <w:sz w:val="22"/>
        <w:szCs w:val="22"/>
        <w:lang w:val="es-ES"/>
      </w:rPr>
      <w:t>(2024-2030)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AC6"/>
    <w:multiLevelType w:val="multilevel"/>
    <w:tmpl w:val="69E6196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084BA0"/>
    <w:multiLevelType w:val="hybridMultilevel"/>
    <w:tmpl w:val="0E08879A"/>
    <w:lvl w:ilvl="0" w:tplc="BBE00950">
      <w:start w:val="1"/>
      <w:numFmt w:val="bullet"/>
      <w:lvlText w:val="•"/>
      <w:lvlJc w:val="left"/>
      <w:pPr>
        <w:tabs>
          <w:tab w:val="num" w:pos="720"/>
        </w:tabs>
        <w:ind w:left="720" w:hanging="360"/>
      </w:pPr>
      <w:rPr>
        <w:rFonts w:ascii="Arial" w:hAnsi="Arial" w:hint="default"/>
      </w:rPr>
    </w:lvl>
    <w:lvl w:ilvl="1" w:tplc="ADCA9218" w:tentative="1">
      <w:start w:val="1"/>
      <w:numFmt w:val="bullet"/>
      <w:lvlText w:val="•"/>
      <w:lvlJc w:val="left"/>
      <w:pPr>
        <w:tabs>
          <w:tab w:val="num" w:pos="1440"/>
        </w:tabs>
        <w:ind w:left="1440" w:hanging="360"/>
      </w:pPr>
      <w:rPr>
        <w:rFonts w:ascii="Arial" w:hAnsi="Arial" w:hint="default"/>
      </w:rPr>
    </w:lvl>
    <w:lvl w:ilvl="2" w:tplc="38547C16" w:tentative="1">
      <w:start w:val="1"/>
      <w:numFmt w:val="bullet"/>
      <w:lvlText w:val="•"/>
      <w:lvlJc w:val="left"/>
      <w:pPr>
        <w:tabs>
          <w:tab w:val="num" w:pos="2160"/>
        </w:tabs>
        <w:ind w:left="2160" w:hanging="360"/>
      </w:pPr>
      <w:rPr>
        <w:rFonts w:ascii="Arial" w:hAnsi="Arial" w:hint="default"/>
      </w:rPr>
    </w:lvl>
    <w:lvl w:ilvl="3" w:tplc="F5D6C83A" w:tentative="1">
      <w:start w:val="1"/>
      <w:numFmt w:val="bullet"/>
      <w:lvlText w:val="•"/>
      <w:lvlJc w:val="left"/>
      <w:pPr>
        <w:tabs>
          <w:tab w:val="num" w:pos="2880"/>
        </w:tabs>
        <w:ind w:left="2880" w:hanging="360"/>
      </w:pPr>
      <w:rPr>
        <w:rFonts w:ascii="Arial" w:hAnsi="Arial" w:hint="default"/>
      </w:rPr>
    </w:lvl>
    <w:lvl w:ilvl="4" w:tplc="DC4E1768" w:tentative="1">
      <w:start w:val="1"/>
      <w:numFmt w:val="bullet"/>
      <w:lvlText w:val="•"/>
      <w:lvlJc w:val="left"/>
      <w:pPr>
        <w:tabs>
          <w:tab w:val="num" w:pos="3600"/>
        </w:tabs>
        <w:ind w:left="3600" w:hanging="360"/>
      </w:pPr>
      <w:rPr>
        <w:rFonts w:ascii="Arial" w:hAnsi="Arial" w:hint="default"/>
      </w:rPr>
    </w:lvl>
    <w:lvl w:ilvl="5" w:tplc="64FCADE6" w:tentative="1">
      <w:start w:val="1"/>
      <w:numFmt w:val="bullet"/>
      <w:lvlText w:val="•"/>
      <w:lvlJc w:val="left"/>
      <w:pPr>
        <w:tabs>
          <w:tab w:val="num" w:pos="4320"/>
        </w:tabs>
        <w:ind w:left="4320" w:hanging="360"/>
      </w:pPr>
      <w:rPr>
        <w:rFonts w:ascii="Arial" w:hAnsi="Arial" w:hint="default"/>
      </w:rPr>
    </w:lvl>
    <w:lvl w:ilvl="6" w:tplc="FA8EB8A8" w:tentative="1">
      <w:start w:val="1"/>
      <w:numFmt w:val="bullet"/>
      <w:lvlText w:val="•"/>
      <w:lvlJc w:val="left"/>
      <w:pPr>
        <w:tabs>
          <w:tab w:val="num" w:pos="5040"/>
        </w:tabs>
        <w:ind w:left="5040" w:hanging="360"/>
      </w:pPr>
      <w:rPr>
        <w:rFonts w:ascii="Arial" w:hAnsi="Arial" w:hint="default"/>
      </w:rPr>
    </w:lvl>
    <w:lvl w:ilvl="7" w:tplc="7D2ED2BE" w:tentative="1">
      <w:start w:val="1"/>
      <w:numFmt w:val="bullet"/>
      <w:lvlText w:val="•"/>
      <w:lvlJc w:val="left"/>
      <w:pPr>
        <w:tabs>
          <w:tab w:val="num" w:pos="5760"/>
        </w:tabs>
        <w:ind w:left="5760" w:hanging="360"/>
      </w:pPr>
      <w:rPr>
        <w:rFonts w:ascii="Arial" w:hAnsi="Arial" w:hint="default"/>
      </w:rPr>
    </w:lvl>
    <w:lvl w:ilvl="8" w:tplc="812027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3574F8"/>
    <w:multiLevelType w:val="hybridMultilevel"/>
    <w:tmpl w:val="3042DA3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077537DE"/>
    <w:multiLevelType w:val="hybridMultilevel"/>
    <w:tmpl w:val="64F8FBCC"/>
    <w:lvl w:ilvl="0" w:tplc="8952847A">
      <w:start w:val="1"/>
      <w:numFmt w:val="lowerRoman"/>
      <w:lvlText w:val="(%1)"/>
      <w:lvlJc w:val="right"/>
      <w:pPr>
        <w:ind w:left="1287" w:hanging="360"/>
      </w:pPr>
      <w:rPr>
        <w:rFonts w:hint="default"/>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8364334"/>
    <w:multiLevelType w:val="hybridMultilevel"/>
    <w:tmpl w:val="AD123E12"/>
    <w:lvl w:ilvl="0" w:tplc="4F54CAEE">
      <w:start w:val="9"/>
      <w:numFmt w:val="lowerLetter"/>
      <w:lvlText w:val="%1)"/>
      <w:lvlJc w:val="left"/>
      <w:pPr>
        <w:ind w:left="720" w:hanging="360"/>
      </w:pPr>
      <w:rPr>
        <w:rFonts w:eastAsia="Yu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56E0B"/>
    <w:multiLevelType w:val="multilevel"/>
    <w:tmpl w:val="C44E6F4A"/>
    <w:lvl w:ilvl="0">
      <w:start w:val="1"/>
      <w:numFmt w:val="lowerRoman"/>
      <w:lvlText w:val="%1)"/>
      <w:lvlJc w:val="left"/>
      <w:pPr>
        <w:ind w:left="720" w:hanging="360"/>
      </w:pPr>
      <w:rPr>
        <w:rFonts w:hint="default"/>
        <w:b w:val="0"/>
        <w:i w:val="0"/>
        <w:caps w:val="0"/>
        <w:strike w:val="0"/>
        <w:dstrike w:val="0"/>
        <w:vanish w:val="0"/>
        <w:sz w:val="22"/>
        <w:szCs w:val="18"/>
        <w:u w:val="none"/>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090FAD"/>
    <w:multiLevelType w:val="multilevel"/>
    <w:tmpl w:val="0B400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514885"/>
    <w:multiLevelType w:val="hybridMultilevel"/>
    <w:tmpl w:val="9E3E3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557D89"/>
    <w:multiLevelType w:val="hybridMultilevel"/>
    <w:tmpl w:val="511ADCBA"/>
    <w:lvl w:ilvl="0" w:tplc="F0720B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4C436E"/>
    <w:multiLevelType w:val="multilevel"/>
    <w:tmpl w:val="3D2ACA4E"/>
    <w:styleLink w:val="CurrentList3"/>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657E04"/>
    <w:multiLevelType w:val="multilevel"/>
    <w:tmpl w:val="F9FA7EEE"/>
    <w:styleLink w:val="CurrentList4"/>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966E7E"/>
    <w:multiLevelType w:val="hybridMultilevel"/>
    <w:tmpl w:val="3D601D16"/>
    <w:lvl w:ilvl="0" w:tplc="937C91FE">
      <w:start w:val="1"/>
      <w:numFmt w:val="upperRoman"/>
      <w:lvlText w:val="%1."/>
      <w:lvlJc w:val="left"/>
      <w:pPr>
        <w:ind w:left="1080" w:hanging="72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11CAC"/>
    <w:multiLevelType w:val="hybridMultilevel"/>
    <w:tmpl w:val="D17E52EA"/>
    <w:lvl w:ilvl="0" w:tplc="FFFFFFFF">
      <w:start w:val="1"/>
      <w:numFmt w:val="decimal"/>
      <w:lvlText w:val="%1."/>
      <w:lvlJc w:val="left"/>
      <w:pPr>
        <w:ind w:left="720" w:hanging="128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0F3AAF"/>
    <w:multiLevelType w:val="multilevel"/>
    <w:tmpl w:val="5A84CB80"/>
    <w:lvl w:ilvl="0">
      <w:start w:val="1"/>
      <w:numFmt w:val="lowerRoman"/>
      <w:lvlText w:val="(%1)"/>
      <w:lvlJc w:val="left"/>
      <w:pPr>
        <w:ind w:left="1440" w:hanging="360"/>
      </w:pPr>
      <w:rPr>
        <w:rFonts w:hint="default"/>
        <w:b/>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23220BFA"/>
    <w:multiLevelType w:val="hybridMultilevel"/>
    <w:tmpl w:val="2F28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35DD3"/>
    <w:multiLevelType w:val="hybridMultilevel"/>
    <w:tmpl w:val="2BD4B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E904BF"/>
    <w:multiLevelType w:val="hybridMultilevel"/>
    <w:tmpl w:val="80C8DD50"/>
    <w:lvl w:ilvl="0" w:tplc="BB0E96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B784B"/>
    <w:multiLevelType w:val="multilevel"/>
    <w:tmpl w:val="8D6CECC2"/>
    <w:styleLink w:val="CurrentList2"/>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491349"/>
    <w:multiLevelType w:val="hybridMultilevel"/>
    <w:tmpl w:val="52A861BC"/>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9" w15:restartNumberingAfterBreak="0">
    <w:nsid w:val="2D710A46"/>
    <w:multiLevelType w:val="hybridMultilevel"/>
    <w:tmpl w:val="B158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CF08F5"/>
    <w:multiLevelType w:val="hybridMultilevel"/>
    <w:tmpl w:val="E5B00EB6"/>
    <w:lvl w:ilvl="0" w:tplc="C99C1572">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D755A"/>
    <w:multiLevelType w:val="hybridMultilevel"/>
    <w:tmpl w:val="C0BC9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A419C7"/>
    <w:multiLevelType w:val="hybridMultilevel"/>
    <w:tmpl w:val="5AB09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263FF1"/>
    <w:multiLevelType w:val="multilevel"/>
    <w:tmpl w:val="3D1CB5A8"/>
    <w:lvl w:ilvl="0">
      <w:start w:val="1"/>
      <w:numFmt w:val="decimal"/>
      <w:lvlText w:val="%1."/>
      <w:lvlJc w:val="left"/>
      <w:pPr>
        <w:ind w:left="720" w:hanging="360"/>
      </w:pPr>
      <w:rPr>
        <w:color w:val="00000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rPr>
        <w:b w:val="0"/>
        <w:bCs/>
      </w:r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39ED7D0D"/>
    <w:multiLevelType w:val="multilevel"/>
    <w:tmpl w:val="30C8B30E"/>
    <w:lvl w:ilvl="0">
      <w:start w:val="1"/>
      <w:numFmt w:val="decimal"/>
      <w:pStyle w:val="ListParagraph1"/>
      <w:lvlText w:val="%1."/>
      <w:lvlJc w:val="left"/>
      <w:pPr>
        <w:tabs>
          <w:tab w:val="num" w:pos="720"/>
        </w:tabs>
        <w:ind w:left="0" w:firstLine="709"/>
      </w:pPr>
      <w:rPr>
        <w:rFonts w:ascii="Arial" w:eastAsiaTheme="majorEastAsia" w:hAnsi="Arial" w:cs="Arial" w:hint="default"/>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A173CA9"/>
    <w:multiLevelType w:val="hybridMultilevel"/>
    <w:tmpl w:val="C5224EFA"/>
    <w:lvl w:ilvl="0" w:tplc="BB0E968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6A3D0F"/>
    <w:multiLevelType w:val="hybridMultilevel"/>
    <w:tmpl w:val="FE7EB8C2"/>
    <w:lvl w:ilvl="0" w:tplc="34760B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983DCA"/>
    <w:multiLevelType w:val="hybridMultilevel"/>
    <w:tmpl w:val="2F563DCE"/>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580C7E"/>
    <w:multiLevelType w:val="hybridMultilevel"/>
    <w:tmpl w:val="DF0C60AA"/>
    <w:lvl w:ilvl="0" w:tplc="CA20A230">
      <w:start w:val="1"/>
      <w:numFmt w:val="lowerRoman"/>
      <w:lvlText w:val="%1."/>
      <w:lvlJc w:val="right"/>
      <w:pPr>
        <w:tabs>
          <w:tab w:val="num" w:pos="720"/>
        </w:tabs>
        <w:ind w:left="720" w:hanging="360"/>
      </w:pPr>
    </w:lvl>
    <w:lvl w:ilvl="1" w:tplc="7CE268B8" w:tentative="1">
      <w:start w:val="1"/>
      <w:numFmt w:val="lowerRoman"/>
      <w:lvlText w:val="%2."/>
      <w:lvlJc w:val="right"/>
      <w:pPr>
        <w:tabs>
          <w:tab w:val="num" w:pos="1440"/>
        </w:tabs>
        <w:ind w:left="1440" w:hanging="360"/>
      </w:pPr>
    </w:lvl>
    <w:lvl w:ilvl="2" w:tplc="D9866FB0" w:tentative="1">
      <w:start w:val="1"/>
      <w:numFmt w:val="lowerRoman"/>
      <w:lvlText w:val="%3."/>
      <w:lvlJc w:val="right"/>
      <w:pPr>
        <w:tabs>
          <w:tab w:val="num" w:pos="2160"/>
        </w:tabs>
        <w:ind w:left="2160" w:hanging="360"/>
      </w:pPr>
    </w:lvl>
    <w:lvl w:ilvl="3" w:tplc="1E446E3A" w:tentative="1">
      <w:start w:val="1"/>
      <w:numFmt w:val="lowerRoman"/>
      <w:lvlText w:val="%4."/>
      <w:lvlJc w:val="right"/>
      <w:pPr>
        <w:tabs>
          <w:tab w:val="num" w:pos="2880"/>
        </w:tabs>
        <w:ind w:left="2880" w:hanging="360"/>
      </w:pPr>
    </w:lvl>
    <w:lvl w:ilvl="4" w:tplc="0F6AA298" w:tentative="1">
      <w:start w:val="1"/>
      <w:numFmt w:val="lowerRoman"/>
      <w:lvlText w:val="%5."/>
      <w:lvlJc w:val="right"/>
      <w:pPr>
        <w:tabs>
          <w:tab w:val="num" w:pos="3600"/>
        </w:tabs>
        <w:ind w:left="3600" w:hanging="360"/>
      </w:pPr>
    </w:lvl>
    <w:lvl w:ilvl="5" w:tplc="21BA341A" w:tentative="1">
      <w:start w:val="1"/>
      <w:numFmt w:val="lowerRoman"/>
      <w:lvlText w:val="%6."/>
      <w:lvlJc w:val="right"/>
      <w:pPr>
        <w:tabs>
          <w:tab w:val="num" w:pos="4320"/>
        </w:tabs>
        <w:ind w:left="4320" w:hanging="360"/>
      </w:pPr>
    </w:lvl>
    <w:lvl w:ilvl="6" w:tplc="4AD650FC" w:tentative="1">
      <w:start w:val="1"/>
      <w:numFmt w:val="lowerRoman"/>
      <w:lvlText w:val="%7."/>
      <w:lvlJc w:val="right"/>
      <w:pPr>
        <w:tabs>
          <w:tab w:val="num" w:pos="5040"/>
        </w:tabs>
        <w:ind w:left="5040" w:hanging="360"/>
      </w:pPr>
    </w:lvl>
    <w:lvl w:ilvl="7" w:tplc="3508BF20" w:tentative="1">
      <w:start w:val="1"/>
      <w:numFmt w:val="lowerRoman"/>
      <w:lvlText w:val="%8."/>
      <w:lvlJc w:val="right"/>
      <w:pPr>
        <w:tabs>
          <w:tab w:val="num" w:pos="5760"/>
        </w:tabs>
        <w:ind w:left="5760" w:hanging="360"/>
      </w:pPr>
    </w:lvl>
    <w:lvl w:ilvl="8" w:tplc="E60CDA5C" w:tentative="1">
      <w:start w:val="1"/>
      <w:numFmt w:val="lowerRoman"/>
      <w:lvlText w:val="%9."/>
      <w:lvlJc w:val="right"/>
      <w:pPr>
        <w:tabs>
          <w:tab w:val="num" w:pos="6480"/>
        </w:tabs>
        <w:ind w:left="6480" w:hanging="360"/>
      </w:pPr>
    </w:lvl>
  </w:abstractNum>
  <w:abstractNum w:abstractNumId="29" w15:restartNumberingAfterBreak="0">
    <w:nsid w:val="435674B0"/>
    <w:multiLevelType w:val="hybridMultilevel"/>
    <w:tmpl w:val="FED0253E"/>
    <w:lvl w:ilvl="0" w:tplc="55DEA888">
      <w:start w:val="9"/>
      <w:numFmt w:val="lowerLetter"/>
      <w:lvlText w:val="%1)"/>
      <w:lvlJc w:val="left"/>
      <w:pPr>
        <w:ind w:left="720" w:hanging="360"/>
      </w:pPr>
      <w:rPr>
        <w:rFonts w:eastAsia="Yu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330AEF"/>
    <w:multiLevelType w:val="hybridMultilevel"/>
    <w:tmpl w:val="437EC152"/>
    <w:lvl w:ilvl="0" w:tplc="FC644770">
      <w:start w:val="1"/>
      <w:numFmt w:val="bullet"/>
      <w:lvlText w:val="Ø"/>
      <w:lvlJc w:val="left"/>
      <w:pPr>
        <w:tabs>
          <w:tab w:val="num" w:pos="720"/>
        </w:tabs>
        <w:ind w:left="720" w:hanging="360"/>
      </w:pPr>
      <w:rPr>
        <w:rFonts w:ascii="Wingdings" w:hAnsi="Wingdings" w:hint="default"/>
      </w:rPr>
    </w:lvl>
    <w:lvl w:ilvl="1" w:tplc="E3CA789C" w:tentative="1">
      <w:start w:val="1"/>
      <w:numFmt w:val="bullet"/>
      <w:lvlText w:val="Ø"/>
      <w:lvlJc w:val="left"/>
      <w:pPr>
        <w:tabs>
          <w:tab w:val="num" w:pos="1440"/>
        </w:tabs>
        <w:ind w:left="1440" w:hanging="360"/>
      </w:pPr>
      <w:rPr>
        <w:rFonts w:ascii="Wingdings" w:hAnsi="Wingdings" w:hint="default"/>
      </w:rPr>
    </w:lvl>
    <w:lvl w:ilvl="2" w:tplc="53D8E338" w:tentative="1">
      <w:start w:val="1"/>
      <w:numFmt w:val="bullet"/>
      <w:lvlText w:val="Ø"/>
      <w:lvlJc w:val="left"/>
      <w:pPr>
        <w:tabs>
          <w:tab w:val="num" w:pos="2160"/>
        </w:tabs>
        <w:ind w:left="2160" w:hanging="360"/>
      </w:pPr>
      <w:rPr>
        <w:rFonts w:ascii="Wingdings" w:hAnsi="Wingdings" w:hint="default"/>
      </w:rPr>
    </w:lvl>
    <w:lvl w:ilvl="3" w:tplc="7AC8C904" w:tentative="1">
      <w:start w:val="1"/>
      <w:numFmt w:val="bullet"/>
      <w:lvlText w:val="Ø"/>
      <w:lvlJc w:val="left"/>
      <w:pPr>
        <w:tabs>
          <w:tab w:val="num" w:pos="2880"/>
        </w:tabs>
        <w:ind w:left="2880" w:hanging="360"/>
      </w:pPr>
      <w:rPr>
        <w:rFonts w:ascii="Wingdings" w:hAnsi="Wingdings" w:hint="default"/>
      </w:rPr>
    </w:lvl>
    <w:lvl w:ilvl="4" w:tplc="52946B06" w:tentative="1">
      <w:start w:val="1"/>
      <w:numFmt w:val="bullet"/>
      <w:lvlText w:val="Ø"/>
      <w:lvlJc w:val="left"/>
      <w:pPr>
        <w:tabs>
          <w:tab w:val="num" w:pos="3600"/>
        </w:tabs>
        <w:ind w:left="3600" w:hanging="360"/>
      </w:pPr>
      <w:rPr>
        <w:rFonts w:ascii="Wingdings" w:hAnsi="Wingdings" w:hint="default"/>
      </w:rPr>
    </w:lvl>
    <w:lvl w:ilvl="5" w:tplc="27E626BC" w:tentative="1">
      <w:start w:val="1"/>
      <w:numFmt w:val="bullet"/>
      <w:lvlText w:val="Ø"/>
      <w:lvlJc w:val="left"/>
      <w:pPr>
        <w:tabs>
          <w:tab w:val="num" w:pos="4320"/>
        </w:tabs>
        <w:ind w:left="4320" w:hanging="360"/>
      </w:pPr>
      <w:rPr>
        <w:rFonts w:ascii="Wingdings" w:hAnsi="Wingdings" w:hint="default"/>
      </w:rPr>
    </w:lvl>
    <w:lvl w:ilvl="6" w:tplc="6F78C5A8" w:tentative="1">
      <w:start w:val="1"/>
      <w:numFmt w:val="bullet"/>
      <w:lvlText w:val="Ø"/>
      <w:lvlJc w:val="left"/>
      <w:pPr>
        <w:tabs>
          <w:tab w:val="num" w:pos="5040"/>
        </w:tabs>
        <w:ind w:left="5040" w:hanging="360"/>
      </w:pPr>
      <w:rPr>
        <w:rFonts w:ascii="Wingdings" w:hAnsi="Wingdings" w:hint="default"/>
      </w:rPr>
    </w:lvl>
    <w:lvl w:ilvl="7" w:tplc="45EE479C" w:tentative="1">
      <w:start w:val="1"/>
      <w:numFmt w:val="bullet"/>
      <w:lvlText w:val="Ø"/>
      <w:lvlJc w:val="left"/>
      <w:pPr>
        <w:tabs>
          <w:tab w:val="num" w:pos="5760"/>
        </w:tabs>
        <w:ind w:left="5760" w:hanging="360"/>
      </w:pPr>
      <w:rPr>
        <w:rFonts w:ascii="Wingdings" w:hAnsi="Wingdings" w:hint="default"/>
      </w:rPr>
    </w:lvl>
    <w:lvl w:ilvl="8" w:tplc="B88C6C90" w:tentative="1">
      <w:start w:val="1"/>
      <w:numFmt w:val="bullet"/>
      <w:lvlText w:val="Ø"/>
      <w:lvlJc w:val="left"/>
      <w:pPr>
        <w:tabs>
          <w:tab w:val="num" w:pos="6480"/>
        </w:tabs>
        <w:ind w:left="6480" w:hanging="360"/>
      </w:pPr>
      <w:rPr>
        <w:rFonts w:ascii="Wingdings" w:hAnsi="Wingdings" w:hint="default"/>
      </w:rPr>
    </w:lvl>
  </w:abstractNum>
  <w:abstractNum w:abstractNumId="31" w15:restartNumberingAfterBreak="0">
    <w:nsid w:val="45A924E2"/>
    <w:multiLevelType w:val="multilevel"/>
    <w:tmpl w:val="5476A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8D027F7"/>
    <w:multiLevelType w:val="hybridMultilevel"/>
    <w:tmpl w:val="57D61ED0"/>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8DD052A"/>
    <w:multiLevelType w:val="hybridMultilevel"/>
    <w:tmpl w:val="F9FA7EEE"/>
    <w:lvl w:ilvl="0" w:tplc="B67C5AF6">
      <w:start w:val="1"/>
      <w:numFmt w:val="decimal"/>
      <w:lvlText w:val="%1."/>
      <w:lvlJc w:val="left"/>
      <w:pPr>
        <w:ind w:left="720" w:hanging="128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8210F6"/>
    <w:multiLevelType w:val="multilevel"/>
    <w:tmpl w:val="E30E0C26"/>
    <w:lvl w:ilvl="0">
      <w:start w:val="1"/>
      <w:numFmt w:val="lowerRoman"/>
      <w:lvlText w:val="(%1)"/>
      <w:lvlJc w:val="left"/>
      <w:pPr>
        <w:ind w:left="720" w:hanging="360"/>
      </w:pPr>
      <w:rPr>
        <w:rFonts w:ascii="Arial" w:hAnsi="Arial" w:hint="default"/>
        <w:b w:val="0"/>
        <w:i w:val="0"/>
        <w:caps w:val="0"/>
        <w:strike w:val="0"/>
        <w:dstrike w:val="0"/>
        <w:vanish w:val="0"/>
        <w:sz w:val="22"/>
        <w:szCs w:val="18"/>
        <w:u w:val="none"/>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BB07351"/>
    <w:multiLevelType w:val="hybridMultilevel"/>
    <w:tmpl w:val="85E05CC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15:restartNumberingAfterBreak="0">
    <w:nsid w:val="4DE20EAF"/>
    <w:multiLevelType w:val="hybridMultilevel"/>
    <w:tmpl w:val="BA92F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E73E9E"/>
    <w:multiLevelType w:val="hybridMultilevel"/>
    <w:tmpl w:val="2BD4B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E8509B"/>
    <w:multiLevelType w:val="hybridMultilevel"/>
    <w:tmpl w:val="147A0494"/>
    <w:lvl w:ilvl="0" w:tplc="52FC0C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EE576E"/>
    <w:multiLevelType w:val="hybridMultilevel"/>
    <w:tmpl w:val="D7E27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B2602BB"/>
    <w:multiLevelType w:val="hybridMultilevel"/>
    <w:tmpl w:val="128CD7C4"/>
    <w:lvl w:ilvl="0" w:tplc="3BFCA9EC">
      <w:start w:val="1"/>
      <w:numFmt w:val="decimal"/>
      <w:lvlText w:val="%1."/>
      <w:lvlJc w:val="left"/>
      <w:pPr>
        <w:ind w:left="720" w:hanging="1287"/>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B7A10F3"/>
    <w:multiLevelType w:val="hybridMultilevel"/>
    <w:tmpl w:val="52945DF0"/>
    <w:lvl w:ilvl="0" w:tplc="4CF00B9A">
      <w:start w:val="1"/>
      <w:numFmt w:val="decimal"/>
      <w:pStyle w:val="paranumb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0B59EC"/>
    <w:multiLevelType w:val="multilevel"/>
    <w:tmpl w:val="E200ADE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377716"/>
    <w:multiLevelType w:val="hybridMultilevel"/>
    <w:tmpl w:val="A22CE37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0600731"/>
    <w:multiLevelType w:val="multilevel"/>
    <w:tmpl w:val="3D1CB5A8"/>
    <w:lvl w:ilvl="0">
      <w:start w:val="1"/>
      <w:numFmt w:val="decimal"/>
      <w:lvlText w:val="%1."/>
      <w:lvlJc w:val="left"/>
      <w:pPr>
        <w:ind w:left="720" w:hanging="360"/>
      </w:pPr>
      <w:rPr>
        <w:color w:val="00000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rPr>
        <w:b w:val="0"/>
        <w:bCs/>
      </w:r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5" w15:restartNumberingAfterBreak="0">
    <w:nsid w:val="68CD5B66"/>
    <w:multiLevelType w:val="multilevel"/>
    <w:tmpl w:val="FC90E26C"/>
    <w:lvl w:ilvl="0">
      <w:start w:val="1"/>
      <w:numFmt w:val="lowerRoman"/>
      <w:lvlText w:val="(%1)"/>
      <w:lvlJc w:val="left"/>
      <w:pPr>
        <w:ind w:left="360" w:hanging="360"/>
      </w:pPr>
      <w:rPr>
        <w:rFonts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CD7392E"/>
    <w:multiLevelType w:val="multilevel"/>
    <w:tmpl w:val="71D2FAEC"/>
    <w:lvl w:ilvl="0">
      <w:start w:val="1"/>
      <w:numFmt w:val="decimal"/>
      <w:pStyle w:val="Bullet-shortparagraph-3pt"/>
      <w:lvlText w:val="%1."/>
      <w:lvlJc w:val="left"/>
      <w:pPr>
        <w:ind w:left="1440" w:hanging="360"/>
      </w:pPr>
      <w:rPr>
        <w:b w:val="0"/>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7" w15:restartNumberingAfterBreak="0">
    <w:nsid w:val="70FD63B3"/>
    <w:multiLevelType w:val="hybridMultilevel"/>
    <w:tmpl w:val="1792B266"/>
    <w:lvl w:ilvl="0" w:tplc="CA20A230">
      <w:start w:val="1"/>
      <w:numFmt w:val="lowerRoman"/>
      <w:lvlText w:val="%1."/>
      <w:lvlJc w:val="righ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8" w15:restartNumberingAfterBreak="0">
    <w:nsid w:val="720F06A0"/>
    <w:multiLevelType w:val="hybridMultilevel"/>
    <w:tmpl w:val="3176F8CE"/>
    <w:lvl w:ilvl="0" w:tplc="BB52DA52">
      <w:start w:val="1"/>
      <w:numFmt w:val="decimal"/>
      <w:lvlText w:val="%1."/>
      <w:lvlJc w:val="left"/>
      <w:pPr>
        <w:ind w:left="720" w:hanging="360"/>
      </w:pPr>
      <w:rPr>
        <w:rFonts w:asciiTheme="minorBidi" w:hAnsiTheme="minorBidi" w:cstheme="minorBid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EF7FD9"/>
    <w:multiLevelType w:val="hybridMultilevel"/>
    <w:tmpl w:val="419E9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497589">
    <w:abstractNumId w:val="41"/>
  </w:num>
  <w:num w:numId="2" w16cid:durableId="797144752">
    <w:abstractNumId w:val="22"/>
  </w:num>
  <w:num w:numId="3" w16cid:durableId="611519706">
    <w:abstractNumId w:val="45"/>
  </w:num>
  <w:num w:numId="4" w16cid:durableId="182987188">
    <w:abstractNumId w:val="32"/>
  </w:num>
  <w:num w:numId="5" w16cid:durableId="447748448">
    <w:abstractNumId w:val="27"/>
  </w:num>
  <w:num w:numId="6" w16cid:durableId="1139808835">
    <w:abstractNumId w:val="40"/>
  </w:num>
  <w:num w:numId="7" w16cid:durableId="2132430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0363326">
    <w:abstractNumId w:val="18"/>
  </w:num>
  <w:num w:numId="9" w16cid:durableId="1697392170">
    <w:abstractNumId w:val="15"/>
  </w:num>
  <w:num w:numId="10" w16cid:durableId="226764533">
    <w:abstractNumId w:val="28"/>
  </w:num>
  <w:num w:numId="11" w16cid:durableId="1006442986">
    <w:abstractNumId w:val="43"/>
  </w:num>
  <w:num w:numId="12" w16cid:durableId="1029457113">
    <w:abstractNumId w:val="47"/>
  </w:num>
  <w:num w:numId="13" w16cid:durableId="1354185560">
    <w:abstractNumId w:val="37"/>
  </w:num>
  <w:num w:numId="14" w16cid:durableId="1632319546">
    <w:abstractNumId w:val="49"/>
  </w:num>
  <w:num w:numId="15" w16cid:durableId="239949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1397536">
    <w:abstractNumId w:val="30"/>
  </w:num>
  <w:num w:numId="17" w16cid:durableId="232277972">
    <w:abstractNumId w:val="2"/>
  </w:num>
  <w:num w:numId="18" w16cid:durableId="1777598883">
    <w:abstractNumId w:val="35"/>
  </w:num>
  <w:num w:numId="19" w16cid:durableId="1064908554">
    <w:abstractNumId w:val="39"/>
  </w:num>
  <w:num w:numId="20" w16cid:durableId="859708799">
    <w:abstractNumId w:val="1"/>
  </w:num>
  <w:num w:numId="21" w16cid:durableId="967933035">
    <w:abstractNumId w:val="21"/>
  </w:num>
  <w:num w:numId="22" w16cid:durableId="910967658">
    <w:abstractNumId w:val="7"/>
  </w:num>
  <w:num w:numId="23" w16cid:durableId="1802915345">
    <w:abstractNumId w:val="14"/>
  </w:num>
  <w:num w:numId="24" w16cid:durableId="744035618">
    <w:abstractNumId w:val="19"/>
  </w:num>
  <w:num w:numId="25" w16cid:durableId="362946817">
    <w:abstractNumId w:val="42"/>
  </w:num>
  <w:num w:numId="26" w16cid:durableId="2003467405">
    <w:abstractNumId w:val="17"/>
  </w:num>
  <w:num w:numId="27" w16cid:durableId="446117503">
    <w:abstractNumId w:val="9"/>
  </w:num>
  <w:num w:numId="28" w16cid:durableId="70468011">
    <w:abstractNumId w:val="33"/>
  </w:num>
  <w:num w:numId="29" w16cid:durableId="1640266263">
    <w:abstractNumId w:val="10"/>
  </w:num>
  <w:num w:numId="30" w16cid:durableId="614948601">
    <w:abstractNumId w:val="12"/>
  </w:num>
  <w:num w:numId="31" w16cid:durableId="1904682396">
    <w:abstractNumId w:val="0"/>
  </w:num>
  <w:num w:numId="32" w16cid:durableId="192233556">
    <w:abstractNumId w:val="23"/>
  </w:num>
  <w:num w:numId="33" w16cid:durableId="140394554">
    <w:abstractNumId w:val="46"/>
  </w:num>
  <w:num w:numId="34" w16cid:durableId="319425468">
    <w:abstractNumId w:val="31"/>
  </w:num>
  <w:num w:numId="35" w16cid:durableId="770009922">
    <w:abstractNumId w:val="36"/>
  </w:num>
  <w:num w:numId="36" w16cid:durableId="854921310">
    <w:abstractNumId w:val="38"/>
  </w:num>
  <w:num w:numId="37" w16cid:durableId="295139503">
    <w:abstractNumId w:val="48"/>
  </w:num>
  <w:num w:numId="38" w16cid:durableId="449519079">
    <w:abstractNumId w:val="34"/>
  </w:num>
  <w:num w:numId="39" w16cid:durableId="769273676">
    <w:abstractNumId w:val="8"/>
  </w:num>
  <w:num w:numId="40" w16cid:durableId="1242252801">
    <w:abstractNumId w:val="13"/>
  </w:num>
  <w:num w:numId="41" w16cid:durableId="1339305913">
    <w:abstractNumId w:val="11"/>
  </w:num>
  <w:num w:numId="42" w16cid:durableId="1848516437">
    <w:abstractNumId w:val="26"/>
  </w:num>
  <w:num w:numId="43" w16cid:durableId="1809394470">
    <w:abstractNumId w:val="4"/>
  </w:num>
  <w:num w:numId="44" w16cid:durableId="867597339">
    <w:abstractNumId w:val="29"/>
  </w:num>
  <w:num w:numId="45" w16cid:durableId="2016836978">
    <w:abstractNumId w:val="3"/>
  </w:num>
  <w:num w:numId="46" w16cid:durableId="1237328246">
    <w:abstractNumId w:val="44"/>
  </w:num>
  <w:num w:numId="47" w16cid:durableId="936131403">
    <w:abstractNumId w:val="5"/>
  </w:num>
  <w:num w:numId="48" w16cid:durableId="975911842">
    <w:abstractNumId w:val="16"/>
  </w:num>
  <w:num w:numId="49" w16cid:durableId="747650190">
    <w:abstractNumId w:val="25"/>
  </w:num>
  <w:num w:numId="50" w16cid:durableId="12403620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54"/>
    <w:rsid w:val="00001DD1"/>
    <w:rsid w:val="000104CC"/>
    <w:rsid w:val="00012C25"/>
    <w:rsid w:val="00017974"/>
    <w:rsid w:val="000246AA"/>
    <w:rsid w:val="00035E2F"/>
    <w:rsid w:val="000368BD"/>
    <w:rsid w:val="00046C01"/>
    <w:rsid w:val="00061180"/>
    <w:rsid w:val="000625AE"/>
    <w:rsid w:val="000630DD"/>
    <w:rsid w:val="0007319D"/>
    <w:rsid w:val="00076F7C"/>
    <w:rsid w:val="00091FE0"/>
    <w:rsid w:val="00092FF2"/>
    <w:rsid w:val="000A10F4"/>
    <w:rsid w:val="000A3BCA"/>
    <w:rsid w:val="000A769F"/>
    <w:rsid w:val="000B3DB5"/>
    <w:rsid w:val="000C7929"/>
    <w:rsid w:val="000D3EA4"/>
    <w:rsid w:val="000E45C7"/>
    <w:rsid w:val="000F4030"/>
    <w:rsid w:val="00123366"/>
    <w:rsid w:val="00123927"/>
    <w:rsid w:val="00127F7B"/>
    <w:rsid w:val="00131603"/>
    <w:rsid w:val="00133034"/>
    <w:rsid w:val="0013712B"/>
    <w:rsid w:val="00141814"/>
    <w:rsid w:val="00145662"/>
    <w:rsid w:val="00145D27"/>
    <w:rsid w:val="00146091"/>
    <w:rsid w:val="00147F3D"/>
    <w:rsid w:val="001612AA"/>
    <w:rsid w:val="001612C4"/>
    <w:rsid w:val="001739E0"/>
    <w:rsid w:val="00175D9A"/>
    <w:rsid w:val="00184C2A"/>
    <w:rsid w:val="00187178"/>
    <w:rsid w:val="0019023C"/>
    <w:rsid w:val="00192C43"/>
    <w:rsid w:val="00195CDA"/>
    <w:rsid w:val="00196209"/>
    <w:rsid w:val="001A3818"/>
    <w:rsid w:val="001A4827"/>
    <w:rsid w:val="001B0765"/>
    <w:rsid w:val="001B1789"/>
    <w:rsid w:val="001B3FAD"/>
    <w:rsid w:val="001C6ABA"/>
    <w:rsid w:val="001D15DF"/>
    <w:rsid w:val="001D2420"/>
    <w:rsid w:val="001D3A6B"/>
    <w:rsid w:val="001D41EB"/>
    <w:rsid w:val="001D4A50"/>
    <w:rsid w:val="001F2592"/>
    <w:rsid w:val="001F575F"/>
    <w:rsid w:val="001F7011"/>
    <w:rsid w:val="001F7FE0"/>
    <w:rsid w:val="002024E7"/>
    <w:rsid w:val="00203442"/>
    <w:rsid w:val="00204A4C"/>
    <w:rsid w:val="00221BAC"/>
    <w:rsid w:val="00226537"/>
    <w:rsid w:val="00227665"/>
    <w:rsid w:val="00232F8D"/>
    <w:rsid w:val="00240746"/>
    <w:rsid w:val="00241215"/>
    <w:rsid w:val="00242073"/>
    <w:rsid w:val="00246F40"/>
    <w:rsid w:val="0025304C"/>
    <w:rsid w:val="00254057"/>
    <w:rsid w:val="00255742"/>
    <w:rsid w:val="002578AD"/>
    <w:rsid w:val="00267E2B"/>
    <w:rsid w:val="00271A65"/>
    <w:rsid w:val="00275A49"/>
    <w:rsid w:val="0028187D"/>
    <w:rsid w:val="0029603D"/>
    <w:rsid w:val="002A4E45"/>
    <w:rsid w:val="002B10D4"/>
    <w:rsid w:val="002B35E5"/>
    <w:rsid w:val="002D58D9"/>
    <w:rsid w:val="002E1AB5"/>
    <w:rsid w:val="002E3962"/>
    <w:rsid w:val="002E398D"/>
    <w:rsid w:val="002E4D64"/>
    <w:rsid w:val="002F0388"/>
    <w:rsid w:val="002F0D93"/>
    <w:rsid w:val="002F5D78"/>
    <w:rsid w:val="002F5EF7"/>
    <w:rsid w:val="003077CA"/>
    <w:rsid w:val="00314B59"/>
    <w:rsid w:val="003271C8"/>
    <w:rsid w:val="00330987"/>
    <w:rsid w:val="003330BA"/>
    <w:rsid w:val="00340884"/>
    <w:rsid w:val="00343699"/>
    <w:rsid w:val="00344F7B"/>
    <w:rsid w:val="00350723"/>
    <w:rsid w:val="00354A19"/>
    <w:rsid w:val="003644D8"/>
    <w:rsid w:val="00365C6B"/>
    <w:rsid w:val="00390A35"/>
    <w:rsid w:val="00394E87"/>
    <w:rsid w:val="0039753F"/>
    <w:rsid w:val="003A18C6"/>
    <w:rsid w:val="003A481B"/>
    <w:rsid w:val="003B1D21"/>
    <w:rsid w:val="003B34C2"/>
    <w:rsid w:val="003B528E"/>
    <w:rsid w:val="003B5CCB"/>
    <w:rsid w:val="003D2C06"/>
    <w:rsid w:val="00401F4D"/>
    <w:rsid w:val="00406064"/>
    <w:rsid w:val="004072B0"/>
    <w:rsid w:val="00411777"/>
    <w:rsid w:val="00413388"/>
    <w:rsid w:val="00414297"/>
    <w:rsid w:val="00416C6B"/>
    <w:rsid w:val="00421FAF"/>
    <w:rsid w:val="00422210"/>
    <w:rsid w:val="00424160"/>
    <w:rsid w:val="00425DFD"/>
    <w:rsid w:val="004340B4"/>
    <w:rsid w:val="00435B0B"/>
    <w:rsid w:val="00437BDF"/>
    <w:rsid w:val="00440828"/>
    <w:rsid w:val="004436D0"/>
    <w:rsid w:val="0044539E"/>
    <w:rsid w:val="00447619"/>
    <w:rsid w:val="004557AA"/>
    <w:rsid w:val="004557ED"/>
    <w:rsid w:val="00455EFA"/>
    <w:rsid w:val="004570FC"/>
    <w:rsid w:val="00463153"/>
    <w:rsid w:val="00465742"/>
    <w:rsid w:val="004719C7"/>
    <w:rsid w:val="004776F5"/>
    <w:rsid w:val="00484E9E"/>
    <w:rsid w:val="004A0E28"/>
    <w:rsid w:val="004C4B08"/>
    <w:rsid w:val="004C51BF"/>
    <w:rsid w:val="004C580B"/>
    <w:rsid w:val="004D3A35"/>
    <w:rsid w:val="004D44E1"/>
    <w:rsid w:val="004D5708"/>
    <w:rsid w:val="004D7787"/>
    <w:rsid w:val="00527317"/>
    <w:rsid w:val="00546E74"/>
    <w:rsid w:val="00551EE9"/>
    <w:rsid w:val="0055342A"/>
    <w:rsid w:val="005904DC"/>
    <w:rsid w:val="005A4AAF"/>
    <w:rsid w:val="005A66DE"/>
    <w:rsid w:val="005D6122"/>
    <w:rsid w:val="005D69B7"/>
    <w:rsid w:val="005F1C3A"/>
    <w:rsid w:val="005F5328"/>
    <w:rsid w:val="0060137F"/>
    <w:rsid w:val="00616588"/>
    <w:rsid w:val="00627F3B"/>
    <w:rsid w:val="00630379"/>
    <w:rsid w:val="00635C17"/>
    <w:rsid w:val="00643F8C"/>
    <w:rsid w:val="00647AF6"/>
    <w:rsid w:val="00655FE3"/>
    <w:rsid w:val="006571DD"/>
    <w:rsid w:val="00680C87"/>
    <w:rsid w:val="006A646F"/>
    <w:rsid w:val="006B0313"/>
    <w:rsid w:val="006B3974"/>
    <w:rsid w:val="006C2113"/>
    <w:rsid w:val="006C45E2"/>
    <w:rsid w:val="006D0B7E"/>
    <w:rsid w:val="006D34BA"/>
    <w:rsid w:val="006E161F"/>
    <w:rsid w:val="006E2918"/>
    <w:rsid w:val="006E791D"/>
    <w:rsid w:val="00705700"/>
    <w:rsid w:val="007063A1"/>
    <w:rsid w:val="00716ED5"/>
    <w:rsid w:val="00717004"/>
    <w:rsid w:val="007179D8"/>
    <w:rsid w:val="007226F6"/>
    <w:rsid w:val="007326AA"/>
    <w:rsid w:val="00734AF2"/>
    <w:rsid w:val="00735116"/>
    <w:rsid w:val="00736B43"/>
    <w:rsid w:val="00740867"/>
    <w:rsid w:val="00746B6A"/>
    <w:rsid w:val="00750C34"/>
    <w:rsid w:val="007743A1"/>
    <w:rsid w:val="00783168"/>
    <w:rsid w:val="00784A62"/>
    <w:rsid w:val="00795488"/>
    <w:rsid w:val="007A50D9"/>
    <w:rsid w:val="007A7DA0"/>
    <w:rsid w:val="007B09E1"/>
    <w:rsid w:val="007B373A"/>
    <w:rsid w:val="007B5441"/>
    <w:rsid w:val="007C1995"/>
    <w:rsid w:val="007C3206"/>
    <w:rsid w:val="007F097B"/>
    <w:rsid w:val="007F3C70"/>
    <w:rsid w:val="008000FB"/>
    <w:rsid w:val="008048A2"/>
    <w:rsid w:val="00805E98"/>
    <w:rsid w:val="00830347"/>
    <w:rsid w:val="00831354"/>
    <w:rsid w:val="00832D86"/>
    <w:rsid w:val="0083469F"/>
    <w:rsid w:val="008363BE"/>
    <w:rsid w:val="00841CB9"/>
    <w:rsid w:val="00860AD1"/>
    <w:rsid w:val="00867108"/>
    <w:rsid w:val="0087079B"/>
    <w:rsid w:val="008866EA"/>
    <w:rsid w:val="0089739C"/>
    <w:rsid w:val="008A4FB0"/>
    <w:rsid w:val="008B245F"/>
    <w:rsid w:val="008B5D7C"/>
    <w:rsid w:val="008C60EF"/>
    <w:rsid w:val="008C64E8"/>
    <w:rsid w:val="008C6B96"/>
    <w:rsid w:val="008C6BF0"/>
    <w:rsid w:val="008D35BF"/>
    <w:rsid w:val="008D7306"/>
    <w:rsid w:val="008E496E"/>
    <w:rsid w:val="009006EE"/>
    <w:rsid w:val="00917DB9"/>
    <w:rsid w:val="0092394D"/>
    <w:rsid w:val="00925A0C"/>
    <w:rsid w:val="00925CAF"/>
    <w:rsid w:val="009330C6"/>
    <w:rsid w:val="00933B0C"/>
    <w:rsid w:val="0093536D"/>
    <w:rsid w:val="00947891"/>
    <w:rsid w:val="00952524"/>
    <w:rsid w:val="0096133D"/>
    <w:rsid w:val="009621AB"/>
    <w:rsid w:val="00966356"/>
    <w:rsid w:val="00976470"/>
    <w:rsid w:val="00980E55"/>
    <w:rsid w:val="00995E4E"/>
    <w:rsid w:val="009A4BE7"/>
    <w:rsid w:val="009B591C"/>
    <w:rsid w:val="009B61D5"/>
    <w:rsid w:val="009C3727"/>
    <w:rsid w:val="009C3A1E"/>
    <w:rsid w:val="009F002C"/>
    <w:rsid w:val="009F4407"/>
    <w:rsid w:val="009F5F54"/>
    <w:rsid w:val="00A00BAD"/>
    <w:rsid w:val="00A12555"/>
    <w:rsid w:val="00A13752"/>
    <w:rsid w:val="00A361B7"/>
    <w:rsid w:val="00A36572"/>
    <w:rsid w:val="00A45D96"/>
    <w:rsid w:val="00A52A5E"/>
    <w:rsid w:val="00A57577"/>
    <w:rsid w:val="00A74F92"/>
    <w:rsid w:val="00A84818"/>
    <w:rsid w:val="00A8530B"/>
    <w:rsid w:val="00A875DD"/>
    <w:rsid w:val="00A90FC5"/>
    <w:rsid w:val="00A91E4A"/>
    <w:rsid w:val="00A93BD8"/>
    <w:rsid w:val="00AB65D5"/>
    <w:rsid w:val="00AC4B49"/>
    <w:rsid w:val="00AF5DEC"/>
    <w:rsid w:val="00B0242F"/>
    <w:rsid w:val="00B04022"/>
    <w:rsid w:val="00B11ECC"/>
    <w:rsid w:val="00B162EA"/>
    <w:rsid w:val="00B22DA9"/>
    <w:rsid w:val="00B311E3"/>
    <w:rsid w:val="00B314FA"/>
    <w:rsid w:val="00B413FF"/>
    <w:rsid w:val="00B46C66"/>
    <w:rsid w:val="00B47B6B"/>
    <w:rsid w:val="00B549BA"/>
    <w:rsid w:val="00B5550F"/>
    <w:rsid w:val="00B6200F"/>
    <w:rsid w:val="00B67F1B"/>
    <w:rsid w:val="00B71EF8"/>
    <w:rsid w:val="00B7376E"/>
    <w:rsid w:val="00B836A7"/>
    <w:rsid w:val="00B85DDB"/>
    <w:rsid w:val="00BA060C"/>
    <w:rsid w:val="00BA333B"/>
    <w:rsid w:val="00BA78BA"/>
    <w:rsid w:val="00BB2547"/>
    <w:rsid w:val="00BB4224"/>
    <w:rsid w:val="00BC01F6"/>
    <w:rsid w:val="00BC046E"/>
    <w:rsid w:val="00BC0855"/>
    <w:rsid w:val="00BC4EB9"/>
    <w:rsid w:val="00BD405E"/>
    <w:rsid w:val="00BD59EA"/>
    <w:rsid w:val="00BE5EF8"/>
    <w:rsid w:val="00BF50C2"/>
    <w:rsid w:val="00BF516E"/>
    <w:rsid w:val="00BF7C99"/>
    <w:rsid w:val="00C16C5F"/>
    <w:rsid w:val="00C20CDD"/>
    <w:rsid w:val="00C35477"/>
    <w:rsid w:val="00C47BD5"/>
    <w:rsid w:val="00C50EDD"/>
    <w:rsid w:val="00C5250E"/>
    <w:rsid w:val="00C54645"/>
    <w:rsid w:val="00C567D0"/>
    <w:rsid w:val="00C70341"/>
    <w:rsid w:val="00C73F72"/>
    <w:rsid w:val="00C754D3"/>
    <w:rsid w:val="00C8454E"/>
    <w:rsid w:val="00C86971"/>
    <w:rsid w:val="00C936AB"/>
    <w:rsid w:val="00C93B36"/>
    <w:rsid w:val="00C95659"/>
    <w:rsid w:val="00C95FA8"/>
    <w:rsid w:val="00C970C9"/>
    <w:rsid w:val="00CA4328"/>
    <w:rsid w:val="00CB1FE7"/>
    <w:rsid w:val="00CB302F"/>
    <w:rsid w:val="00CB66CD"/>
    <w:rsid w:val="00CC5B21"/>
    <w:rsid w:val="00CD4830"/>
    <w:rsid w:val="00CD5142"/>
    <w:rsid w:val="00CE1342"/>
    <w:rsid w:val="00CE15A9"/>
    <w:rsid w:val="00CF30C2"/>
    <w:rsid w:val="00D0252E"/>
    <w:rsid w:val="00D12CE3"/>
    <w:rsid w:val="00D15EBB"/>
    <w:rsid w:val="00D16E53"/>
    <w:rsid w:val="00D16F7E"/>
    <w:rsid w:val="00D215B0"/>
    <w:rsid w:val="00D21B4B"/>
    <w:rsid w:val="00D4314C"/>
    <w:rsid w:val="00D46946"/>
    <w:rsid w:val="00D55AEC"/>
    <w:rsid w:val="00D57015"/>
    <w:rsid w:val="00D67BB5"/>
    <w:rsid w:val="00D7155D"/>
    <w:rsid w:val="00D81E4B"/>
    <w:rsid w:val="00D8747D"/>
    <w:rsid w:val="00D90E07"/>
    <w:rsid w:val="00D92ED9"/>
    <w:rsid w:val="00DA028F"/>
    <w:rsid w:val="00DA16E4"/>
    <w:rsid w:val="00DC68E0"/>
    <w:rsid w:val="00DD4C2C"/>
    <w:rsid w:val="00DE3867"/>
    <w:rsid w:val="00DF079E"/>
    <w:rsid w:val="00DF59B3"/>
    <w:rsid w:val="00DF6ABE"/>
    <w:rsid w:val="00DF7599"/>
    <w:rsid w:val="00E01AC3"/>
    <w:rsid w:val="00E07658"/>
    <w:rsid w:val="00E113F1"/>
    <w:rsid w:val="00E17C38"/>
    <w:rsid w:val="00E30288"/>
    <w:rsid w:val="00E400DD"/>
    <w:rsid w:val="00E60D67"/>
    <w:rsid w:val="00E620BB"/>
    <w:rsid w:val="00E66262"/>
    <w:rsid w:val="00E76053"/>
    <w:rsid w:val="00E84E4B"/>
    <w:rsid w:val="00E93979"/>
    <w:rsid w:val="00E97C9E"/>
    <w:rsid w:val="00EA5A11"/>
    <w:rsid w:val="00EB2027"/>
    <w:rsid w:val="00EB3BDA"/>
    <w:rsid w:val="00EC5505"/>
    <w:rsid w:val="00ED286D"/>
    <w:rsid w:val="00EE4A5D"/>
    <w:rsid w:val="00EF3497"/>
    <w:rsid w:val="00F2453F"/>
    <w:rsid w:val="00F31451"/>
    <w:rsid w:val="00F44E1D"/>
    <w:rsid w:val="00F47F46"/>
    <w:rsid w:val="00F50C62"/>
    <w:rsid w:val="00F60933"/>
    <w:rsid w:val="00F63EDA"/>
    <w:rsid w:val="00F66862"/>
    <w:rsid w:val="00F66933"/>
    <w:rsid w:val="00F70354"/>
    <w:rsid w:val="00F71683"/>
    <w:rsid w:val="00F73E9D"/>
    <w:rsid w:val="00F746EE"/>
    <w:rsid w:val="00F8319C"/>
    <w:rsid w:val="00F9336B"/>
    <w:rsid w:val="00FA4098"/>
    <w:rsid w:val="00FB149B"/>
    <w:rsid w:val="00FC2517"/>
    <w:rsid w:val="00FC2ED1"/>
    <w:rsid w:val="00FC6C43"/>
    <w:rsid w:val="00FD32F7"/>
    <w:rsid w:val="00FF330A"/>
    <w:rsid w:val="00FF6027"/>
    <w:rsid w:val="00FF7115"/>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331D00"/>
  <w15:chartTrackingRefBased/>
  <w15:docId w15:val="{013FBAF5-3694-7F4B-BBBA-1CA56355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P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54"/>
    <w:rPr>
      <w:rFonts w:ascii="Times New Roman" w:eastAsia="Times New Roman" w:hAnsi="Times New Roman" w:cs="Times New Roman"/>
      <w:lang w:val="en-GB" w:eastAsia="en-GB"/>
    </w:rPr>
  </w:style>
  <w:style w:type="paragraph" w:styleId="Ttulo1">
    <w:name w:val="heading 1"/>
    <w:basedOn w:val="Normal"/>
    <w:next w:val="Normal"/>
    <w:link w:val="Ttulo1Car"/>
    <w:uiPriority w:val="9"/>
    <w:qFormat/>
    <w:rsid w:val="00416C6B"/>
    <w:pPr>
      <w:keepNext/>
      <w:keepLines/>
      <w:spacing w:before="240"/>
      <w:outlineLvl w:val="0"/>
    </w:pPr>
    <w:rPr>
      <w:rFonts w:ascii="Calibri" w:eastAsiaTheme="majorEastAsia" w:hAnsi="Calibri" w:cstheme="majorBidi"/>
      <w:b/>
      <w:color w:val="000000" w:themeColor="text1"/>
      <w:sz w:val="36"/>
      <w:szCs w:val="32"/>
    </w:rPr>
  </w:style>
  <w:style w:type="paragraph" w:styleId="Ttulo2">
    <w:name w:val="heading 2"/>
    <w:basedOn w:val="Normal"/>
    <w:next w:val="Normal"/>
    <w:link w:val="Ttulo2Car"/>
    <w:unhideWhenUsed/>
    <w:qFormat/>
    <w:rsid w:val="00DD4C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F5F54"/>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C54645"/>
    <w:pPr>
      <w:keepNext/>
      <w:keepLines/>
      <w:spacing w:before="40"/>
      <w:outlineLvl w:val="3"/>
    </w:pPr>
    <w:rPr>
      <w:rFonts w:asciiTheme="majorHAnsi" w:eastAsiaTheme="majorEastAsia" w:hAnsiTheme="majorHAnsi" w:cstheme="majorBidi"/>
      <w:i/>
      <w:iCs/>
      <w:color w:val="2F5496" w:themeColor="accent1" w:themeShade="BF"/>
    </w:rPr>
  </w:style>
  <w:style w:type="paragraph" w:styleId="Ttulo7">
    <w:name w:val="heading 7"/>
    <w:basedOn w:val="Normal"/>
    <w:next w:val="Normal"/>
    <w:link w:val="Ttulo7Car"/>
    <w:qFormat/>
    <w:rsid w:val="009F5F54"/>
    <w:pPr>
      <w:keepNext/>
      <w:ind w:left="540"/>
      <w:outlineLvl w:val="6"/>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5F54"/>
    <w:pPr>
      <w:tabs>
        <w:tab w:val="center" w:pos="4680"/>
        <w:tab w:val="right" w:pos="9360"/>
      </w:tabs>
    </w:pPr>
  </w:style>
  <w:style w:type="character" w:customStyle="1" w:styleId="EncabezadoCar">
    <w:name w:val="Encabezado Car"/>
    <w:basedOn w:val="Fuentedeprrafopredeter"/>
    <w:link w:val="Encabezado"/>
    <w:uiPriority w:val="99"/>
    <w:rsid w:val="009F5F54"/>
  </w:style>
  <w:style w:type="paragraph" w:styleId="Piedepgina">
    <w:name w:val="footer"/>
    <w:basedOn w:val="Normal"/>
    <w:link w:val="PiedepginaCar"/>
    <w:uiPriority w:val="99"/>
    <w:unhideWhenUsed/>
    <w:rsid w:val="009F5F54"/>
    <w:pPr>
      <w:tabs>
        <w:tab w:val="center" w:pos="4680"/>
        <w:tab w:val="right" w:pos="9360"/>
      </w:tabs>
    </w:pPr>
  </w:style>
  <w:style w:type="character" w:customStyle="1" w:styleId="PiedepginaCar">
    <w:name w:val="Pie de página Car"/>
    <w:basedOn w:val="Fuentedeprrafopredeter"/>
    <w:link w:val="Piedepgina"/>
    <w:uiPriority w:val="99"/>
    <w:rsid w:val="009F5F54"/>
  </w:style>
  <w:style w:type="character" w:customStyle="1" w:styleId="Ttulo7Car">
    <w:name w:val="Título 7 Car"/>
    <w:basedOn w:val="Fuentedeprrafopredeter"/>
    <w:link w:val="Ttulo7"/>
    <w:rsid w:val="009F5F54"/>
    <w:rPr>
      <w:rFonts w:ascii="Times New Roman" w:eastAsia="Times New Roman" w:hAnsi="Times New Roman" w:cs="Times New Roman"/>
      <w:b/>
      <w:bCs/>
      <w:lang w:val="en-PH" w:eastAsia="en-GB"/>
    </w:rPr>
  </w:style>
  <w:style w:type="paragraph" w:customStyle="1" w:styleId="Marge">
    <w:name w:val="Marge"/>
    <w:basedOn w:val="Normal"/>
    <w:link w:val="MargeChar"/>
    <w:qFormat/>
    <w:rsid w:val="009F5F54"/>
    <w:pPr>
      <w:spacing w:after="240"/>
      <w:jc w:val="both"/>
    </w:pPr>
    <w:rPr>
      <w:lang w:eastAsia="en-US"/>
    </w:rPr>
  </w:style>
  <w:style w:type="paragraph" w:customStyle="1" w:styleId="Docheading">
    <w:name w:val="Doc. heading"/>
    <w:basedOn w:val="Encabezado"/>
    <w:rsid w:val="009F5F54"/>
    <w:pPr>
      <w:tabs>
        <w:tab w:val="clear" w:pos="4680"/>
        <w:tab w:val="clear" w:pos="9360"/>
        <w:tab w:val="center" w:pos="4153"/>
        <w:tab w:val="right" w:pos="8306"/>
      </w:tabs>
      <w:spacing w:after="480"/>
      <w:jc w:val="center"/>
    </w:pPr>
    <w:rPr>
      <w:rFonts w:ascii="Arial" w:hAnsi="Arial" w:cs="Arial"/>
      <w:b/>
      <w:bCs/>
      <w:lang w:eastAsia="en-US"/>
    </w:rPr>
  </w:style>
  <w:style w:type="character" w:customStyle="1" w:styleId="MargeChar">
    <w:name w:val="Marge Char"/>
    <w:link w:val="Marge"/>
    <w:qFormat/>
    <w:rsid w:val="009F5F54"/>
    <w:rPr>
      <w:rFonts w:ascii="Times New Roman" w:eastAsia="Times New Roman" w:hAnsi="Times New Roman" w:cs="Times New Roman"/>
      <w:lang w:val="en-PH" w:eastAsia="en-US"/>
    </w:rPr>
  </w:style>
  <w:style w:type="character" w:styleId="Hipervnculo">
    <w:name w:val="Hyperlink"/>
    <w:uiPriority w:val="99"/>
    <w:rsid w:val="009F5F54"/>
    <w:rPr>
      <w:color w:val="0000FF"/>
      <w:u w:val="single"/>
    </w:rPr>
  </w:style>
  <w:style w:type="paragraph" w:customStyle="1" w:styleId="h">
    <w:name w:val="h"/>
    <w:basedOn w:val="Marge"/>
    <w:rsid w:val="009F5F54"/>
    <w:pPr>
      <w:tabs>
        <w:tab w:val="left" w:pos="567"/>
      </w:tabs>
      <w:snapToGrid w:val="0"/>
      <w:spacing w:after="120"/>
    </w:pPr>
    <w:rPr>
      <w:rFonts w:ascii="Arial" w:hAnsi="Arial" w:cs="Arial"/>
      <w:snapToGrid w:val="0"/>
      <w:sz w:val="22"/>
      <w:szCs w:val="22"/>
      <w:u w:val="single"/>
    </w:rPr>
  </w:style>
  <w:style w:type="character" w:customStyle="1" w:styleId="Ttulo1Car">
    <w:name w:val="Título 1 Car"/>
    <w:basedOn w:val="Fuentedeprrafopredeter"/>
    <w:link w:val="Ttulo1"/>
    <w:uiPriority w:val="9"/>
    <w:rsid w:val="00416C6B"/>
    <w:rPr>
      <w:rFonts w:ascii="Calibri" w:eastAsiaTheme="majorEastAsia" w:hAnsi="Calibri" w:cstheme="majorBidi"/>
      <w:b/>
      <w:color w:val="000000" w:themeColor="text1"/>
      <w:sz w:val="36"/>
      <w:szCs w:val="32"/>
      <w:lang w:eastAsia="en-GB"/>
    </w:rPr>
  </w:style>
  <w:style w:type="character" w:customStyle="1" w:styleId="Ttulo3Car">
    <w:name w:val="Título 3 Car"/>
    <w:basedOn w:val="Fuentedeprrafopredeter"/>
    <w:link w:val="Ttulo3"/>
    <w:uiPriority w:val="9"/>
    <w:rsid w:val="009F5F54"/>
    <w:rPr>
      <w:rFonts w:asciiTheme="majorHAnsi" w:eastAsiaTheme="majorEastAsia" w:hAnsiTheme="majorHAnsi" w:cstheme="majorBidi"/>
      <w:color w:val="1F3763" w:themeColor="accent1" w:themeShade="7F"/>
      <w:lang w:val="en-PH" w:eastAsia="en-GB"/>
    </w:rPr>
  </w:style>
  <w:style w:type="character" w:styleId="Nmerodepgina">
    <w:name w:val="page number"/>
    <w:basedOn w:val="Fuentedeprrafopredeter"/>
    <w:rsid w:val="009F5F54"/>
  </w:style>
  <w:style w:type="paragraph" w:styleId="TDC1">
    <w:name w:val="toc 1"/>
    <w:basedOn w:val="Normal"/>
    <w:next w:val="Normal"/>
    <w:autoRedefine/>
    <w:uiPriority w:val="39"/>
    <w:unhideWhenUsed/>
    <w:rsid w:val="003D2C06"/>
    <w:pPr>
      <w:tabs>
        <w:tab w:val="right" w:leader="dot" w:pos="8290"/>
      </w:tabs>
      <w:snapToGrid w:val="0"/>
      <w:spacing w:after="120"/>
    </w:pPr>
    <w:rPr>
      <w:rFonts w:ascii="Calibri" w:hAnsi="Calibri" w:cs="Calibri"/>
      <w:b/>
      <w:bCs/>
      <w:snapToGrid w:val="0"/>
      <w:sz w:val="22"/>
      <w:szCs w:val="22"/>
      <w:u w:val="single"/>
      <w:lang w:eastAsia="en-US"/>
    </w:rPr>
  </w:style>
  <w:style w:type="paragraph" w:styleId="TDC3">
    <w:name w:val="toc 3"/>
    <w:basedOn w:val="Normal"/>
    <w:next w:val="Normal"/>
    <w:autoRedefine/>
    <w:uiPriority w:val="39"/>
    <w:unhideWhenUsed/>
    <w:rsid w:val="009F5F54"/>
    <w:pPr>
      <w:snapToGrid w:val="0"/>
    </w:pPr>
    <w:rPr>
      <w:rFonts w:ascii="Calibri" w:hAnsi="Calibri" w:cs="Calibri"/>
      <w:smallCaps/>
      <w:snapToGrid w:val="0"/>
      <w:sz w:val="22"/>
      <w:szCs w:val="22"/>
      <w:lang w:eastAsia="en-US"/>
    </w:rPr>
  </w:style>
  <w:style w:type="paragraph" w:customStyle="1" w:styleId="paranumber">
    <w:name w:val="paranumber"/>
    <w:basedOn w:val="Normal"/>
    <w:autoRedefine/>
    <w:qFormat/>
    <w:rsid w:val="009F5F54"/>
    <w:pPr>
      <w:numPr>
        <w:numId w:val="1"/>
      </w:numPr>
      <w:tabs>
        <w:tab w:val="left" w:pos="709"/>
      </w:tabs>
      <w:spacing w:after="240"/>
      <w:ind w:left="0" w:firstLine="0"/>
      <w:jc w:val="both"/>
    </w:pPr>
    <w:rPr>
      <w:rFonts w:ascii="Arial" w:hAnsi="Arial"/>
      <w:sz w:val="22"/>
      <w:lang w:eastAsia="ja-JP" w:bidi="en-US"/>
    </w:rPr>
  </w:style>
  <w:style w:type="paragraph" w:styleId="Prrafodelista">
    <w:name w:val="List Paragraph"/>
    <w:basedOn w:val="Normal"/>
    <w:link w:val="PrrafodelistaCar"/>
    <w:uiPriority w:val="34"/>
    <w:qFormat/>
    <w:rsid w:val="00D16F7E"/>
    <w:pPr>
      <w:ind w:left="720"/>
      <w:contextualSpacing/>
    </w:pPr>
  </w:style>
  <w:style w:type="character" w:customStyle="1" w:styleId="None">
    <w:name w:val="None"/>
    <w:rsid w:val="00E400DD"/>
  </w:style>
  <w:style w:type="paragraph" w:customStyle="1" w:styleId="ListParagraph1">
    <w:name w:val="List Paragraph1"/>
    <w:basedOn w:val="Prrafodelista"/>
    <w:qFormat/>
    <w:rsid w:val="00E400DD"/>
    <w:pPr>
      <w:numPr>
        <w:numId w:val="7"/>
      </w:numPr>
      <w:spacing w:after="240"/>
      <w:contextualSpacing w:val="0"/>
      <w:jc w:val="both"/>
    </w:pPr>
    <w:rPr>
      <w:rFonts w:ascii="Arial" w:hAnsi="Arial"/>
      <w:sz w:val="22"/>
      <w:szCs w:val="22"/>
      <w:lang w:eastAsia="en-US"/>
    </w:rPr>
  </w:style>
  <w:style w:type="paragraph" w:customStyle="1" w:styleId="Style2">
    <w:name w:val="Style2"/>
    <w:basedOn w:val="Normal"/>
    <w:link w:val="Style2Car"/>
    <w:qFormat/>
    <w:rsid w:val="002A4E45"/>
    <w:pPr>
      <w:shd w:val="clear" w:color="auto" w:fill="FFFFFF"/>
      <w:tabs>
        <w:tab w:val="num" w:pos="1400"/>
      </w:tabs>
      <w:spacing w:after="240"/>
      <w:ind w:left="720"/>
      <w:jc w:val="both"/>
    </w:pPr>
    <w:rPr>
      <w:rFonts w:ascii="Arial" w:hAnsi="Arial"/>
      <w:iCs/>
      <w:sz w:val="22"/>
      <w:szCs w:val="22"/>
    </w:rPr>
  </w:style>
  <w:style w:type="character" w:customStyle="1" w:styleId="Style2Car">
    <w:name w:val="Style2 Car"/>
    <w:basedOn w:val="Fuentedeprrafopredeter"/>
    <w:link w:val="Style2"/>
    <w:rsid w:val="002A4E45"/>
    <w:rPr>
      <w:rFonts w:ascii="Arial" w:eastAsia="Times New Roman" w:hAnsi="Arial" w:cs="Times New Roman"/>
      <w:iCs/>
      <w:sz w:val="22"/>
      <w:szCs w:val="22"/>
      <w:shd w:val="clear" w:color="auto" w:fill="FFFFFF"/>
      <w:lang w:val="en-PH" w:eastAsia="en-GB"/>
    </w:rPr>
  </w:style>
  <w:style w:type="character" w:customStyle="1" w:styleId="Ttulo2Car">
    <w:name w:val="Título 2 Car"/>
    <w:basedOn w:val="Fuentedeprrafopredeter"/>
    <w:link w:val="Ttulo2"/>
    <w:uiPriority w:val="9"/>
    <w:rsid w:val="00DD4C2C"/>
    <w:rPr>
      <w:rFonts w:asciiTheme="majorHAnsi" w:eastAsiaTheme="majorEastAsia" w:hAnsiTheme="majorHAnsi" w:cstheme="majorBidi"/>
      <w:color w:val="2F5496" w:themeColor="accent1" w:themeShade="BF"/>
      <w:sz w:val="26"/>
      <w:szCs w:val="26"/>
      <w:lang w:val="en-PH" w:eastAsia="en-GB"/>
    </w:rPr>
  </w:style>
  <w:style w:type="character" w:styleId="Mencinsinresolver">
    <w:name w:val="Unresolved Mention"/>
    <w:basedOn w:val="Fuentedeprrafopredeter"/>
    <w:uiPriority w:val="99"/>
    <w:semiHidden/>
    <w:unhideWhenUsed/>
    <w:rsid w:val="00995E4E"/>
    <w:rPr>
      <w:color w:val="605E5C"/>
      <w:shd w:val="clear" w:color="auto" w:fill="E1DFDD"/>
    </w:rPr>
  </w:style>
  <w:style w:type="paragraph" w:customStyle="1" w:styleId="ColorfulList-Accent11">
    <w:name w:val="Colorful List - Accent 11"/>
    <w:basedOn w:val="Normal"/>
    <w:uiPriority w:val="34"/>
    <w:qFormat/>
    <w:rsid w:val="00952524"/>
    <w:pPr>
      <w:tabs>
        <w:tab w:val="left" w:pos="567"/>
      </w:tabs>
      <w:snapToGrid w:val="0"/>
      <w:ind w:left="720"/>
      <w:contextualSpacing/>
    </w:pPr>
    <w:rPr>
      <w:snapToGrid w:val="0"/>
      <w:lang w:eastAsia="en-US"/>
    </w:rPr>
  </w:style>
  <w:style w:type="character" w:styleId="Hipervnculovisitado">
    <w:name w:val="FollowedHyperlink"/>
    <w:basedOn w:val="Fuentedeprrafopredeter"/>
    <w:uiPriority w:val="99"/>
    <w:semiHidden/>
    <w:unhideWhenUsed/>
    <w:rsid w:val="001D41EB"/>
    <w:rPr>
      <w:color w:val="954F72" w:themeColor="followedHyperlink"/>
      <w:u w:val="single"/>
    </w:rPr>
  </w:style>
  <w:style w:type="paragraph" w:styleId="NormalWeb">
    <w:name w:val="Normal (Web)"/>
    <w:basedOn w:val="Normal"/>
    <w:uiPriority w:val="99"/>
    <w:unhideWhenUsed/>
    <w:rsid w:val="00BC0855"/>
    <w:pPr>
      <w:spacing w:before="100" w:beforeAutospacing="1" w:after="100" w:afterAutospacing="1"/>
    </w:pPr>
    <w:rPr>
      <w:lang w:eastAsia="ja-JP"/>
    </w:rPr>
  </w:style>
  <w:style w:type="character" w:customStyle="1" w:styleId="PrrafodelistaCar">
    <w:name w:val="Párrafo de lista Car"/>
    <w:link w:val="Prrafodelista"/>
    <w:uiPriority w:val="34"/>
    <w:locked/>
    <w:rsid w:val="00717004"/>
    <w:rPr>
      <w:rFonts w:ascii="Times New Roman" w:eastAsia="Times New Roman" w:hAnsi="Times New Roman" w:cs="Times New Roman"/>
      <w:lang w:eastAsia="en-GB"/>
    </w:rPr>
  </w:style>
  <w:style w:type="paragraph" w:styleId="Revisin">
    <w:name w:val="Revision"/>
    <w:hidden/>
    <w:uiPriority w:val="99"/>
    <w:semiHidden/>
    <w:rsid w:val="0039753F"/>
    <w:rPr>
      <w:rFonts w:ascii="Times New Roman" w:eastAsia="Times New Roman" w:hAnsi="Times New Roman" w:cs="Times New Roman"/>
      <w:lang w:eastAsia="en-GB"/>
    </w:rPr>
  </w:style>
  <w:style w:type="character" w:styleId="Refdecomentario">
    <w:name w:val="annotation reference"/>
    <w:basedOn w:val="Fuentedeprrafopredeter"/>
    <w:uiPriority w:val="99"/>
    <w:semiHidden/>
    <w:unhideWhenUsed/>
    <w:rsid w:val="0039753F"/>
    <w:rPr>
      <w:sz w:val="16"/>
      <w:szCs w:val="16"/>
    </w:rPr>
  </w:style>
  <w:style w:type="paragraph" w:styleId="Textocomentario">
    <w:name w:val="annotation text"/>
    <w:basedOn w:val="Normal"/>
    <w:link w:val="TextocomentarioCar"/>
    <w:uiPriority w:val="99"/>
    <w:unhideWhenUsed/>
    <w:rsid w:val="0039753F"/>
    <w:rPr>
      <w:sz w:val="20"/>
      <w:szCs w:val="20"/>
    </w:rPr>
  </w:style>
  <w:style w:type="character" w:customStyle="1" w:styleId="TextocomentarioCar">
    <w:name w:val="Texto comentario Car"/>
    <w:basedOn w:val="Fuentedeprrafopredeter"/>
    <w:link w:val="Textocomentario"/>
    <w:uiPriority w:val="99"/>
    <w:rsid w:val="0039753F"/>
    <w:rPr>
      <w:rFonts w:ascii="Times New Roman" w:eastAsia="Times New Roman" w:hAnsi="Times New Roman" w:cs="Times New Roman"/>
      <w:sz w:val="20"/>
      <w:szCs w:val="20"/>
      <w:lang w:eastAsia="en-GB"/>
    </w:rPr>
  </w:style>
  <w:style w:type="paragraph" w:styleId="Asuntodelcomentario">
    <w:name w:val="annotation subject"/>
    <w:basedOn w:val="Textocomentario"/>
    <w:next w:val="Textocomentario"/>
    <w:link w:val="AsuntodelcomentarioCar"/>
    <w:uiPriority w:val="99"/>
    <w:semiHidden/>
    <w:unhideWhenUsed/>
    <w:rsid w:val="0039753F"/>
    <w:rPr>
      <w:b/>
      <w:bCs/>
    </w:rPr>
  </w:style>
  <w:style w:type="character" w:customStyle="1" w:styleId="AsuntodelcomentarioCar">
    <w:name w:val="Asunto del comentario Car"/>
    <w:basedOn w:val="TextocomentarioCar"/>
    <w:link w:val="Asuntodelcomentario"/>
    <w:uiPriority w:val="99"/>
    <w:semiHidden/>
    <w:rsid w:val="0039753F"/>
    <w:rPr>
      <w:rFonts w:ascii="Times New Roman" w:eastAsia="Times New Roman" w:hAnsi="Times New Roman" w:cs="Times New Roman"/>
      <w:b/>
      <w:bCs/>
      <w:sz w:val="20"/>
      <w:szCs w:val="20"/>
      <w:lang w:eastAsia="en-GB"/>
    </w:rPr>
  </w:style>
  <w:style w:type="numbering" w:customStyle="1" w:styleId="CurrentList1">
    <w:name w:val="Current List1"/>
    <w:uiPriority w:val="99"/>
    <w:rsid w:val="00AC4B49"/>
    <w:pPr>
      <w:numPr>
        <w:numId w:val="25"/>
      </w:numPr>
    </w:pPr>
  </w:style>
  <w:style w:type="numbering" w:customStyle="1" w:styleId="CurrentList2">
    <w:name w:val="Current List2"/>
    <w:uiPriority w:val="99"/>
    <w:rsid w:val="00AC4B49"/>
    <w:pPr>
      <w:numPr>
        <w:numId w:val="26"/>
      </w:numPr>
    </w:pPr>
  </w:style>
  <w:style w:type="numbering" w:customStyle="1" w:styleId="CurrentList3">
    <w:name w:val="Current List3"/>
    <w:uiPriority w:val="99"/>
    <w:rsid w:val="00AC4B49"/>
    <w:pPr>
      <w:numPr>
        <w:numId w:val="27"/>
      </w:numPr>
    </w:pPr>
  </w:style>
  <w:style w:type="numbering" w:customStyle="1" w:styleId="CurrentList4">
    <w:name w:val="Current List4"/>
    <w:uiPriority w:val="99"/>
    <w:rsid w:val="00AC4B49"/>
    <w:pPr>
      <w:numPr>
        <w:numId w:val="29"/>
      </w:numPr>
    </w:pPr>
  </w:style>
  <w:style w:type="character" w:customStyle="1" w:styleId="Ttulo4Car">
    <w:name w:val="Título 4 Car"/>
    <w:basedOn w:val="Fuentedeprrafopredeter"/>
    <w:link w:val="Ttulo4"/>
    <w:uiPriority w:val="9"/>
    <w:semiHidden/>
    <w:rsid w:val="00C54645"/>
    <w:rPr>
      <w:rFonts w:asciiTheme="majorHAnsi" w:eastAsiaTheme="majorEastAsia" w:hAnsiTheme="majorHAnsi" w:cstheme="majorBidi"/>
      <w:i/>
      <w:iCs/>
      <w:color w:val="2F5496" w:themeColor="accent1" w:themeShade="BF"/>
      <w:lang w:eastAsia="en-GB"/>
    </w:rPr>
  </w:style>
  <w:style w:type="character" w:styleId="Refdenotaalpie">
    <w:name w:val="footnote reference"/>
    <w:basedOn w:val="Fuentedeprrafopredeter"/>
    <w:uiPriority w:val="99"/>
    <w:semiHidden/>
    <w:unhideWhenUsed/>
    <w:rsid w:val="00C54645"/>
    <w:rPr>
      <w:rFonts w:ascii="Arial" w:hAnsi="Arial"/>
      <w:b w:val="0"/>
      <w:i w:val="0"/>
      <w:vertAlign w:val="superscript"/>
    </w:rPr>
  </w:style>
  <w:style w:type="paragraph" w:customStyle="1" w:styleId="Bullet-shortparagraph-3pt">
    <w:name w:val="Bullet - short paragraph - 3pt"/>
    <w:basedOn w:val="Normal"/>
    <w:qFormat/>
    <w:rsid w:val="00C54645"/>
    <w:pPr>
      <w:numPr>
        <w:numId w:val="33"/>
      </w:numPr>
      <w:spacing w:before="120" w:after="120" w:line="276" w:lineRule="auto"/>
      <w:ind w:left="340"/>
    </w:pPr>
    <w:rPr>
      <w:rFonts w:ascii="Arial" w:eastAsia="Arial" w:hAnsi="Arial" w:cstheme="minorBidi"/>
      <w:color w:val="FFFFFF" w:themeColor="background1"/>
      <w:sz w:val="20"/>
    </w:rPr>
  </w:style>
  <w:style w:type="paragraph" w:customStyle="1" w:styleId="Default">
    <w:name w:val="Default"/>
    <w:rsid w:val="0093536D"/>
    <w:pPr>
      <w:autoSpaceDE w:val="0"/>
      <w:autoSpaceDN w:val="0"/>
      <w:adjustRightInd w:val="0"/>
    </w:pPr>
    <w:rPr>
      <w:rFonts w:ascii="Arial" w:hAnsi="Arial" w:cs="Arial"/>
      <w:color w:val="000000"/>
      <w:lang w:val="en-GB"/>
    </w:rPr>
  </w:style>
  <w:style w:type="paragraph" w:styleId="Textonotapie">
    <w:name w:val="footnote text"/>
    <w:basedOn w:val="Normal"/>
    <w:link w:val="TextonotapieCar"/>
    <w:uiPriority w:val="99"/>
    <w:semiHidden/>
    <w:unhideWhenUsed/>
    <w:rsid w:val="00750C34"/>
    <w:rPr>
      <w:sz w:val="20"/>
      <w:szCs w:val="20"/>
    </w:rPr>
  </w:style>
  <w:style w:type="character" w:customStyle="1" w:styleId="TextonotapieCar">
    <w:name w:val="Texto nota pie Car"/>
    <w:basedOn w:val="Fuentedeprrafopredeter"/>
    <w:link w:val="Textonotapie"/>
    <w:uiPriority w:val="99"/>
    <w:semiHidden/>
    <w:rsid w:val="00750C34"/>
    <w:rPr>
      <w:rFonts w:ascii="Times New Roman" w:eastAsia="Times New Roman" w:hAnsi="Times New Roman" w:cs="Times New Roman"/>
      <w:sz w:val="20"/>
      <w:szCs w:val="20"/>
      <w:lang w:val="en-GB" w:eastAsia="en-GB"/>
    </w:rPr>
  </w:style>
  <w:style w:type="paragraph" w:styleId="TtuloTDC">
    <w:name w:val="TOC Heading"/>
    <w:basedOn w:val="Ttulo1"/>
    <w:next w:val="Normal"/>
    <w:uiPriority w:val="39"/>
    <w:unhideWhenUsed/>
    <w:qFormat/>
    <w:rsid w:val="00B46C66"/>
    <w:pPr>
      <w:spacing w:line="259" w:lineRule="auto"/>
      <w:outlineLvl w:val="9"/>
    </w:pPr>
    <w:rPr>
      <w:rFonts w:asciiTheme="majorHAnsi" w:hAnsiTheme="majorHAnsi"/>
      <w:b w:val="0"/>
      <w:color w:val="2F5496" w:themeColor="accent1" w:themeShade="BF"/>
      <w:sz w:val="32"/>
      <w:lang w:val="en-US" w:eastAsia="en-US"/>
    </w:rPr>
  </w:style>
  <w:style w:type="paragraph" w:styleId="TDC2">
    <w:name w:val="toc 2"/>
    <w:basedOn w:val="Normal"/>
    <w:next w:val="Normal"/>
    <w:autoRedefine/>
    <w:uiPriority w:val="39"/>
    <w:unhideWhenUsed/>
    <w:rsid w:val="002E1AB5"/>
    <w:pPr>
      <w:tabs>
        <w:tab w:val="right" w:leader="dot" w:pos="9621"/>
      </w:tabs>
      <w:spacing w:after="100"/>
      <w:ind w:left="709" w:hanging="4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217963">
      <w:bodyDiv w:val="1"/>
      <w:marLeft w:val="0"/>
      <w:marRight w:val="0"/>
      <w:marTop w:val="0"/>
      <w:marBottom w:val="0"/>
      <w:divBdr>
        <w:top w:val="none" w:sz="0" w:space="0" w:color="auto"/>
        <w:left w:val="none" w:sz="0" w:space="0" w:color="auto"/>
        <w:bottom w:val="none" w:sz="0" w:space="0" w:color="auto"/>
        <w:right w:val="none" w:sz="0" w:space="0" w:color="auto"/>
      </w:divBdr>
    </w:div>
    <w:div w:id="491531053">
      <w:bodyDiv w:val="1"/>
      <w:marLeft w:val="0"/>
      <w:marRight w:val="0"/>
      <w:marTop w:val="0"/>
      <w:marBottom w:val="0"/>
      <w:divBdr>
        <w:top w:val="none" w:sz="0" w:space="0" w:color="auto"/>
        <w:left w:val="none" w:sz="0" w:space="0" w:color="auto"/>
        <w:bottom w:val="none" w:sz="0" w:space="0" w:color="auto"/>
        <w:right w:val="none" w:sz="0" w:space="0" w:color="auto"/>
      </w:divBdr>
    </w:div>
    <w:div w:id="626082028">
      <w:bodyDiv w:val="1"/>
      <w:marLeft w:val="0"/>
      <w:marRight w:val="0"/>
      <w:marTop w:val="0"/>
      <w:marBottom w:val="0"/>
      <w:divBdr>
        <w:top w:val="none" w:sz="0" w:space="0" w:color="auto"/>
        <w:left w:val="none" w:sz="0" w:space="0" w:color="auto"/>
        <w:bottom w:val="none" w:sz="0" w:space="0" w:color="auto"/>
        <w:right w:val="none" w:sz="0" w:space="0" w:color="auto"/>
      </w:divBdr>
      <w:divsChild>
        <w:div w:id="896628048">
          <w:marLeft w:val="720"/>
          <w:marRight w:val="0"/>
          <w:marTop w:val="0"/>
          <w:marBottom w:val="0"/>
          <w:divBdr>
            <w:top w:val="none" w:sz="0" w:space="0" w:color="auto"/>
            <w:left w:val="none" w:sz="0" w:space="0" w:color="auto"/>
            <w:bottom w:val="none" w:sz="0" w:space="0" w:color="auto"/>
            <w:right w:val="none" w:sz="0" w:space="0" w:color="auto"/>
          </w:divBdr>
        </w:div>
        <w:div w:id="912542879">
          <w:marLeft w:val="720"/>
          <w:marRight w:val="0"/>
          <w:marTop w:val="0"/>
          <w:marBottom w:val="0"/>
          <w:divBdr>
            <w:top w:val="none" w:sz="0" w:space="0" w:color="auto"/>
            <w:left w:val="none" w:sz="0" w:space="0" w:color="auto"/>
            <w:bottom w:val="none" w:sz="0" w:space="0" w:color="auto"/>
            <w:right w:val="none" w:sz="0" w:space="0" w:color="auto"/>
          </w:divBdr>
        </w:div>
        <w:div w:id="1917129435">
          <w:marLeft w:val="720"/>
          <w:marRight w:val="0"/>
          <w:marTop w:val="0"/>
          <w:marBottom w:val="0"/>
          <w:divBdr>
            <w:top w:val="none" w:sz="0" w:space="0" w:color="auto"/>
            <w:left w:val="none" w:sz="0" w:space="0" w:color="auto"/>
            <w:bottom w:val="none" w:sz="0" w:space="0" w:color="auto"/>
            <w:right w:val="none" w:sz="0" w:space="0" w:color="auto"/>
          </w:divBdr>
        </w:div>
        <w:div w:id="210390226">
          <w:marLeft w:val="720"/>
          <w:marRight w:val="0"/>
          <w:marTop w:val="0"/>
          <w:marBottom w:val="0"/>
          <w:divBdr>
            <w:top w:val="none" w:sz="0" w:space="0" w:color="auto"/>
            <w:left w:val="none" w:sz="0" w:space="0" w:color="auto"/>
            <w:bottom w:val="none" w:sz="0" w:space="0" w:color="auto"/>
            <w:right w:val="none" w:sz="0" w:space="0" w:color="auto"/>
          </w:divBdr>
        </w:div>
        <w:div w:id="972636868">
          <w:marLeft w:val="720"/>
          <w:marRight w:val="0"/>
          <w:marTop w:val="0"/>
          <w:marBottom w:val="0"/>
          <w:divBdr>
            <w:top w:val="none" w:sz="0" w:space="0" w:color="auto"/>
            <w:left w:val="none" w:sz="0" w:space="0" w:color="auto"/>
            <w:bottom w:val="none" w:sz="0" w:space="0" w:color="auto"/>
            <w:right w:val="none" w:sz="0" w:space="0" w:color="auto"/>
          </w:divBdr>
        </w:div>
        <w:div w:id="913930392">
          <w:marLeft w:val="720"/>
          <w:marRight w:val="0"/>
          <w:marTop w:val="0"/>
          <w:marBottom w:val="0"/>
          <w:divBdr>
            <w:top w:val="none" w:sz="0" w:space="0" w:color="auto"/>
            <w:left w:val="none" w:sz="0" w:space="0" w:color="auto"/>
            <w:bottom w:val="none" w:sz="0" w:space="0" w:color="auto"/>
            <w:right w:val="none" w:sz="0" w:space="0" w:color="auto"/>
          </w:divBdr>
        </w:div>
        <w:div w:id="1316880738">
          <w:marLeft w:val="720"/>
          <w:marRight w:val="0"/>
          <w:marTop w:val="0"/>
          <w:marBottom w:val="0"/>
          <w:divBdr>
            <w:top w:val="none" w:sz="0" w:space="0" w:color="auto"/>
            <w:left w:val="none" w:sz="0" w:space="0" w:color="auto"/>
            <w:bottom w:val="none" w:sz="0" w:space="0" w:color="auto"/>
            <w:right w:val="none" w:sz="0" w:space="0" w:color="auto"/>
          </w:divBdr>
        </w:div>
      </w:divsChild>
    </w:div>
    <w:div w:id="836043532">
      <w:bodyDiv w:val="1"/>
      <w:marLeft w:val="0"/>
      <w:marRight w:val="0"/>
      <w:marTop w:val="0"/>
      <w:marBottom w:val="0"/>
      <w:divBdr>
        <w:top w:val="none" w:sz="0" w:space="0" w:color="auto"/>
        <w:left w:val="none" w:sz="0" w:space="0" w:color="auto"/>
        <w:bottom w:val="none" w:sz="0" w:space="0" w:color="auto"/>
        <w:right w:val="none" w:sz="0" w:space="0" w:color="auto"/>
      </w:divBdr>
      <w:divsChild>
        <w:div w:id="1077480353">
          <w:marLeft w:val="274"/>
          <w:marRight w:val="0"/>
          <w:marTop w:val="0"/>
          <w:marBottom w:val="0"/>
          <w:divBdr>
            <w:top w:val="none" w:sz="0" w:space="0" w:color="auto"/>
            <w:left w:val="none" w:sz="0" w:space="0" w:color="auto"/>
            <w:bottom w:val="none" w:sz="0" w:space="0" w:color="auto"/>
            <w:right w:val="none" w:sz="0" w:space="0" w:color="auto"/>
          </w:divBdr>
        </w:div>
        <w:div w:id="2096784998">
          <w:marLeft w:val="274"/>
          <w:marRight w:val="0"/>
          <w:marTop w:val="0"/>
          <w:marBottom w:val="0"/>
          <w:divBdr>
            <w:top w:val="none" w:sz="0" w:space="0" w:color="auto"/>
            <w:left w:val="none" w:sz="0" w:space="0" w:color="auto"/>
            <w:bottom w:val="none" w:sz="0" w:space="0" w:color="auto"/>
            <w:right w:val="none" w:sz="0" w:space="0" w:color="auto"/>
          </w:divBdr>
        </w:div>
        <w:div w:id="1191603941">
          <w:marLeft w:val="274"/>
          <w:marRight w:val="0"/>
          <w:marTop w:val="0"/>
          <w:marBottom w:val="0"/>
          <w:divBdr>
            <w:top w:val="none" w:sz="0" w:space="0" w:color="auto"/>
            <w:left w:val="none" w:sz="0" w:space="0" w:color="auto"/>
            <w:bottom w:val="none" w:sz="0" w:space="0" w:color="auto"/>
            <w:right w:val="none" w:sz="0" w:space="0" w:color="auto"/>
          </w:divBdr>
        </w:div>
        <w:div w:id="1164781775">
          <w:marLeft w:val="274"/>
          <w:marRight w:val="0"/>
          <w:marTop w:val="0"/>
          <w:marBottom w:val="0"/>
          <w:divBdr>
            <w:top w:val="none" w:sz="0" w:space="0" w:color="auto"/>
            <w:left w:val="none" w:sz="0" w:space="0" w:color="auto"/>
            <w:bottom w:val="none" w:sz="0" w:space="0" w:color="auto"/>
            <w:right w:val="none" w:sz="0" w:space="0" w:color="auto"/>
          </w:divBdr>
        </w:div>
        <w:div w:id="1842623062">
          <w:marLeft w:val="274"/>
          <w:marRight w:val="0"/>
          <w:marTop w:val="0"/>
          <w:marBottom w:val="0"/>
          <w:divBdr>
            <w:top w:val="none" w:sz="0" w:space="0" w:color="auto"/>
            <w:left w:val="none" w:sz="0" w:space="0" w:color="auto"/>
            <w:bottom w:val="none" w:sz="0" w:space="0" w:color="auto"/>
            <w:right w:val="none" w:sz="0" w:space="0" w:color="auto"/>
          </w:divBdr>
        </w:div>
      </w:divsChild>
    </w:div>
    <w:div w:id="876089662">
      <w:bodyDiv w:val="1"/>
      <w:marLeft w:val="0"/>
      <w:marRight w:val="0"/>
      <w:marTop w:val="0"/>
      <w:marBottom w:val="0"/>
      <w:divBdr>
        <w:top w:val="none" w:sz="0" w:space="0" w:color="auto"/>
        <w:left w:val="none" w:sz="0" w:space="0" w:color="auto"/>
        <w:bottom w:val="none" w:sz="0" w:space="0" w:color="auto"/>
        <w:right w:val="none" w:sz="0" w:space="0" w:color="auto"/>
      </w:divBdr>
    </w:div>
    <w:div w:id="1992057422">
      <w:bodyDiv w:val="1"/>
      <w:marLeft w:val="0"/>
      <w:marRight w:val="0"/>
      <w:marTop w:val="0"/>
      <w:marBottom w:val="0"/>
      <w:divBdr>
        <w:top w:val="none" w:sz="0" w:space="0" w:color="auto"/>
        <w:left w:val="none" w:sz="0" w:space="0" w:color="auto"/>
        <w:bottom w:val="none" w:sz="0" w:space="0" w:color="auto"/>
        <w:right w:val="none" w:sz="0" w:space="0" w:color="auto"/>
      </w:divBdr>
      <w:divsChild>
        <w:div w:id="1177621960">
          <w:marLeft w:val="720"/>
          <w:marRight w:val="0"/>
          <w:marTop w:val="0"/>
          <w:marBottom w:val="0"/>
          <w:divBdr>
            <w:top w:val="none" w:sz="0" w:space="0" w:color="auto"/>
            <w:left w:val="none" w:sz="0" w:space="0" w:color="auto"/>
            <w:bottom w:val="none" w:sz="0" w:space="0" w:color="auto"/>
            <w:right w:val="none" w:sz="0" w:space="0" w:color="auto"/>
          </w:divBdr>
        </w:div>
        <w:div w:id="1377579730">
          <w:marLeft w:val="720"/>
          <w:marRight w:val="0"/>
          <w:marTop w:val="0"/>
          <w:marBottom w:val="0"/>
          <w:divBdr>
            <w:top w:val="none" w:sz="0" w:space="0" w:color="auto"/>
            <w:left w:val="none" w:sz="0" w:space="0" w:color="auto"/>
            <w:bottom w:val="none" w:sz="0" w:space="0" w:color="auto"/>
            <w:right w:val="none" w:sz="0" w:space="0" w:color="auto"/>
          </w:divBdr>
        </w:div>
        <w:div w:id="2106072936">
          <w:marLeft w:val="720"/>
          <w:marRight w:val="0"/>
          <w:marTop w:val="0"/>
          <w:marBottom w:val="0"/>
          <w:divBdr>
            <w:top w:val="none" w:sz="0" w:space="0" w:color="auto"/>
            <w:left w:val="none" w:sz="0" w:space="0" w:color="auto"/>
            <w:bottom w:val="none" w:sz="0" w:space="0" w:color="auto"/>
            <w:right w:val="none" w:sz="0" w:space="0" w:color="auto"/>
          </w:divBdr>
        </w:div>
        <w:div w:id="2127386596">
          <w:marLeft w:val="720"/>
          <w:marRight w:val="0"/>
          <w:marTop w:val="0"/>
          <w:marBottom w:val="0"/>
          <w:divBdr>
            <w:top w:val="none" w:sz="0" w:space="0" w:color="auto"/>
            <w:left w:val="none" w:sz="0" w:space="0" w:color="auto"/>
            <w:bottom w:val="none" w:sz="0" w:space="0" w:color="auto"/>
            <w:right w:val="none" w:sz="0" w:space="0" w:color="auto"/>
          </w:divBdr>
        </w:div>
        <w:div w:id="422724101">
          <w:marLeft w:val="720"/>
          <w:marRight w:val="0"/>
          <w:marTop w:val="0"/>
          <w:marBottom w:val="0"/>
          <w:divBdr>
            <w:top w:val="none" w:sz="0" w:space="0" w:color="auto"/>
            <w:left w:val="none" w:sz="0" w:space="0" w:color="auto"/>
            <w:bottom w:val="none" w:sz="0" w:space="0" w:color="auto"/>
            <w:right w:val="none" w:sz="0" w:space="0" w:color="auto"/>
          </w:divBdr>
        </w:div>
        <w:div w:id="1959289467">
          <w:marLeft w:val="720"/>
          <w:marRight w:val="0"/>
          <w:marTop w:val="0"/>
          <w:marBottom w:val="0"/>
          <w:divBdr>
            <w:top w:val="none" w:sz="0" w:space="0" w:color="auto"/>
            <w:left w:val="none" w:sz="0" w:space="0" w:color="auto"/>
            <w:bottom w:val="none" w:sz="0" w:space="0" w:color="auto"/>
            <w:right w:val="none" w:sz="0" w:space="0" w:color="auto"/>
          </w:divBdr>
        </w:div>
        <w:div w:id="12249531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sdoc.unesco.org/ark:/48223/pf0000379054.locale=en"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eanexpert.org/document/3335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document/32672" TargetMode="External"/><Relationship Id="rId5" Type="http://schemas.openxmlformats.org/officeDocument/2006/relationships/numbering" Target="numbering.xml"/><Relationship Id="rId15" Type="http://schemas.openxmlformats.org/officeDocument/2006/relationships/hyperlink" Target="https://unesdoc.unesco.org/ark:/48223/pf000022686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sdoc.unesco.org/ark:/48223/pf000038138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133914A86DDA4ABCCCFF07E8C0D63B" ma:contentTypeVersion="25" ma:contentTypeDescription="Create a new document." ma:contentTypeScope="" ma:versionID="8985174ac8e620b0772837996f13b913">
  <xsd:schema xmlns:xsd="http://www.w3.org/2001/XMLSchema" xmlns:xs="http://www.w3.org/2001/XMLSchema" xmlns:p="http://schemas.microsoft.com/office/2006/metadata/properties" xmlns:ns2="37289dc8-d0c9-47c1-9240-66a74fc3f87d" xmlns:ns3="953775bb-7f87-4052-b16f-b02ba07db91b" targetNamespace="http://schemas.microsoft.com/office/2006/metadata/properties" ma:root="true" ma:fieldsID="e0442181f49239b11ea28cfaa1c52241" ns2:_="" ns3:_="">
    <xsd:import namespace="37289dc8-d0c9-47c1-9240-66a74fc3f87d"/>
    <xsd:import namespace="953775bb-7f87-4052-b16f-b02ba07db91b"/>
    <xsd:element name="properties">
      <xsd:complexType>
        <xsd:sequence>
          <xsd:element name="documentManagement">
            <xsd:complexType>
              <xsd:all>
                <xsd:element ref="ns2:Partner" minOccurs="0"/>
                <xsd:element ref="ns2:DocumentType"/>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Audience" minOccurs="0"/>
                <xsd:element ref="ns2:MediaServiceObjectDetectorVersions" minOccurs="0"/>
                <xsd:element ref="ns2:Comments" minOccurs="0"/>
                <xsd:element ref="ns2:Project"/>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89dc8-d0c9-47c1-9240-66a74fc3f87d" elementFormDefault="qualified">
    <xsd:import namespace="http://schemas.microsoft.com/office/2006/documentManagement/types"/>
    <xsd:import namespace="http://schemas.microsoft.com/office/infopath/2007/PartnerControls"/>
    <xsd:element name="Partner" ma:index="2" nillable="true" ma:displayName="Partner" ma:default="SDR Hub Internal" ma:format="Dropdown" ma:internalName="Partner"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UNESCO"/>
                        <xsd:enumeration value="SDR Hub Internal"/>
                        <xsd:enumeration value="Ocean Panel"/>
                        <xsd:enumeration value="PBSP"/>
                        <xsd:enumeration value="GOAP"/>
                      </xsd:restriction>
                    </xsd:simpleType>
                  </xsd:union>
                </xsd:simpleType>
              </xsd:element>
            </xsd:sequence>
          </xsd:extension>
        </xsd:complexContent>
      </xsd:complexType>
    </xsd:element>
    <xsd:element name="DocumentType" ma:index="3" ma:displayName="Document Type" ma:format="Dropdown" ma:internalName="DocumentType">
      <xsd:simpleType>
        <xsd:restriction base="dms:Choice">
          <xsd:enumeration value="Concept Note"/>
          <xsd:enumeration value="Meeting Report"/>
          <xsd:enumeration value="Technical Note"/>
          <xsd:enumeration value="Technical Report"/>
          <xsd:enumeration value="Journal Article"/>
          <xsd:enumeration value="Briefing Paper"/>
          <xsd:enumeration value="Information sheet"/>
          <xsd:enumeration value="Event agenda"/>
          <xsd:enumeration value="Presentation"/>
          <xsd:enumeration value="Correspondence"/>
          <xsd:enumeration value="Internal Note"/>
          <xsd:enumeration value="Internal Proposal"/>
          <xsd:enumeration value="Blog post"/>
          <xsd:enumeration value="Visual Asset"/>
          <xsd:enumeration value="Codebase"/>
          <xsd:enumeration value="ML Training Data"/>
          <xsd:enumeration value="Knowledge"/>
          <xsd:enumeration value="Contract documentation"/>
          <xsd:enumeration value="External proposal"/>
          <xsd:enumeration value="Newsletter draft"/>
          <xsd:enumeration value="Comms Brief"/>
          <xsd:enumeration value="Invitation"/>
          <xsd:enumeration value="Invoice"/>
          <xsd:enumeration value="Budge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udience" ma:index="21" nillable="true" ma:displayName="Audience" ma:format="Dropdown" ma:hidden="true" ma:internalName="Audience" ma:readOnly="false">
      <xsd:complexType>
        <xsd:complexContent>
          <xsd:extension base="dms:MultiChoiceFillIn">
            <xsd:sequence>
              <xsd:element name="Value" maxOccurs="unbounded" minOccurs="0" nillable="true">
                <xsd:simpleType>
                  <xsd:union memberTypes="dms:Text">
                    <xsd:simpleType>
                      <xsd:restriction base="dms:Choice">
                        <xsd:enumeration value="PBSP"/>
                        <xsd:enumeration value="GOAP"/>
                        <xsd:enumeration value="UNSW"/>
                      </xsd:restriction>
                    </xsd:simpleType>
                  </xsd:union>
                </xsd:simple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ments" ma:index="25" nillable="true" ma:displayName="Comments" ma:format="Dropdown" ma:internalName="Comments">
      <xsd:simpleType>
        <xsd:restriction base="dms:Text">
          <xsd:maxLength value="255"/>
        </xsd:restriction>
      </xsd:simpleType>
    </xsd:element>
    <xsd:element name="Project" ma:index="26" ma:displayName="Project" ma:description="Use this column to specify a specific project, event or content theme" ma:format="Dropdown" ma:internalName="Project">
      <xsd:simpleType>
        <xsd:union memberTypes="dms:Text">
          <xsd:simpleType>
            <xsd:restriction base="dms:Choice">
              <xsd:enumeration value="Membership"/>
              <xsd:enumeration value="4th GD"/>
              <xsd:enumeration value="5th GD"/>
              <xsd:enumeration value="Communications"/>
              <xsd:enumeration value="SEEA Ocean WG"/>
              <xsd:enumeration value="Our Ocean 23"/>
              <xsd:enumeration value="Internal operations"/>
              <xsd:enumeration value="BPF"/>
              <xsd:enumeration value="BCAF"/>
              <xsd:enumeration value="Maldives"/>
            </xsd:restriction>
          </xsd:simpleType>
        </xsd:un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775bb-7f87-4052-b16f-b02ba07db91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04a3f4cd-7e24-43e3-bee0-c075c828180e}" ma:internalName="TaxCatchAll" ma:readOnly="false" ma:showField="CatchAllData" ma:web="953775bb-7f87-4052-b16f-b02ba07db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289dc8-d0c9-47c1-9240-66a74fc3f87d">
      <Terms xmlns="http://schemas.microsoft.com/office/infopath/2007/PartnerControls"/>
    </lcf76f155ced4ddcb4097134ff3c332f>
    <Audience xmlns="37289dc8-d0c9-47c1-9240-66a74fc3f87d" xsi:nil="true"/>
    <Comments xmlns="37289dc8-d0c9-47c1-9240-66a74fc3f87d" xsi:nil="true"/>
    <Project xmlns="37289dc8-d0c9-47c1-9240-66a74fc3f87d">UNESCO</Project>
    <Partner xmlns="37289dc8-d0c9-47c1-9240-66a74fc3f87d">
      <Value>UNESCO</Value>
    </Partner>
    <DocumentType xmlns="37289dc8-d0c9-47c1-9240-66a74fc3f87d">Technical Note</DocumentType>
    <TaxCatchAll xmlns="953775bb-7f87-4052-b16f-b02ba07db91b" xsi:nil="true"/>
  </documentManagement>
</p:properties>
</file>

<file path=customXml/itemProps1.xml><?xml version="1.0" encoding="utf-8"?>
<ds:datastoreItem xmlns:ds="http://schemas.openxmlformats.org/officeDocument/2006/customXml" ds:itemID="{E7DAEB31-C3A6-4602-AA99-83F446EA18BD}">
  <ds:schemaRefs>
    <ds:schemaRef ds:uri="http://schemas.microsoft.com/sharepoint/v3/contenttype/forms"/>
  </ds:schemaRefs>
</ds:datastoreItem>
</file>

<file path=customXml/itemProps2.xml><?xml version="1.0" encoding="utf-8"?>
<ds:datastoreItem xmlns:ds="http://schemas.openxmlformats.org/officeDocument/2006/customXml" ds:itemID="{115C27AC-61E8-B347-9F63-4BDAAEDD66D7}">
  <ds:schemaRefs>
    <ds:schemaRef ds:uri="http://schemas.openxmlformats.org/officeDocument/2006/bibliography"/>
  </ds:schemaRefs>
</ds:datastoreItem>
</file>

<file path=customXml/itemProps3.xml><?xml version="1.0" encoding="utf-8"?>
<ds:datastoreItem xmlns:ds="http://schemas.openxmlformats.org/officeDocument/2006/customXml" ds:itemID="{001BFD6B-B220-4055-988E-1734BAD84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89dc8-d0c9-47c1-9240-66a74fc3f87d"/>
    <ds:schemaRef ds:uri="953775bb-7f87-4052-b16f-b02ba07d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C377C-553E-4405-90AE-B9004109060D}">
  <ds:schemaRefs>
    <ds:schemaRef ds:uri="http://schemas.microsoft.com/office/2006/metadata/properties"/>
    <ds:schemaRef ds:uri="http://schemas.microsoft.com/office/infopath/2007/PartnerControls"/>
    <ds:schemaRef ds:uri="37289dc8-d0c9-47c1-9240-66a74fc3f87d"/>
    <ds:schemaRef ds:uri="953775bb-7f87-4052-b16f-b02ba07db91b"/>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7831</Words>
  <Characters>44559</Characters>
  <Application>Microsoft Office Word</Application>
  <DocSecurity>0</DocSecurity>
  <Lines>990</Lines>
  <Paragraphs>220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estrategia para toda la COI sobre la planificación y gestión sostenibles del océano (2024-2030)</dc:title>
  <dc:subject>IOC/EC-57/4.3.Doc(1).Rev.</dc:subject>
  <dc:creator>Diwa, Johanna Paula</dc:creator>
  <cp:keywords/>
  <dc:description/>
  <cp:lastModifiedBy>Burgos Pratx, Juan Pablo</cp:lastModifiedBy>
  <cp:revision>4</cp:revision>
  <cp:lastPrinted>2024-06-03T14:45:00Z</cp:lastPrinted>
  <dcterms:created xsi:type="dcterms:W3CDTF">2024-06-12T09:08:00Z</dcterms:created>
  <dcterms:modified xsi:type="dcterms:W3CDTF">2024-06-12T09:16:00Z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0x01010071133914A86DDA4ABCCCFF07E8C0D63B</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karin.bou.habib</vt:lpwstr>
  </property>
  <property fmtid="{D5CDD505-2E9C-101B-9397-08002B2CF9AE}" pid="6" name="GeneratedDate">
    <vt:lpwstr>06/06/2024 17:36:25</vt:lpwstr>
  </property>
  <property fmtid="{D5CDD505-2E9C-101B-9397-08002B2CF9AE}" pid="7" name="OriginalDocID">
    <vt:lpwstr>781183d8-383f-43d5-b9b7-c6a138f47b4f</vt:lpwstr>
  </property>
  <property fmtid="{D5CDD505-2E9C-101B-9397-08002B2CF9AE}" pid="8" name="JobDCPMS">
    <vt:lpwstr>202402841</vt:lpwstr>
  </property>
  <property fmtid="{D5CDD505-2E9C-101B-9397-08002B2CF9AE}" pid="9" name="Language">
    <vt:lpwstr>S</vt:lpwstr>
  </property>
</Properties>
</file>