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640C2" w14:paraId="2B40D62D" w14:textId="77777777">
        <w:trPr>
          <w:jc w:val="center"/>
        </w:trPr>
        <w:tc>
          <w:tcPr>
            <w:tcW w:w="7654" w:type="dxa"/>
            <w:tcMar>
              <w:top w:w="170" w:type="dxa"/>
              <w:left w:w="170" w:type="dxa"/>
              <w:bottom w:w="170" w:type="dxa"/>
              <w:right w:w="170" w:type="dxa"/>
            </w:tcMar>
          </w:tcPr>
          <w:p w14:paraId="6734FCE5" w14:textId="77777777" w:rsidR="00467E3F" w:rsidRPr="006640C2" w:rsidRDefault="00B83068" w:rsidP="00853565">
            <w:pPr>
              <w:pStyle w:val="Marge"/>
              <w:jc w:val="center"/>
              <w:rPr>
                <w:rFonts w:cs="Arial"/>
                <w:szCs w:val="22"/>
              </w:rPr>
            </w:pPr>
            <w:r w:rsidRPr="006640C2">
              <w:rPr>
                <w:rFonts w:cs="Arial"/>
                <w:szCs w:val="22"/>
                <w:u w:val="single"/>
              </w:rPr>
              <w:t>Summary</w:t>
            </w:r>
          </w:p>
          <w:p w14:paraId="28F5E006" w14:textId="70FE7E61" w:rsidR="00413F17" w:rsidRDefault="00101081" w:rsidP="00467E3F">
            <w:pPr>
              <w:pStyle w:val="Marge"/>
              <w:spacing w:after="120"/>
              <w:rPr>
                <w:rFonts w:cs="Arial"/>
                <w:szCs w:val="22"/>
              </w:rPr>
            </w:pPr>
            <w:r w:rsidRPr="00101081">
              <w:rPr>
                <w:rFonts w:cs="Arial"/>
                <w:szCs w:val="22"/>
              </w:rPr>
              <w:t>This report is pursuant to the decision of the IHO-IOC GEBCO Guiding Committee</w:t>
            </w:r>
            <w:r>
              <w:rPr>
                <w:rFonts w:cs="Arial"/>
                <w:szCs w:val="22"/>
              </w:rPr>
              <w:t xml:space="preserve"> to launch a GEBCO governance review in 2022 and IOC Assembly Decision </w:t>
            </w:r>
            <w:r w:rsidRPr="00770B0B">
              <w:rPr>
                <w:rFonts w:cs="Arial"/>
                <w:szCs w:val="22"/>
              </w:rPr>
              <w:t>A-32/Dec.4.1</w:t>
            </w:r>
            <w:r>
              <w:rPr>
                <w:rFonts w:cs="Arial"/>
                <w:szCs w:val="22"/>
              </w:rPr>
              <w:t xml:space="preserve"> to present the outcomes to this session of the IOC Executive Council. This full report prepared by the </w:t>
            </w:r>
            <w:r w:rsidRPr="00101081">
              <w:rPr>
                <w:rFonts w:cs="Arial"/>
                <w:szCs w:val="22"/>
              </w:rPr>
              <w:t>GEBCO Governance Review Project Team</w:t>
            </w:r>
            <w:r>
              <w:rPr>
                <w:rFonts w:cs="Arial"/>
                <w:szCs w:val="22"/>
              </w:rPr>
              <w:t xml:space="preserve"> is appended to this summary of conclusions and recommendations. </w:t>
            </w:r>
          </w:p>
          <w:p w14:paraId="17A43C3E" w14:textId="0EFC8DEF" w:rsidR="00AD4DED" w:rsidRPr="006640C2" w:rsidRDefault="00101081" w:rsidP="00376E9C">
            <w:pPr>
              <w:pStyle w:val="Marge"/>
              <w:spacing w:after="120"/>
              <w:rPr>
                <w:rFonts w:cs="Arial"/>
                <w:szCs w:val="22"/>
              </w:rPr>
            </w:pPr>
            <w:r w:rsidRPr="00101081">
              <w:rPr>
                <w:rFonts w:cs="Arial"/>
                <w:szCs w:val="22"/>
              </w:rPr>
              <w:t>This document should be read in the light of the new strategy for GEBCO presented to this Council in Information Document IOC/INF-1538.</w:t>
            </w:r>
            <w:r w:rsidR="00376E9C">
              <w:rPr>
                <w:rFonts w:cs="Arial"/>
                <w:szCs w:val="22"/>
              </w:rPr>
              <w:t xml:space="preserve"> </w:t>
            </w:r>
            <w:r w:rsidR="00376E9C" w:rsidRPr="00376E9C">
              <w:rPr>
                <w:rFonts w:cs="Arial"/>
                <w:szCs w:val="22"/>
              </w:rPr>
              <w:t xml:space="preserve">The </w:t>
            </w:r>
            <w:r w:rsidR="00376E9C">
              <w:rPr>
                <w:rFonts w:cs="Arial"/>
                <w:szCs w:val="22"/>
              </w:rPr>
              <w:t>Executive Council</w:t>
            </w:r>
            <w:r w:rsidR="00376E9C" w:rsidRPr="00376E9C">
              <w:rPr>
                <w:rFonts w:cs="Arial"/>
                <w:szCs w:val="22"/>
              </w:rPr>
              <w:t xml:space="preserve"> is invited to comment on the results of this analysis with a view to an </w:t>
            </w:r>
            <w:r w:rsidR="00AC48B4">
              <w:rPr>
                <w:rFonts w:cs="Arial"/>
                <w:szCs w:val="22"/>
              </w:rPr>
              <w:t>implementation</w:t>
            </w:r>
            <w:r w:rsidR="00AC48B4" w:rsidRPr="00376E9C">
              <w:rPr>
                <w:rFonts w:cs="Arial"/>
                <w:szCs w:val="22"/>
              </w:rPr>
              <w:t xml:space="preserve"> </w:t>
            </w:r>
            <w:r w:rsidR="00376E9C" w:rsidRPr="00376E9C">
              <w:rPr>
                <w:rFonts w:cs="Arial"/>
                <w:szCs w:val="22"/>
              </w:rPr>
              <w:t xml:space="preserve">plan to be developed by the </w:t>
            </w:r>
            <w:r w:rsidR="00376E9C">
              <w:rPr>
                <w:rFonts w:cs="Arial"/>
                <w:szCs w:val="22"/>
              </w:rPr>
              <w:t>GEBCO Guiding Committee</w:t>
            </w:r>
            <w:r w:rsidR="00376E9C" w:rsidRPr="00376E9C">
              <w:rPr>
                <w:rFonts w:cs="Arial"/>
                <w:szCs w:val="22"/>
              </w:rPr>
              <w:t>.</w:t>
            </w:r>
          </w:p>
          <w:p w14:paraId="0B7DDC3C" w14:textId="37C1371D" w:rsidR="002F14B3" w:rsidRPr="008118EE" w:rsidRDefault="002F14B3" w:rsidP="002F14B3">
            <w:pPr>
              <w:pStyle w:val="Marge"/>
              <w:spacing w:after="120"/>
              <w:rPr>
                <w:rFonts w:cs="Arial"/>
                <w:szCs w:val="22"/>
              </w:rPr>
            </w:pPr>
            <w:r w:rsidRPr="008118EE">
              <w:rPr>
                <w:rFonts w:cs="Arial"/>
                <w:szCs w:val="22"/>
                <w:u w:val="single"/>
              </w:rPr>
              <w:t>Financial and administrative implications</w:t>
            </w:r>
            <w:r w:rsidRPr="008118EE">
              <w:rPr>
                <w:rFonts w:cs="Arial"/>
                <w:szCs w:val="22"/>
              </w:rPr>
              <w:t xml:space="preserve">: </w:t>
            </w:r>
            <w:r w:rsidR="00AC48B4">
              <w:rPr>
                <w:rFonts w:cs="Arial"/>
                <w:szCs w:val="22"/>
              </w:rPr>
              <w:t>These will be considered within the 42C/5 approved programme and budget.</w:t>
            </w:r>
          </w:p>
          <w:p w14:paraId="4A5EA084" w14:textId="4E5E1AFB" w:rsidR="00737A18" w:rsidRPr="006640C2" w:rsidRDefault="002F14B3" w:rsidP="002F14B3">
            <w:pPr>
              <w:pStyle w:val="Marge"/>
              <w:spacing w:after="120"/>
              <w:rPr>
                <w:rFonts w:cs="Arial"/>
                <w:szCs w:val="22"/>
              </w:rPr>
            </w:pPr>
            <w:r w:rsidRPr="008118EE">
              <w:rPr>
                <w:rFonts w:cs="Arial"/>
                <w:szCs w:val="22"/>
                <w:u w:val="single"/>
              </w:rPr>
              <w:t>The proposed decision</w:t>
            </w:r>
            <w:r w:rsidRPr="008118EE">
              <w:rPr>
                <w:rFonts w:cs="Arial"/>
                <w:szCs w:val="22"/>
              </w:rPr>
              <w:t xml:space="preserve"> is referenced </w:t>
            </w:r>
            <w:r w:rsidRPr="008118EE">
              <w:t xml:space="preserve">as </w:t>
            </w:r>
            <w:r w:rsidRPr="007D2AFC">
              <w:rPr>
                <w:rFonts w:eastAsia="Calibri" w:cs="Arial"/>
                <w:bCs/>
                <w:u w:val="single"/>
              </w:rPr>
              <w:t>Draft Resolution EC-5</w:t>
            </w:r>
            <w:r>
              <w:rPr>
                <w:rFonts w:eastAsia="Calibri" w:cs="Arial"/>
                <w:bCs/>
                <w:u w:val="single"/>
              </w:rPr>
              <w:t>7</w:t>
            </w:r>
            <w:r w:rsidRPr="007D2AFC">
              <w:rPr>
                <w:rFonts w:eastAsia="Calibri" w:cs="Arial"/>
                <w:bCs/>
                <w:u w:val="single"/>
              </w:rPr>
              <w:t>/[4.</w:t>
            </w:r>
            <w:r w:rsidR="00AD4DED">
              <w:rPr>
                <w:rFonts w:eastAsia="Calibri" w:cs="Arial"/>
                <w:bCs/>
                <w:u w:val="single"/>
              </w:rPr>
              <w:t>4.II</w:t>
            </w:r>
            <w:r w:rsidRPr="007D2AFC">
              <w:rPr>
                <w:rFonts w:eastAsia="Calibri" w:cs="Arial"/>
                <w:bCs/>
                <w:u w:val="single"/>
              </w:rPr>
              <w:t>]</w:t>
            </w:r>
            <w:r w:rsidRPr="00AC09DE">
              <w:rPr>
                <w:rFonts w:eastAsia="Calibri" w:cs="Arial"/>
                <w:bCs/>
              </w:rPr>
              <w:t xml:space="preserve"> </w:t>
            </w:r>
            <w:r w:rsidRPr="008118EE">
              <w:rPr>
                <w:rFonts w:cs="Arial"/>
                <w:szCs w:val="22"/>
              </w:rPr>
              <w:t xml:space="preserve">in the </w:t>
            </w:r>
            <w:r w:rsidR="00250081">
              <w:rPr>
                <w:rFonts w:cs="Arial"/>
                <w:szCs w:val="22"/>
              </w:rPr>
              <w:t xml:space="preserve">revised </w:t>
            </w:r>
            <w:r w:rsidRPr="008118EE">
              <w:rPr>
                <w:rFonts w:cs="Arial"/>
                <w:szCs w:val="22"/>
              </w:rPr>
              <w:t>Action Paper (document IOC/</w:t>
            </w:r>
            <w:r>
              <w:rPr>
                <w:rFonts w:cs="Arial"/>
                <w:szCs w:val="22"/>
              </w:rPr>
              <w:t>EC-57/</w:t>
            </w:r>
            <w:r w:rsidRPr="008118EE">
              <w:rPr>
                <w:rFonts w:cs="Arial"/>
                <w:szCs w:val="22"/>
              </w:rPr>
              <w:t>AP Prov.</w:t>
            </w:r>
            <w:r>
              <w:rPr>
                <w:rFonts w:cs="Arial"/>
                <w:szCs w:val="22"/>
              </w:rPr>
              <w:t xml:space="preserve"> Rev.</w:t>
            </w:r>
            <w:r w:rsidRPr="008118EE">
              <w:rPr>
                <w:rFonts w:cs="Arial"/>
                <w:szCs w:val="22"/>
              </w:rPr>
              <w:t>)</w:t>
            </w:r>
          </w:p>
        </w:tc>
      </w:tr>
    </w:tbl>
    <w:p w14:paraId="7165373D" w14:textId="77777777" w:rsidR="00746B89" w:rsidRPr="006640C2" w:rsidRDefault="00746B89" w:rsidP="005C7A36">
      <w:pPr>
        <w:pStyle w:val="Heading3"/>
        <w:sectPr w:rsidR="00746B89" w:rsidRPr="006640C2" w:rsidSect="003F7186">
          <w:headerReference w:type="even" r:id="rId8"/>
          <w:headerReference w:type="default" r:id="rId9"/>
          <w:headerReference w:type="first" r:id="rId10"/>
          <w:type w:val="continuous"/>
          <w:pgSz w:w="11906" w:h="16838" w:code="9"/>
          <w:pgMar w:top="1418" w:right="1134" w:bottom="1134" w:left="1134" w:header="709" w:footer="680" w:gutter="0"/>
          <w:pgNumType w:start="1"/>
          <w:cols w:space="708"/>
          <w:titlePg/>
          <w:docGrid w:linePitch="360"/>
        </w:sectPr>
      </w:pPr>
    </w:p>
    <w:p w14:paraId="4452D05C" w14:textId="0015604C" w:rsidR="00737A18" w:rsidRPr="006640C2" w:rsidRDefault="00FD3B3A" w:rsidP="009026D3">
      <w:pPr>
        <w:pStyle w:val="Heading3"/>
      </w:pPr>
      <w:r w:rsidRPr="006640C2">
        <w:lastRenderedPageBreak/>
        <w:t>Context</w:t>
      </w:r>
    </w:p>
    <w:p w14:paraId="7AD3D068" w14:textId="77777777" w:rsidR="00AD4DED" w:rsidRDefault="00AD4DED" w:rsidP="00AD4DED">
      <w:pPr>
        <w:pStyle w:val="COI"/>
      </w:pPr>
      <w:r>
        <w:t>The GEBCO (General Bathymetric Chart of the Oceans) Governance Review Report provides an in-depth analysis of the entity’s governance structures and practices, aimed at enhancing its operational efficiency and alignment with the strategic objectives of its parent organizations, the International Hydrographic Organization (IHO) and the Intergovernmental Oceanographic Commission (IOC) of UNESCO. The review was motivated by the recognition of the rapidly changing ocean science and seabed mapping landscape, necessitating a more robust programme management and continuous improvement approach.</w:t>
      </w:r>
    </w:p>
    <w:p w14:paraId="2AEF2F47" w14:textId="77777777" w:rsidR="00AD4DED" w:rsidRDefault="00AD4DED" w:rsidP="00AD4DED">
      <w:pPr>
        <w:pStyle w:val="COI"/>
      </w:pPr>
      <w:r>
        <w:t>Key components of the review include an examination of the organizational and governance arrangements within GEBCO, its committees, and its interactions with external bodies. The review also highlights the importance of GEBCO's work considering the UN Decade of Ocean Science for Sustainable Development and the need for increased international coordination in ocean data collection.</w:t>
      </w:r>
    </w:p>
    <w:p w14:paraId="34F57642" w14:textId="77777777" w:rsidR="00AD4DED" w:rsidRDefault="00AD4DED" w:rsidP="00AD4DED">
      <w:pPr>
        <w:pStyle w:val="COI"/>
      </w:pPr>
      <w:r>
        <w:t>Findings and recommendations address the need for clearer governance structures, enhanced stakeholder engagement, risk management practices, and the establishment of a continuous improvement culture. The review emphasizes the importance of aligning GEBCO's work with the newly commissioned GEBCO Strategy, which was developed in parallel to this governance review.</w:t>
      </w:r>
    </w:p>
    <w:p w14:paraId="47C6960C" w14:textId="77777777" w:rsidR="00AD4DED" w:rsidRDefault="00AD4DED" w:rsidP="00AD4DED">
      <w:pPr>
        <w:pStyle w:val="COI"/>
      </w:pPr>
      <w:r>
        <w:t>The report suggests several next steps, including the presentation of the report to the GEBCO Guiding Committee (GGC) for consideration, individual evaluation of recommendations, the development of an implementation plan, and the integration of a continuous improvement regime. Additionally, it calls for a governance review of the Sub-Committee on Undersea Feature Names (SCUFN) and an examination of the oversight of the Nippon Foundation-GEBCO Seabed 2030 project.</w:t>
      </w:r>
    </w:p>
    <w:p w14:paraId="38103EF3" w14:textId="28771C8F" w:rsidR="009026D3" w:rsidRPr="006640C2" w:rsidRDefault="00AD4DED" w:rsidP="00AD4DED">
      <w:pPr>
        <w:pStyle w:val="COI"/>
      </w:pPr>
      <w:r>
        <w:t>In conclusion, the review outlines the necessity for GEBCO to evolve its governance structures and processes to remain relevant and effective in the changing landscape of ocean science and seabed mapping.</w:t>
      </w:r>
    </w:p>
    <w:p w14:paraId="114ACA6D" w14:textId="1BAA2C2D" w:rsidR="00853565" w:rsidRPr="006640C2" w:rsidRDefault="00AD4DED" w:rsidP="00FD3B3A">
      <w:pPr>
        <w:pStyle w:val="Heading3"/>
      </w:pPr>
      <w:r w:rsidRPr="00BF0FDA">
        <w:t xml:space="preserve">Conclusion and </w:t>
      </w:r>
      <w:r>
        <w:t>N</w:t>
      </w:r>
      <w:r w:rsidRPr="00BF0FDA">
        <w:t xml:space="preserve">ext </w:t>
      </w:r>
      <w:r>
        <w:t>S</w:t>
      </w:r>
      <w:r w:rsidRPr="00BF0FDA">
        <w:t>teps</w:t>
      </w:r>
    </w:p>
    <w:p w14:paraId="07AAB563" w14:textId="77777777" w:rsidR="00AD4DED" w:rsidRDefault="00AD4DED" w:rsidP="00AD4DED">
      <w:pPr>
        <w:pStyle w:val="COI"/>
      </w:pPr>
      <w:r>
        <w:t>The governance review process was significantly more extensive and complex than initially anticipated, highlighting the intricate nature of the structures involved. Central to the issues identified were the need for better formalization of processes and a clearer definition of roles, responsibilities, and accountabilities, which combined may result in a systemic lack of clarity that could hamper operational effectiveness. A key gap identified was the absence of dedicated programme management resource which would ideally bridge the operational gap between the Sub-Committee Chairs and the GGC.</w:t>
      </w:r>
    </w:p>
    <w:p w14:paraId="3AFD480B" w14:textId="77777777" w:rsidR="00AD4DED" w:rsidRDefault="00AD4DED" w:rsidP="00AD4DED">
      <w:pPr>
        <w:pStyle w:val="COI"/>
      </w:pPr>
      <w:r>
        <w:t>A key finding is the need to review the GGC in terms of its size, structure, and function. This reform is deemed essential and should involve the parent organizations. Further, particular care should be taken to avoid dilution of purpose and effectiveness by expanding the GGC membership in the quest for inclusivity.</w:t>
      </w:r>
    </w:p>
    <w:p w14:paraId="6D48FACD" w14:textId="0D1E9ED2" w:rsidR="00FD3B3A" w:rsidRDefault="00AD4DED" w:rsidP="00AD4DED">
      <w:pPr>
        <w:pStyle w:val="COI"/>
      </w:pPr>
      <w:r>
        <w:t xml:space="preserve">As GEBCO </w:t>
      </w:r>
      <w:proofErr w:type="gramStart"/>
      <w:r>
        <w:t>continues on</w:t>
      </w:r>
      <w:proofErr w:type="gramEnd"/>
      <w:r>
        <w:t xml:space="preserve"> its growth trajectory, it</w:t>
      </w:r>
      <w:r w:rsidR="002F2ABA">
        <w:t xml:space="preserve"> i</w:t>
      </w:r>
      <w:r>
        <w:t>s clear that its governance practices must evolve in tandem to support this development effectively. The absence of a GEBCO strategy during the governance review limited the ability to pinpoint specific structural reforms. This highlights the necessity for future governance iterations to be closely aligned with the new strategy once in place, integrating a continuous improvement regime as a fundamental aspect of GEBCO's operational ethos. Together, these observations paint a picture of an organization at a crossroads, where strategic planning, clarity in governance, and the establishment of dedicated management resources are critical for its future direction and effectiveness.</w:t>
      </w:r>
    </w:p>
    <w:p w14:paraId="01C42D87" w14:textId="757B5832" w:rsidR="00AD4DED" w:rsidRDefault="00AD4DED" w:rsidP="00AD4DED">
      <w:pPr>
        <w:pStyle w:val="Heading3"/>
      </w:pPr>
      <w:r>
        <w:lastRenderedPageBreak/>
        <w:t xml:space="preserve">List </w:t>
      </w:r>
      <w:r w:rsidRPr="00BF0FDA">
        <w:t xml:space="preserve">of </w:t>
      </w:r>
      <w:r>
        <w:t>Recommendations</w:t>
      </w:r>
    </w:p>
    <w:tbl>
      <w:tblPr>
        <w:tblStyle w:val="TableGrid"/>
        <w:tblW w:w="5000" w:type="pct"/>
        <w:tblLook w:val="04A0" w:firstRow="1" w:lastRow="0" w:firstColumn="1" w:lastColumn="0" w:noHBand="0" w:noVBand="1"/>
      </w:tblPr>
      <w:tblGrid>
        <w:gridCol w:w="1129"/>
        <w:gridCol w:w="3687"/>
        <w:gridCol w:w="4812"/>
      </w:tblGrid>
      <w:tr w:rsidR="00AD4DED" w:rsidRPr="00F63D1D" w14:paraId="1616C7B4" w14:textId="77777777" w:rsidTr="00682B2C">
        <w:trPr>
          <w:tblHeader/>
        </w:trPr>
        <w:tc>
          <w:tcPr>
            <w:tcW w:w="586" w:type="pct"/>
          </w:tcPr>
          <w:p w14:paraId="714B6F93" w14:textId="2087B352" w:rsidR="00AD4DED" w:rsidRPr="00F63D1D" w:rsidRDefault="00AD4DED" w:rsidP="00D376B6">
            <w:pPr>
              <w:rPr>
                <w:b/>
                <w:bCs/>
              </w:rPr>
            </w:pPr>
            <w:r w:rsidRPr="00F63D1D">
              <w:rPr>
                <w:b/>
                <w:bCs/>
              </w:rPr>
              <w:t>Section Number</w:t>
            </w:r>
            <w:r w:rsidR="00682B2C">
              <w:rPr>
                <w:rStyle w:val="FootnoteReference"/>
                <w:b/>
                <w:bCs/>
              </w:rPr>
              <w:footnoteReference w:id="1"/>
            </w:r>
          </w:p>
        </w:tc>
        <w:tc>
          <w:tcPr>
            <w:tcW w:w="1914" w:type="pct"/>
          </w:tcPr>
          <w:p w14:paraId="76044F83" w14:textId="77777777" w:rsidR="00AD4DED" w:rsidRPr="00F63D1D" w:rsidRDefault="00AD4DED" w:rsidP="00D376B6">
            <w:pPr>
              <w:rPr>
                <w:b/>
                <w:bCs/>
              </w:rPr>
            </w:pPr>
            <w:r w:rsidRPr="00F63D1D">
              <w:rPr>
                <w:b/>
                <w:bCs/>
              </w:rPr>
              <w:t>Subject</w:t>
            </w:r>
          </w:p>
        </w:tc>
        <w:tc>
          <w:tcPr>
            <w:tcW w:w="2499" w:type="pct"/>
          </w:tcPr>
          <w:p w14:paraId="1E6B5133" w14:textId="77777777" w:rsidR="00AD4DED" w:rsidRPr="00F63D1D" w:rsidRDefault="00AD4DED" w:rsidP="00D376B6">
            <w:pPr>
              <w:rPr>
                <w:b/>
                <w:bCs/>
              </w:rPr>
            </w:pPr>
            <w:r w:rsidRPr="00F63D1D">
              <w:rPr>
                <w:b/>
                <w:bCs/>
              </w:rPr>
              <w:t>Recommendation</w:t>
            </w:r>
          </w:p>
        </w:tc>
      </w:tr>
      <w:tr w:rsidR="00AD4DED" w:rsidRPr="00F63D1D" w14:paraId="62A1D3CE" w14:textId="77777777" w:rsidTr="00682B2C">
        <w:tc>
          <w:tcPr>
            <w:tcW w:w="586" w:type="pct"/>
          </w:tcPr>
          <w:p w14:paraId="02F80462" w14:textId="77777777" w:rsidR="00AD4DED" w:rsidRPr="00F63D1D" w:rsidRDefault="00AD4DED" w:rsidP="00D376B6">
            <w:r w:rsidRPr="00F63D1D">
              <w:t>8.1</w:t>
            </w:r>
          </w:p>
        </w:tc>
        <w:tc>
          <w:tcPr>
            <w:tcW w:w="1914" w:type="pct"/>
          </w:tcPr>
          <w:p w14:paraId="7FCCDBB8" w14:textId="77777777" w:rsidR="00AD4DED" w:rsidRPr="00F63D1D" w:rsidRDefault="00AD4DED" w:rsidP="00D376B6">
            <w:r>
              <w:t>Organizational Structure</w:t>
            </w:r>
          </w:p>
        </w:tc>
        <w:tc>
          <w:tcPr>
            <w:tcW w:w="2499" w:type="pct"/>
          </w:tcPr>
          <w:p w14:paraId="796CEBDF" w14:textId="2A9D1244" w:rsidR="00AD4DED" w:rsidRPr="00F63D1D" w:rsidRDefault="00AD4DED" w:rsidP="00682B2C">
            <w:r w:rsidRPr="00F63D1D">
              <w:t xml:space="preserve">The organizational diagram should be reviewed by the GGC with a definitive version agreed and included in the </w:t>
            </w:r>
            <w:proofErr w:type="spellStart"/>
            <w:r w:rsidRPr="00F63D1D">
              <w:t>ToRs</w:t>
            </w:r>
            <w:proofErr w:type="spellEnd"/>
            <w:r w:rsidRPr="00F63D1D">
              <w:t xml:space="preserve"> and </w:t>
            </w:r>
            <w:proofErr w:type="spellStart"/>
            <w:r w:rsidRPr="00F63D1D">
              <w:t>RoPs</w:t>
            </w:r>
            <w:proofErr w:type="spellEnd"/>
            <w:r w:rsidRPr="00F63D1D">
              <w:t xml:space="preserve"> of the GGC.</w:t>
            </w:r>
          </w:p>
        </w:tc>
      </w:tr>
      <w:tr w:rsidR="00AD4DED" w:rsidRPr="00F63D1D" w14:paraId="7DE42E70" w14:textId="77777777" w:rsidTr="00682B2C">
        <w:tc>
          <w:tcPr>
            <w:tcW w:w="586" w:type="pct"/>
          </w:tcPr>
          <w:p w14:paraId="7547612C" w14:textId="77777777" w:rsidR="00AD4DED" w:rsidRPr="00F63D1D" w:rsidRDefault="00AD4DED" w:rsidP="00D376B6">
            <w:r w:rsidRPr="00F63D1D">
              <w:t>8.3</w:t>
            </w:r>
          </w:p>
        </w:tc>
        <w:tc>
          <w:tcPr>
            <w:tcW w:w="1914" w:type="pct"/>
          </w:tcPr>
          <w:p w14:paraId="4E67BEEF" w14:textId="77777777" w:rsidR="00AD4DED" w:rsidRDefault="00AD4DED" w:rsidP="00D376B6">
            <w:r>
              <w:t>Relationship and Reporting Mapping – IHO – IOC</w:t>
            </w:r>
          </w:p>
          <w:p w14:paraId="7D14AAAA" w14:textId="77777777" w:rsidR="00AD4DED" w:rsidRPr="00F63D1D" w:rsidRDefault="00AD4DED" w:rsidP="00D376B6"/>
        </w:tc>
        <w:tc>
          <w:tcPr>
            <w:tcW w:w="2499" w:type="pct"/>
          </w:tcPr>
          <w:p w14:paraId="7C55AD3E" w14:textId="339FD7F3" w:rsidR="00AD4DED" w:rsidRPr="00F63D1D" w:rsidRDefault="00AD4DED" w:rsidP="00682B2C">
            <w:r w:rsidRPr="00F63D1D">
              <w:t>The MoU should be revisited and refreshed to make sure it reflects all current endeavo</w:t>
            </w:r>
            <w:r w:rsidR="00682B2C">
              <w:t>u</w:t>
            </w:r>
            <w:r w:rsidRPr="00F63D1D">
              <w:t>rs.</w:t>
            </w:r>
          </w:p>
        </w:tc>
      </w:tr>
      <w:tr w:rsidR="00AD4DED" w:rsidRPr="00F63D1D" w14:paraId="50552C76" w14:textId="77777777" w:rsidTr="00682B2C">
        <w:tc>
          <w:tcPr>
            <w:tcW w:w="586" w:type="pct"/>
          </w:tcPr>
          <w:p w14:paraId="35D675E6" w14:textId="77777777" w:rsidR="00AD4DED" w:rsidRPr="00F63D1D" w:rsidRDefault="00AD4DED" w:rsidP="00D376B6">
            <w:r w:rsidRPr="00F63D1D">
              <w:t>8.3</w:t>
            </w:r>
          </w:p>
        </w:tc>
        <w:tc>
          <w:tcPr>
            <w:tcW w:w="1914" w:type="pct"/>
          </w:tcPr>
          <w:p w14:paraId="7F75D217" w14:textId="77777777" w:rsidR="00AD4DED" w:rsidRDefault="00AD4DED" w:rsidP="00D376B6">
            <w:r>
              <w:t>Relationship and Reporting Mapping – IHO – IOC</w:t>
            </w:r>
          </w:p>
          <w:p w14:paraId="6609BEE1" w14:textId="77777777" w:rsidR="00AD4DED" w:rsidRPr="00F63D1D" w:rsidRDefault="00AD4DED" w:rsidP="00D376B6"/>
        </w:tc>
        <w:tc>
          <w:tcPr>
            <w:tcW w:w="2499" w:type="pct"/>
          </w:tcPr>
          <w:p w14:paraId="77ECBE80" w14:textId="162C5FB8" w:rsidR="00AD4DED" w:rsidRPr="00F63D1D" w:rsidRDefault="00AD4DED" w:rsidP="00682B2C">
            <w:r w:rsidRPr="00F63D1D">
              <w:t xml:space="preserve">A partnership arrangement should be established between the two </w:t>
            </w:r>
            <w:r>
              <w:t>organization</w:t>
            </w:r>
            <w:r w:rsidRPr="00F63D1D">
              <w:t>s to allow the distribution/holding of funds in the central GEBCO fund at the IHO.</w:t>
            </w:r>
          </w:p>
        </w:tc>
      </w:tr>
      <w:tr w:rsidR="00AD4DED" w:rsidRPr="00F63D1D" w14:paraId="3FFA074E" w14:textId="77777777" w:rsidTr="00682B2C">
        <w:tc>
          <w:tcPr>
            <w:tcW w:w="586" w:type="pct"/>
          </w:tcPr>
          <w:p w14:paraId="6E977D5C" w14:textId="77777777" w:rsidR="00AD4DED" w:rsidRPr="00F63D1D" w:rsidRDefault="00AD4DED" w:rsidP="00D376B6">
            <w:r w:rsidRPr="00F63D1D">
              <w:t>8.3</w:t>
            </w:r>
          </w:p>
        </w:tc>
        <w:tc>
          <w:tcPr>
            <w:tcW w:w="1914" w:type="pct"/>
          </w:tcPr>
          <w:p w14:paraId="44B1321A" w14:textId="77777777" w:rsidR="00AD4DED" w:rsidRPr="00F63D1D" w:rsidRDefault="00AD4DED" w:rsidP="00D376B6">
            <w:r>
              <w:t>Relationship and Reporting Mapping – IHO – NOAA (DCDB)</w:t>
            </w:r>
          </w:p>
        </w:tc>
        <w:tc>
          <w:tcPr>
            <w:tcW w:w="2499" w:type="pct"/>
          </w:tcPr>
          <w:p w14:paraId="78C88743" w14:textId="3F60D289" w:rsidR="00AD4DED" w:rsidRPr="00F63D1D" w:rsidRDefault="00AD4DED" w:rsidP="00682B2C">
            <w:r w:rsidRPr="00F63D1D">
              <w:t>Review the MoU periodically or after any organizational change to ensure it is current and fit for purpose.</w:t>
            </w:r>
          </w:p>
        </w:tc>
      </w:tr>
      <w:tr w:rsidR="00AD4DED" w:rsidRPr="00F63D1D" w14:paraId="79E929D5" w14:textId="77777777" w:rsidTr="00682B2C">
        <w:tc>
          <w:tcPr>
            <w:tcW w:w="586" w:type="pct"/>
          </w:tcPr>
          <w:p w14:paraId="75F71FD0" w14:textId="77777777" w:rsidR="00AD4DED" w:rsidRPr="00F63D1D" w:rsidRDefault="00AD4DED" w:rsidP="00D376B6">
            <w:r w:rsidRPr="00F63D1D">
              <w:t>8.3</w:t>
            </w:r>
          </w:p>
        </w:tc>
        <w:tc>
          <w:tcPr>
            <w:tcW w:w="1914" w:type="pct"/>
          </w:tcPr>
          <w:p w14:paraId="248C5EA8" w14:textId="77777777" w:rsidR="00AD4DED" w:rsidRPr="00F63D1D" w:rsidRDefault="00AD4DED" w:rsidP="00D376B6">
            <w:r>
              <w:t>Relationship and Reporting Mapping – IHO/IOC - GEBCO</w:t>
            </w:r>
          </w:p>
        </w:tc>
        <w:tc>
          <w:tcPr>
            <w:tcW w:w="2499" w:type="pct"/>
          </w:tcPr>
          <w:p w14:paraId="10F74A46" w14:textId="0079B08F" w:rsidR="00AD4DED" w:rsidRPr="00F63D1D" w:rsidRDefault="00AD4DED" w:rsidP="00682B2C">
            <w:r w:rsidRPr="00F63D1D">
              <w:t>The exact status of the GGC should be clarified as it relates to the IHO operating structure.</w:t>
            </w:r>
          </w:p>
        </w:tc>
      </w:tr>
      <w:tr w:rsidR="00AD4DED" w:rsidRPr="00F63D1D" w14:paraId="31AA0B4E" w14:textId="77777777" w:rsidTr="00682B2C">
        <w:tc>
          <w:tcPr>
            <w:tcW w:w="586" w:type="pct"/>
          </w:tcPr>
          <w:p w14:paraId="00F6B862" w14:textId="77777777" w:rsidR="00AD4DED" w:rsidRPr="00F63D1D" w:rsidRDefault="00AD4DED" w:rsidP="00D376B6">
            <w:r w:rsidRPr="00F63D1D">
              <w:t>8.3</w:t>
            </w:r>
          </w:p>
        </w:tc>
        <w:tc>
          <w:tcPr>
            <w:tcW w:w="1914" w:type="pct"/>
          </w:tcPr>
          <w:p w14:paraId="140C3F93" w14:textId="77777777" w:rsidR="00AD4DED" w:rsidRPr="00F63D1D" w:rsidRDefault="00AD4DED" w:rsidP="00D376B6">
            <w:r>
              <w:t>Relationship and Reporting Mapping – IHO/IOC - GEBCO</w:t>
            </w:r>
          </w:p>
        </w:tc>
        <w:tc>
          <w:tcPr>
            <w:tcW w:w="2499" w:type="pct"/>
          </w:tcPr>
          <w:p w14:paraId="6B799084" w14:textId="577708CF" w:rsidR="00AD4DED" w:rsidRPr="00F63D1D" w:rsidRDefault="00AD4DED" w:rsidP="00682B2C">
            <w:r w:rsidRPr="00F63D1D">
              <w:t xml:space="preserve">The </w:t>
            </w:r>
            <w:proofErr w:type="spellStart"/>
            <w:r w:rsidRPr="00F63D1D">
              <w:t>ToRs</w:t>
            </w:r>
            <w:proofErr w:type="spellEnd"/>
            <w:r w:rsidRPr="00F63D1D">
              <w:t xml:space="preserve"> and </w:t>
            </w:r>
            <w:proofErr w:type="spellStart"/>
            <w:r w:rsidRPr="00F63D1D">
              <w:t>RoPs</w:t>
            </w:r>
            <w:proofErr w:type="spellEnd"/>
            <w:r w:rsidRPr="00F63D1D">
              <w:t xml:space="preserve"> should be updated to reflect the GGC38 decision to reclassify the GEBCO Project as a Programme.</w:t>
            </w:r>
          </w:p>
        </w:tc>
      </w:tr>
      <w:tr w:rsidR="00AD4DED" w:rsidRPr="00F63D1D" w14:paraId="57904B44" w14:textId="77777777" w:rsidTr="00682B2C">
        <w:tc>
          <w:tcPr>
            <w:tcW w:w="586" w:type="pct"/>
          </w:tcPr>
          <w:p w14:paraId="63808E6B" w14:textId="77777777" w:rsidR="00AD4DED" w:rsidRPr="00F63D1D" w:rsidRDefault="00AD4DED" w:rsidP="00D376B6">
            <w:r w:rsidRPr="00F63D1D">
              <w:t>8.3</w:t>
            </w:r>
          </w:p>
        </w:tc>
        <w:tc>
          <w:tcPr>
            <w:tcW w:w="1914" w:type="pct"/>
          </w:tcPr>
          <w:p w14:paraId="55E48BF7" w14:textId="5FC728AA" w:rsidR="00AD4DED" w:rsidRPr="00F63D1D" w:rsidRDefault="00AD4DED" w:rsidP="00D376B6">
            <w:r>
              <w:t>Relationship and Reporting Mapping – GE</w:t>
            </w:r>
            <w:r w:rsidR="00682B2C">
              <w:t>B</w:t>
            </w:r>
            <w:r>
              <w:t>CO/SCOPE – Map the Gaps</w:t>
            </w:r>
          </w:p>
        </w:tc>
        <w:tc>
          <w:tcPr>
            <w:tcW w:w="2499" w:type="pct"/>
          </w:tcPr>
          <w:p w14:paraId="45CFFFAC" w14:textId="0C99C326" w:rsidR="00AD4DED" w:rsidRPr="00F63D1D" w:rsidRDefault="00AD4DED" w:rsidP="00682B2C">
            <w:r w:rsidRPr="00F63D1D">
              <w:t>Develop an MoU or partnership agreement that clearly sets out the nature of the relationship between GEBCO and Map the Gaps. As a minimum this should set out clearly any joint decision-making processes, liability, levels of autonomy and detail relating to branding and identify.</w:t>
            </w:r>
          </w:p>
        </w:tc>
      </w:tr>
      <w:tr w:rsidR="00AD4DED" w:rsidRPr="00F63D1D" w14:paraId="2F1CF101" w14:textId="77777777" w:rsidTr="00682B2C">
        <w:tc>
          <w:tcPr>
            <w:tcW w:w="586" w:type="pct"/>
          </w:tcPr>
          <w:p w14:paraId="55A44B1D" w14:textId="77777777" w:rsidR="00AD4DED" w:rsidRPr="00F63D1D" w:rsidRDefault="00AD4DED" w:rsidP="00D376B6">
            <w:r w:rsidRPr="00F63D1D">
              <w:t>8.3</w:t>
            </w:r>
          </w:p>
        </w:tc>
        <w:tc>
          <w:tcPr>
            <w:tcW w:w="1914" w:type="pct"/>
          </w:tcPr>
          <w:p w14:paraId="1AE28874" w14:textId="77777777" w:rsidR="00AD4DED" w:rsidRPr="00F63D1D" w:rsidRDefault="00AD4DED" w:rsidP="00D376B6">
            <w:r>
              <w:t>GGC – SB2030</w:t>
            </w:r>
          </w:p>
        </w:tc>
        <w:tc>
          <w:tcPr>
            <w:tcW w:w="2499" w:type="pct"/>
          </w:tcPr>
          <w:p w14:paraId="42AAD793" w14:textId="01E02E7F" w:rsidR="00AD4DED" w:rsidRPr="00F63D1D" w:rsidRDefault="00AD4DED" w:rsidP="00682B2C">
            <w:r w:rsidRPr="00F63D1D">
              <w:t>SB2030 Governance documentation should be reviewed, and the latest versions submitted to the GGC and SB2030 Sponsors to ensure that all parties are aware of the current governance arrangements</w:t>
            </w:r>
            <w:r>
              <w:t>.</w:t>
            </w:r>
          </w:p>
        </w:tc>
      </w:tr>
      <w:tr w:rsidR="00AD4DED" w:rsidRPr="00F63D1D" w14:paraId="08A7CE71" w14:textId="77777777" w:rsidTr="00682B2C">
        <w:tc>
          <w:tcPr>
            <w:tcW w:w="586" w:type="pct"/>
          </w:tcPr>
          <w:p w14:paraId="04567B99" w14:textId="77777777" w:rsidR="00AD4DED" w:rsidRPr="00F63D1D" w:rsidRDefault="00AD4DED" w:rsidP="00D376B6">
            <w:r w:rsidRPr="00F63D1D">
              <w:t>8.3</w:t>
            </w:r>
          </w:p>
        </w:tc>
        <w:tc>
          <w:tcPr>
            <w:tcW w:w="1914" w:type="pct"/>
          </w:tcPr>
          <w:p w14:paraId="04D053F5" w14:textId="77777777" w:rsidR="00AD4DED" w:rsidRPr="00F63D1D" w:rsidRDefault="00AD4DED" w:rsidP="00D376B6">
            <w:r>
              <w:t xml:space="preserve">Relationship and Reporting Mapping – </w:t>
            </w:r>
            <w:r>
              <w:rPr>
                <w:bCs/>
              </w:rPr>
              <w:t>SCET/GGC – NF – GEBCO Training Programme</w:t>
            </w:r>
          </w:p>
        </w:tc>
        <w:tc>
          <w:tcPr>
            <w:tcW w:w="2499" w:type="pct"/>
          </w:tcPr>
          <w:p w14:paraId="54FCFDF7" w14:textId="10647FA1" w:rsidR="00AD4DED" w:rsidRPr="00F63D1D" w:rsidRDefault="00AD4DED" w:rsidP="00682B2C">
            <w:r w:rsidRPr="00F63D1D">
              <w:t>Clarify the relationship between SCET and the NF – GEBCO Training Programme, especially as relates to oversight, and ensure that either existing instruments are adjusted, or new ones created to describe the governance arrangements.</w:t>
            </w:r>
          </w:p>
        </w:tc>
      </w:tr>
      <w:tr w:rsidR="00AD4DED" w:rsidRPr="00F63D1D" w14:paraId="51AF7358" w14:textId="77777777" w:rsidTr="00682B2C">
        <w:tc>
          <w:tcPr>
            <w:tcW w:w="586" w:type="pct"/>
          </w:tcPr>
          <w:p w14:paraId="28A77322" w14:textId="77777777" w:rsidR="00AD4DED" w:rsidRPr="00F63D1D" w:rsidRDefault="00AD4DED" w:rsidP="00D376B6">
            <w:r w:rsidRPr="00F63D1D">
              <w:t>8.3</w:t>
            </w:r>
          </w:p>
        </w:tc>
        <w:tc>
          <w:tcPr>
            <w:tcW w:w="1914" w:type="pct"/>
          </w:tcPr>
          <w:p w14:paraId="3AF8AE07" w14:textId="77777777" w:rsidR="00AD4DED" w:rsidRPr="00F63D1D" w:rsidRDefault="00AD4DED" w:rsidP="00D376B6">
            <w:r>
              <w:t>Relationship and Reporting Mapping – TSCOM - BODC</w:t>
            </w:r>
          </w:p>
        </w:tc>
        <w:tc>
          <w:tcPr>
            <w:tcW w:w="2499" w:type="pct"/>
          </w:tcPr>
          <w:p w14:paraId="356A7FA3" w14:textId="7A80ED86" w:rsidR="00AD4DED" w:rsidRPr="00F63D1D" w:rsidRDefault="00AD4DED" w:rsidP="00682B2C">
            <w:r w:rsidRPr="00F63D1D">
              <w:t>Develop and Service Level Agreement that describes agreed deliverables from BODC on behalf of TSCOM/GEBCO.</w:t>
            </w:r>
          </w:p>
        </w:tc>
      </w:tr>
      <w:tr w:rsidR="00AD4DED" w:rsidRPr="00F63D1D" w14:paraId="03AFD45E" w14:textId="77777777" w:rsidTr="00682B2C">
        <w:tc>
          <w:tcPr>
            <w:tcW w:w="586" w:type="pct"/>
          </w:tcPr>
          <w:p w14:paraId="52E8DCB8" w14:textId="77777777" w:rsidR="00AD4DED" w:rsidRPr="00F63D1D" w:rsidRDefault="00AD4DED" w:rsidP="00D376B6">
            <w:r w:rsidRPr="00F63D1D">
              <w:t>9.3</w:t>
            </w:r>
          </w:p>
        </w:tc>
        <w:tc>
          <w:tcPr>
            <w:tcW w:w="1914" w:type="pct"/>
          </w:tcPr>
          <w:p w14:paraId="4A68724F" w14:textId="77777777" w:rsidR="00AD4DED" w:rsidRPr="00F63D1D" w:rsidRDefault="00AD4DED" w:rsidP="00D376B6">
            <w:r>
              <w:t>Current Programme Work Structure</w:t>
            </w:r>
          </w:p>
        </w:tc>
        <w:tc>
          <w:tcPr>
            <w:tcW w:w="2499" w:type="pct"/>
          </w:tcPr>
          <w:p w14:paraId="32DDD7E2" w14:textId="3F251AB3" w:rsidR="00AD4DED" w:rsidRPr="00F63D1D" w:rsidRDefault="00AD4DED" w:rsidP="00682B2C">
            <w:r w:rsidRPr="00F63D1D">
              <w:t>Ensure there is a clear cascade and linkage between the objectives set out in the GEBCO Strategy and the individual work items included in the work plans.</w:t>
            </w:r>
          </w:p>
        </w:tc>
      </w:tr>
      <w:tr w:rsidR="00AD4DED" w:rsidRPr="00F63D1D" w14:paraId="56703157" w14:textId="77777777" w:rsidTr="00682B2C">
        <w:tc>
          <w:tcPr>
            <w:tcW w:w="586" w:type="pct"/>
          </w:tcPr>
          <w:p w14:paraId="0B72D6C5" w14:textId="77777777" w:rsidR="00AD4DED" w:rsidRPr="00F63D1D" w:rsidRDefault="00AD4DED" w:rsidP="00D376B6">
            <w:r w:rsidRPr="00F63D1D">
              <w:t>9.3</w:t>
            </w:r>
          </w:p>
        </w:tc>
        <w:tc>
          <w:tcPr>
            <w:tcW w:w="1914" w:type="pct"/>
          </w:tcPr>
          <w:p w14:paraId="4FA5F505" w14:textId="77777777" w:rsidR="00AD4DED" w:rsidRPr="00F63D1D" w:rsidRDefault="00AD4DED" w:rsidP="00D376B6">
            <w:r w:rsidRPr="00F969B6">
              <w:t>Current Programme Work Structure</w:t>
            </w:r>
          </w:p>
        </w:tc>
        <w:tc>
          <w:tcPr>
            <w:tcW w:w="2499" w:type="pct"/>
          </w:tcPr>
          <w:p w14:paraId="4D4E7876" w14:textId="0D7E29F6" w:rsidR="00AD4DED" w:rsidRPr="00F63D1D" w:rsidRDefault="00AD4DED" w:rsidP="00682B2C">
            <w:r w:rsidRPr="00F63D1D">
              <w:t>Consider the creation of a dedicated programme management board.</w:t>
            </w:r>
          </w:p>
        </w:tc>
      </w:tr>
      <w:tr w:rsidR="00AD4DED" w:rsidRPr="00F63D1D" w14:paraId="33E32DE0" w14:textId="77777777" w:rsidTr="00682B2C">
        <w:tc>
          <w:tcPr>
            <w:tcW w:w="586" w:type="pct"/>
          </w:tcPr>
          <w:p w14:paraId="2921B4B8" w14:textId="77777777" w:rsidR="00AD4DED" w:rsidRPr="00F63D1D" w:rsidRDefault="00AD4DED" w:rsidP="00D376B6">
            <w:r w:rsidRPr="00F63D1D">
              <w:t>9.3</w:t>
            </w:r>
          </w:p>
        </w:tc>
        <w:tc>
          <w:tcPr>
            <w:tcW w:w="1914" w:type="pct"/>
          </w:tcPr>
          <w:p w14:paraId="0D1EAFB8" w14:textId="77777777" w:rsidR="00AD4DED" w:rsidRPr="00F63D1D" w:rsidRDefault="00AD4DED" w:rsidP="00D376B6">
            <w:r w:rsidRPr="00F969B6">
              <w:t>Current Programme Work Structure</w:t>
            </w:r>
          </w:p>
        </w:tc>
        <w:tc>
          <w:tcPr>
            <w:tcW w:w="2499" w:type="pct"/>
          </w:tcPr>
          <w:p w14:paraId="77A29962" w14:textId="3C1C692E" w:rsidR="00AD4DED" w:rsidRPr="00F63D1D" w:rsidRDefault="00AD4DED" w:rsidP="00682B2C">
            <w:r w:rsidRPr="00F63D1D">
              <w:t>Consider the need for a dedicated GEBCO Programme Manager</w:t>
            </w:r>
            <w:r>
              <w:t>.</w:t>
            </w:r>
          </w:p>
        </w:tc>
      </w:tr>
      <w:tr w:rsidR="00AD4DED" w:rsidRPr="00F63D1D" w14:paraId="5BB2CDB6" w14:textId="77777777" w:rsidTr="00682B2C">
        <w:tc>
          <w:tcPr>
            <w:tcW w:w="586" w:type="pct"/>
          </w:tcPr>
          <w:p w14:paraId="2D63CC28" w14:textId="77777777" w:rsidR="00AD4DED" w:rsidRPr="00F63D1D" w:rsidRDefault="00AD4DED" w:rsidP="00D376B6">
            <w:r w:rsidRPr="00F63D1D">
              <w:lastRenderedPageBreak/>
              <w:t>10.2</w:t>
            </w:r>
          </w:p>
        </w:tc>
        <w:tc>
          <w:tcPr>
            <w:tcW w:w="1914" w:type="pct"/>
          </w:tcPr>
          <w:p w14:paraId="689BF5F1" w14:textId="77777777" w:rsidR="00AD4DED" w:rsidRPr="00F63D1D" w:rsidRDefault="00AD4DED" w:rsidP="00D376B6">
            <w:r>
              <w:t>Finance – Future Ambition</w:t>
            </w:r>
          </w:p>
        </w:tc>
        <w:tc>
          <w:tcPr>
            <w:tcW w:w="2499" w:type="pct"/>
          </w:tcPr>
          <w:p w14:paraId="55593E2B" w14:textId="28FBE700" w:rsidR="00AD4DED" w:rsidRPr="00F63D1D" w:rsidRDefault="00AD4DED" w:rsidP="00682B2C">
            <w:r w:rsidRPr="00F63D1D">
              <w:t>The options proposed within the Funding Proposal report should be considered alongside the legal review once this governance review has been considered and an implementation plan produced. Consideration should also be given to work of the IHO Funding Project Team to avoid duplication and take advantage of synergies.</w:t>
            </w:r>
          </w:p>
        </w:tc>
      </w:tr>
      <w:tr w:rsidR="00AD4DED" w:rsidRPr="00F63D1D" w14:paraId="323BDFD1" w14:textId="77777777" w:rsidTr="00682B2C">
        <w:tc>
          <w:tcPr>
            <w:tcW w:w="586" w:type="pct"/>
          </w:tcPr>
          <w:p w14:paraId="758AB401" w14:textId="77777777" w:rsidR="00AD4DED" w:rsidRPr="00F63D1D" w:rsidRDefault="00AD4DED" w:rsidP="00D376B6">
            <w:r w:rsidRPr="00F63D1D">
              <w:t>11</w:t>
            </w:r>
          </w:p>
        </w:tc>
        <w:tc>
          <w:tcPr>
            <w:tcW w:w="1914" w:type="pct"/>
          </w:tcPr>
          <w:p w14:paraId="652871FD" w14:textId="77777777" w:rsidR="00AD4DED" w:rsidRPr="00F63D1D" w:rsidRDefault="00AD4DED" w:rsidP="00D376B6">
            <w:r>
              <w:t>Legal Review</w:t>
            </w:r>
          </w:p>
        </w:tc>
        <w:tc>
          <w:tcPr>
            <w:tcW w:w="2499" w:type="pct"/>
          </w:tcPr>
          <w:p w14:paraId="1DF09975" w14:textId="62D9A3F2" w:rsidR="00AD4DED" w:rsidRPr="00F63D1D" w:rsidRDefault="00AD4DED" w:rsidP="00682B2C">
            <w:r w:rsidRPr="00F63D1D">
              <w:t>A full review of the current and potential future legal status of the GEBCO Programme be commissioned. This review should consider the GEBCO Strategy and the previously commissioned Funding Strategy.</w:t>
            </w:r>
          </w:p>
        </w:tc>
      </w:tr>
      <w:tr w:rsidR="00AD4DED" w:rsidRPr="00F63D1D" w14:paraId="10E680DB" w14:textId="77777777" w:rsidTr="00682B2C">
        <w:tc>
          <w:tcPr>
            <w:tcW w:w="586" w:type="pct"/>
          </w:tcPr>
          <w:p w14:paraId="3E062540" w14:textId="77777777" w:rsidR="00AD4DED" w:rsidRPr="00F63D1D" w:rsidRDefault="00AD4DED" w:rsidP="00D376B6">
            <w:r w:rsidRPr="00F63D1D">
              <w:t>12</w:t>
            </w:r>
          </w:p>
        </w:tc>
        <w:tc>
          <w:tcPr>
            <w:tcW w:w="1914" w:type="pct"/>
          </w:tcPr>
          <w:p w14:paraId="0CCFD74E" w14:textId="77777777" w:rsidR="00AD4DED" w:rsidRPr="00F63D1D" w:rsidRDefault="00AD4DED" w:rsidP="00D376B6">
            <w:r>
              <w:t>Risk Management</w:t>
            </w:r>
          </w:p>
        </w:tc>
        <w:tc>
          <w:tcPr>
            <w:tcW w:w="2499" w:type="pct"/>
          </w:tcPr>
          <w:p w14:paraId="79857BAC" w14:textId="5273568D" w:rsidR="00AD4DED" w:rsidRPr="00F63D1D" w:rsidRDefault="00AD4DED" w:rsidP="00682B2C">
            <w:r w:rsidRPr="00F63D1D">
              <w:t>All bodies that have a work plan adopt a risk management process to support effective programme delivery</w:t>
            </w:r>
            <w:r>
              <w:t>.</w:t>
            </w:r>
          </w:p>
        </w:tc>
      </w:tr>
      <w:tr w:rsidR="00AD4DED" w:rsidRPr="00F63D1D" w14:paraId="6ED5EDC8" w14:textId="77777777" w:rsidTr="00682B2C">
        <w:tc>
          <w:tcPr>
            <w:tcW w:w="586" w:type="pct"/>
          </w:tcPr>
          <w:p w14:paraId="75E9FF56" w14:textId="77777777" w:rsidR="00AD4DED" w:rsidRPr="00F63D1D" w:rsidRDefault="00AD4DED" w:rsidP="00D376B6">
            <w:r w:rsidRPr="00F63D1D">
              <w:t>13.2.1</w:t>
            </w:r>
          </w:p>
        </w:tc>
        <w:tc>
          <w:tcPr>
            <w:tcW w:w="1914" w:type="pct"/>
          </w:tcPr>
          <w:p w14:paraId="2CF585C6" w14:textId="77777777" w:rsidR="00AD4DED" w:rsidRPr="00F63D1D" w:rsidRDefault="00AD4DED" w:rsidP="00D376B6">
            <w:r>
              <w:t>Analysis of Key GEBCO Bodies - GGC</w:t>
            </w:r>
          </w:p>
        </w:tc>
        <w:tc>
          <w:tcPr>
            <w:tcW w:w="2499" w:type="pct"/>
          </w:tcPr>
          <w:p w14:paraId="0F774D1C" w14:textId="2DCC3EAF" w:rsidR="00AD4DED" w:rsidRPr="00682B2C" w:rsidRDefault="00AD4DED" w:rsidP="00682B2C">
            <w:pPr>
              <w:rPr>
                <w:rFonts w:eastAsia="Times New Roman"/>
              </w:rPr>
            </w:pPr>
            <w:r w:rsidRPr="00F63D1D">
              <w:rPr>
                <w:rFonts w:eastAsia="Times New Roman"/>
              </w:rPr>
              <w:t xml:space="preserve">Review </w:t>
            </w:r>
            <w:proofErr w:type="spellStart"/>
            <w:r w:rsidRPr="00F63D1D">
              <w:rPr>
                <w:rFonts w:eastAsia="Times New Roman"/>
              </w:rPr>
              <w:t>ToRs</w:t>
            </w:r>
            <w:proofErr w:type="spellEnd"/>
            <w:r w:rsidRPr="00F63D1D">
              <w:rPr>
                <w:rFonts w:eastAsia="Times New Roman"/>
              </w:rPr>
              <w:t xml:space="preserve"> to ensure alignment with strategy</w:t>
            </w:r>
            <w:r>
              <w:rPr>
                <w:rFonts w:eastAsia="Times New Roman"/>
              </w:rPr>
              <w:t>.</w:t>
            </w:r>
          </w:p>
        </w:tc>
      </w:tr>
      <w:tr w:rsidR="00AD4DED" w:rsidRPr="00F63D1D" w14:paraId="2461C7DD" w14:textId="77777777" w:rsidTr="00682B2C">
        <w:tc>
          <w:tcPr>
            <w:tcW w:w="586" w:type="pct"/>
          </w:tcPr>
          <w:p w14:paraId="200FFDDB" w14:textId="77777777" w:rsidR="00AD4DED" w:rsidRPr="00F63D1D" w:rsidRDefault="00AD4DED" w:rsidP="00D376B6">
            <w:r w:rsidRPr="00F63D1D">
              <w:t>13.2.1</w:t>
            </w:r>
          </w:p>
        </w:tc>
        <w:tc>
          <w:tcPr>
            <w:tcW w:w="1914" w:type="pct"/>
          </w:tcPr>
          <w:p w14:paraId="208A7920" w14:textId="77777777" w:rsidR="00AD4DED" w:rsidRPr="00F63D1D" w:rsidRDefault="00AD4DED" w:rsidP="00D376B6">
            <w:r w:rsidRPr="00DD1E61">
              <w:t>Analysis of Key GEBCO Bodies - GGC</w:t>
            </w:r>
          </w:p>
        </w:tc>
        <w:tc>
          <w:tcPr>
            <w:tcW w:w="2499" w:type="pct"/>
          </w:tcPr>
          <w:p w14:paraId="1C2DCEC3" w14:textId="0F8D82CA" w:rsidR="00AD4DED" w:rsidRPr="00682B2C" w:rsidRDefault="00AD4DED" w:rsidP="00682B2C">
            <w:pPr>
              <w:rPr>
                <w:rFonts w:eastAsia="Times New Roman"/>
              </w:rPr>
            </w:pPr>
            <w:r w:rsidRPr="00F63D1D">
              <w:rPr>
                <w:rFonts w:eastAsia="Times New Roman"/>
              </w:rPr>
              <w:t>Consider these deficiencies when approving future versions of WPs</w:t>
            </w:r>
            <w:r>
              <w:rPr>
                <w:rFonts w:eastAsia="Times New Roman"/>
              </w:rPr>
              <w:t>.</w:t>
            </w:r>
          </w:p>
        </w:tc>
      </w:tr>
      <w:tr w:rsidR="00AD4DED" w:rsidRPr="00F63D1D" w14:paraId="682DC412" w14:textId="77777777" w:rsidTr="00682B2C">
        <w:tc>
          <w:tcPr>
            <w:tcW w:w="586" w:type="pct"/>
          </w:tcPr>
          <w:p w14:paraId="563D2587" w14:textId="77777777" w:rsidR="00AD4DED" w:rsidRPr="00F63D1D" w:rsidRDefault="00AD4DED" w:rsidP="00D376B6">
            <w:r w:rsidRPr="00F63D1D">
              <w:t>13.2.1</w:t>
            </w:r>
          </w:p>
        </w:tc>
        <w:tc>
          <w:tcPr>
            <w:tcW w:w="1914" w:type="pct"/>
          </w:tcPr>
          <w:p w14:paraId="02D58762" w14:textId="77777777" w:rsidR="00AD4DED" w:rsidRPr="00F63D1D" w:rsidRDefault="00AD4DED" w:rsidP="00D376B6">
            <w:r w:rsidRPr="00DD1E61">
              <w:t>Analysis of Key GEBCO Bodies - GGC</w:t>
            </w:r>
          </w:p>
        </w:tc>
        <w:tc>
          <w:tcPr>
            <w:tcW w:w="2499" w:type="pct"/>
          </w:tcPr>
          <w:p w14:paraId="1E70CB23" w14:textId="51B26499" w:rsidR="00AD4DED" w:rsidRPr="00682B2C" w:rsidRDefault="00AD4DED" w:rsidP="00682B2C">
            <w:pPr>
              <w:rPr>
                <w:rFonts w:eastAsia="Times New Roman"/>
              </w:rPr>
            </w:pPr>
            <w:r w:rsidRPr="00F63D1D">
              <w:rPr>
                <w:rFonts w:eastAsia="Times New Roman"/>
              </w:rPr>
              <w:t xml:space="preserve">Consider the </w:t>
            </w:r>
            <w:r w:rsidR="002F2ABA" w:rsidRPr="00F63D1D">
              <w:rPr>
                <w:rFonts w:eastAsia="Times New Roman"/>
              </w:rPr>
              <w:t>makeup</w:t>
            </w:r>
            <w:r w:rsidRPr="00F63D1D">
              <w:rPr>
                <w:rFonts w:eastAsia="Times New Roman"/>
              </w:rPr>
              <w:t xml:space="preserve"> of the GGC membership against new strategy and governance norms</w:t>
            </w:r>
            <w:r>
              <w:rPr>
                <w:rFonts w:eastAsia="Times New Roman"/>
              </w:rPr>
              <w:t>.</w:t>
            </w:r>
          </w:p>
        </w:tc>
      </w:tr>
      <w:tr w:rsidR="00AD4DED" w:rsidRPr="00F63D1D" w14:paraId="02C0D7CC" w14:textId="77777777" w:rsidTr="00682B2C">
        <w:tc>
          <w:tcPr>
            <w:tcW w:w="586" w:type="pct"/>
          </w:tcPr>
          <w:p w14:paraId="3EC7D5E2" w14:textId="77777777" w:rsidR="00AD4DED" w:rsidRPr="00F63D1D" w:rsidRDefault="00AD4DED" w:rsidP="00D376B6">
            <w:r w:rsidRPr="00F63D1D">
              <w:t>13.2.1</w:t>
            </w:r>
          </w:p>
        </w:tc>
        <w:tc>
          <w:tcPr>
            <w:tcW w:w="1914" w:type="pct"/>
          </w:tcPr>
          <w:p w14:paraId="136515CC" w14:textId="77777777" w:rsidR="00AD4DED" w:rsidRPr="00F63D1D" w:rsidRDefault="00AD4DED" w:rsidP="00D376B6">
            <w:r w:rsidRPr="00DD1E61">
              <w:t>Analysis of Key GEBCO Bodies - GGC</w:t>
            </w:r>
          </w:p>
        </w:tc>
        <w:tc>
          <w:tcPr>
            <w:tcW w:w="2499" w:type="pct"/>
          </w:tcPr>
          <w:p w14:paraId="6CE0AFB0" w14:textId="074A5820" w:rsidR="00AD4DED" w:rsidRPr="00682B2C" w:rsidRDefault="00AD4DED" w:rsidP="00682B2C">
            <w:pPr>
              <w:rPr>
                <w:rFonts w:eastAsia="Times New Roman"/>
              </w:rPr>
            </w:pPr>
            <w:r w:rsidRPr="00F63D1D">
              <w:rPr>
                <w:rFonts w:eastAsia="Times New Roman"/>
              </w:rPr>
              <w:t>Note and include in financial review</w:t>
            </w:r>
            <w:r>
              <w:rPr>
                <w:rFonts w:eastAsia="Times New Roman"/>
              </w:rPr>
              <w:t>.</w:t>
            </w:r>
          </w:p>
        </w:tc>
      </w:tr>
      <w:tr w:rsidR="00AD4DED" w:rsidRPr="00F63D1D" w14:paraId="14E8C3A8" w14:textId="77777777" w:rsidTr="00682B2C">
        <w:tc>
          <w:tcPr>
            <w:tcW w:w="586" w:type="pct"/>
          </w:tcPr>
          <w:p w14:paraId="3B234D1B" w14:textId="77777777" w:rsidR="00AD4DED" w:rsidRPr="00F63D1D" w:rsidRDefault="00AD4DED" w:rsidP="00D376B6">
            <w:r w:rsidRPr="00F63D1D">
              <w:t>13.2.1</w:t>
            </w:r>
          </w:p>
        </w:tc>
        <w:tc>
          <w:tcPr>
            <w:tcW w:w="1914" w:type="pct"/>
          </w:tcPr>
          <w:p w14:paraId="5451CDCA" w14:textId="77777777" w:rsidR="00AD4DED" w:rsidRPr="00F63D1D" w:rsidRDefault="00AD4DED" w:rsidP="00D376B6">
            <w:r w:rsidRPr="00DD1E61">
              <w:t>Analysis of Key GEBCO Bodies - GGC</w:t>
            </w:r>
          </w:p>
        </w:tc>
        <w:tc>
          <w:tcPr>
            <w:tcW w:w="2499" w:type="pct"/>
          </w:tcPr>
          <w:p w14:paraId="6EE6521B" w14:textId="4A236D6F" w:rsidR="00AD4DED" w:rsidRPr="00682B2C" w:rsidRDefault="00AD4DED" w:rsidP="00682B2C">
            <w:pPr>
              <w:rPr>
                <w:rFonts w:eastAsia="Times New Roman"/>
              </w:rPr>
            </w:pPr>
            <w:r w:rsidRPr="00F63D1D">
              <w:rPr>
                <w:rFonts w:eastAsia="Times New Roman"/>
              </w:rPr>
              <w:t>Develop a policy that makes it clear to what extent all members of the GGC are expected to fund their own travel.</w:t>
            </w:r>
          </w:p>
        </w:tc>
      </w:tr>
      <w:tr w:rsidR="00AD4DED" w:rsidRPr="00F63D1D" w14:paraId="3281F071" w14:textId="77777777" w:rsidTr="00682B2C">
        <w:tc>
          <w:tcPr>
            <w:tcW w:w="586" w:type="pct"/>
          </w:tcPr>
          <w:p w14:paraId="40A6C299" w14:textId="77777777" w:rsidR="00AD4DED" w:rsidRPr="00F63D1D" w:rsidRDefault="00AD4DED" w:rsidP="00D376B6">
            <w:r w:rsidRPr="00F63D1D">
              <w:t>13.2.1</w:t>
            </w:r>
          </w:p>
        </w:tc>
        <w:tc>
          <w:tcPr>
            <w:tcW w:w="1914" w:type="pct"/>
          </w:tcPr>
          <w:p w14:paraId="588434C2" w14:textId="77777777" w:rsidR="00AD4DED" w:rsidRPr="00F63D1D" w:rsidRDefault="00AD4DED" w:rsidP="00D376B6">
            <w:r w:rsidRPr="00DD1E61">
              <w:t>Analysis of Key GEBCO Bodies - GGC</w:t>
            </w:r>
          </w:p>
        </w:tc>
        <w:tc>
          <w:tcPr>
            <w:tcW w:w="2499" w:type="pct"/>
          </w:tcPr>
          <w:p w14:paraId="1910BF27" w14:textId="4C2A22CD" w:rsidR="00AD4DED" w:rsidRPr="00682B2C" w:rsidRDefault="00AD4DED" w:rsidP="00682B2C">
            <w:pPr>
              <w:rPr>
                <w:rFonts w:eastAsia="Times New Roman"/>
              </w:rPr>
            </w:pPr>
            <w:r w:rsidRPr="00F63D1D">
              <w:rPr>
                <w:rFonts w:eastAsia="Times New Roman"/>
              </w:rPr>
              <w:t>Consider the shape and size of the GGC</w:t>
            </w:r>
            <w:r>
              <w:rPr>
                <w:rFonts w:eastAsia="Times New Roman"/>
              </w:rPr>
              <w:t>.</w:t>
            </w:r>
          </w:p>
        </w:tc>
      </w:tr>
      <w:tr w:rsidR="00AD4DED" w:rsidRPr="00F63D1D" w14:paraId="6DA35583" w14:textId="77777777" w:rsidTr="00682B2C">
        <w:tc>
          <w:tcPr>
            <w:tcW w:w="586" w:type="pct"/>
          </w:tcPr>
          <w:p w14:paraId="3DF1FE83" w14:textId="77777777" w:rsidR="00AD4DED" w:rsidRPr="00F63D1D" w:rsidRDefault="00AD4DED" w:rsidP="00D376B6">
            <w:r w:rsidRPr="00F63D1D">
              <w:t>13.2.1</w:t>
            </w:r>
          </w:p>
        </w:tc>
        <w:tc>
          <w:tcPr>
            <w:tcW w:w="1914" w:type="pct"/>
          </w:tcPr>
          <w:p w14:paraId="07BDAACE" w14:textId="77777777" w:rsidR="00AD4DED" w:rsidRPr="00F63D1D" w:rsidRDefault="00AD4DED" w:rsidP="00D376B6">
            <w:r w:rsidRPr="00DD1E61">
              <w:t>Analysis of Key GEBCO Bodies - GGC</w:t>
            </w:r>
          </w:p>
        </w:tc>
        <w:tc>
          <w:tcPr>
            <w:tcW w:w="2499" w:type="pct"/>
          </w:tcPr>
          <w:p w14:paraId="61A0B742" w14:textId="0785E665" w:rsidR="00AD4DED" w:rsidRPr="00682B2C" w:rsidRDefault="00AD4DED" w:rsidP="00682B2C">
            <w:pPr>
              <w:rPr>
                <w:rFonts w:eastAsia="Times New Roman"/>
              </w:rPr>
            </w:pPr>
            <w:proofErr w:type="spellStart"/>
            <w:r w:rsidRPr="00F63D1D">
              <w:rPr>
                <w:rFonts w:eastAsia="Times New Roman"/>
              </w:rPr>
              <w:t>ToRs</w:t>
            </w:r>
            <w:proofErr w:type="spellEnd"/>
            <w:r w:rsidRPr="00F63D1D">
              <w:rPr>
                <w:rFonts w:eastAsia="Times New Roman"/>
              </w:rPr>
              <w:t xml:space="preserve"> and GGC Membership list to clarify roles and responsibilities of GGC member and whether the categories of appointment support or hinder effective delivery of GGC business</w:t>
            </w:r>
            <w:r>
              <w:rPr>
                <w:rFonts w:eastAsia="Times New Roman"/>
              </w:rPr>
              <w:t>.</w:t>
            </w:r>
          </w:p>
        </w:tc>
      </w:tr>
      <w:tr w:rsidR="00AD4DED" w:rsidRPr="00F63D1D" w14:paraId="3E8973DD" w14:textId="77777777" w:rsidTr="00682B2C">
        <w:tc>
          <w:tcPr>
            <w:tcW w:w="586" w:type="pct"/>
          </w:tcPr>
          <w:p w14:paraId="2E146A11" w14:textId="77777777" w:rsidR="00AD4DED" w:rsidRPr="00F63D1D" w:rsidRDefault="00AD4DED" w:rsidP="00D376B6">
            <w:r w:rsidRPr="00F63D1D">
              <w:t>13.2.2</w:t>
            </w:r>
          </w:p>
        </w:tc>
        <w:tc>
          <w:tcPr>
            <w:tcW w:w="1914" w:type="pct"/>
          </w:tcPr>
          <w:p w14:paraId="6035E22B" w14:textId="77777777" w:rsidR="00AD4DED" w:rsidRPr="00F63D1D" w:rsidRDefault="00AD4DED" w:rsidP="00D376B6">
            <w:r>
              <w:t>Analysis of Key GEBCO Bodies - TSCOM</w:t>
            </w:r>
          </w:p>
        </w:tc>
        <w:tc>
          <w:tcPr>
            <w:tcW w:w="2499" w:type="pct"/>
          </w:tcPr>
          <w:p w14:paraId="41FA688B" w14:textId="36E474F4" w:rsidR="00AD4DED" w:rsidRPr="00F63D1D" w:rsidRDefault="00AD4DED" w:rsidP="00682B2C">
            <w:r w:rsidRPr="00F63D1D">
              <w:t xml:space="preserve">Review </w:t>
            </w:r>
            <w:proofErr w:type="spellStart"/>
            <w:r w:rsidRPr="00F63D1D">
              <w:t>ToRs</w:t>
            </w:r>
            <w:proofErr w:type="spellEnd"/>
            <w:r w:rsidRPr="00F63D1D">
              <w:t xml:space="preserve"> to ensure alignment with Strategy</w:t>
            </w:r>
            <w:r>
              <w:t>.</w:t>
            </w:r>
          </w:p>
        </w:tc>
      </w:tr>
      <w:tr w:rsidR="00AD4DED" w:rsidRPr="00F63D1D" w14:paraId="24CB0AB6" w14:textId="77777777" w:rsidTr="00682B2C">
        <w:tc>
          <w:tcPr>
            <w:tcW w:w="586" w:type="pct"/>
          </w:tcPr>
          <w:p w14:paraId="3A2EB72F" w14:textId="77777777" w:rsidR="00AD4DED" w:rsidRPr="00F63D1D" w:rsidRDefault="00AD4DED" w:rsidP="00D376B6">
            <w:r w:rsidRPr="00F63D1D">
              <w:t>13.2.2</w:t>
            </w:r>
          </w:p>
        </w:tc>
        <w:tc>
          <w:tcPr>
            <w:tcW w:w="1914" w:type="pct"/>
          </w:tcPr>
          <w:p w14:paraId="2D364E02" w14:textId="77777777" w:rsidR="00AD4DED" w:rsidRPr="00F63D1D" w:rsidRDefault="00AD4DED" w:rsidP="00D376B6">
            <w:r w:rsidRPr="001B088E">
              <w:t>Analysis of Key GEBCO Bodies - TSCOM</w:t>
            </w:r>
          </w:p>
        </w:tc>
        <w:tc>
          <w:tcPr>
            <w:tcW w:w="2499" w:type="pct"/>
          </w:tcPr>
          <w:p w14:paraId="282EC1BC" w14:textId="75677A52" w:rsidR="00AD4DED" w:rsidRPr="00F63D1D" w:rsidRDefault="00AD4DED" w:rsidP="00682B2C">
            <w:r w:rsidRPr="00F63D1D">
              <w:t>Rationalise work plan to reduce items and improve clarity</w:t>
            </w:r>
            <w:r>
              <w:t>.</w:t>
            </w:r>
          </w:p>
        </w:tc>
      </w:tr>
      <w:tr w:rsidR="00AD4DED" w:rsidRPr="00F63D1D" w14:paraId="2DC9FCE9" w14:textId="77777777" w:rsidTr="00682B2C">
        <w:tc>
          <w:tcPr>
            <w:tcW w:w="586" w:type="pct"/>
          </w:tcPr>
          <w:p w14:paraId="1C66B18D" w14:textId="77777777" w:rsidR="00AD4DED" w:rsidRPr="00F63D1D" w:rsidRDefault="00AD4DED" w:rsidP="00D376B6">
            <w:r w:rsidRPr="00F63D1D">
              <w:t>13.2.2</w:t>
            </w:r>
          </w:p>
        </w:tc>
        <w:tc>
          <w:tcPr>
            <w:tcW w:w="1914" w:type="pct"/>
          </w:tcPr>
          <w:p w14:paraId="2AB62200" w14:textId="77777777" w:rsidR="00AD4DED" w:rsidRPr="00F63D1D" w:rsidRDefault="00AD4DED" w:rsidP="00D376B6">
            <w:r w:rsidRPr="001B088E">
              <w:t>Analysis of Key GEBCO Bodies - TSCOM</w:t>
            </w:r>
          </w:p>
        </w:tc>
        <w:tc>
          <w:tcPr>
            <w:tcW w:w="2499" w:type="pct"/>
          </w:tcPr>
          <w:p w14:paraId="325CD0FB" w14:textId="3ED7E9E3" w:rsidR="00AD4DED" w:rsidRPr="00F63D1D" w:rsidRDefault="00AD4DED" w:rsidP="00682B2C">
            <w:r w:rsidRPr="00F63D1D">
              <w:t xml:space="preserve">Incorporate into IHO </w:t>
            </w:r>
            <w:r w:rsidR="002F2ABA">
              <w:t>–</w:t>
            </w:r>
            <w:r w:rsidRPr="00F63D1D">
              <w:t xml:space="preserve"> DCDB MoU</w:t>
            </w:r>
          </w:p>
        </w:tc>
      </w:tr>
      <w:tr w:rsidR="00AD4DED" w:rsidRPr="00F63D1D" w14:paraId="3CB39531" w14:textId="77777777" w:rsidTr="00682B2C">
        <w:tc>
          <w:tcPr>
            <w:tcW w:w="586" w:type="pct"/>
          </w:tcPr>
          <w:p w14:paraId="38F83450" w14:textId="77777777" w:rsidR="00AD4DED" w:rsidRPr="00F63D1D" w:rsidRDefault="00AD4DED" w:rsidP="00D376B6">
            <w:r w:rsidRPr="00F63D1D">
              <w:t>13.2.2</w:t>
            </w:r>
          </w:p>
        </w:tc>
        <w:tc>
          <w:tcPr>
            <w:tcW w:w="1914" w:type="pct"/>
          </w:tcPr>
          <w:p w14:paraId="24FBA759" w14:textId="77777777" w:rsidR="00AD4DED" w:rsidRPr="00F63D1D" w:rsidRDefault="00AD4DED" w:rsidP="00D376B6">
            <w:r w:rsidRPr="001B088E">
              <w:t>Analysis of Key GEBCO Bodies - TSCOM</w:t>
            </w:r>
          </w:p>
        </w:tc>
        <w:tc>
          <w:tcPr>
            <w:tcW w:w="2499" w:type="pct"/>
          </w:tcPr>
          <w:p w14:paraId="4005E1C8" w14:textId="4D1BF5EF" w:rsidR="00AD4DED" w:rsidRPr="00F63D1D" w:rsidRDefault="00AD4DED" w:rsidP="00682B2C">
            <w:r w:rsidRPr="00F63D1D">
              <w:t>IHO/IOC to consider implementing an MoU</w:t>
            </w:r>
            <w:r>
              <w:t>.</w:t>
            </w:r>
          </w:p>
        </w:tc>
      </w:tr>
      <w:tr w:rsidR="00AD4DED" w:rsidRPr="00F63D1D" w14:paraId="7CC87E6C" w14:textId="77777777" w:rsidTr="00682B2C">
        <w:tc>
          <w:tcPr>
            <w:tcW w:w="586" w:type="pct"/>
          </w:tcPr>
          <w:p w14:paraId="506F42FB" w14:textId="77777777" w:rsidR="00AD4DED" w:rsidRPr="00F63D1D" w:rsidRDefault="00AD4DED" w:rsidP="00D376B6">
            <w:r w:rsidRPr="00F63D1D">
              <w:t>13.2.2</w:t>
            </w:r>
          </w:p>
        </w:tc>
        <w:tc>
          <w:tcPr>
            <w:tcW w:w="1914" w:type="pct"/>
          </w:tcPr>
          <w:p w14:paraId="57696A47" w14:textId="77777777" w:rsidR="00AD4DED" w:rsidRPr="00F63D1D" w:rsidRDefault="00AD4DED" w:rsidP="00D376B6">
            <w:r w:rsidRPr="001B088E">
              <w:t>Analysis of Key GEBCO Bodies - TSCOM</w:t>
            </w:r>
          </w:p>
        </w:tc>
        <w:tc>
          <w:tcPr>
            <w:tcW w:w="2499" w:type="pct"/>
          </w:tcPr>
          <w:p w14:paraId="021F107F" w14:textId="44B6B554" w:rsidR="00AD4DED" w:rsidRPr="00F63D1D" w:rsidRDefault="00AD4DED" w:rsidP="00D376B6">
            <w:r w:rsidRPr="00F63D1D">
              <w:t xml:space="preserve">Identify a secretary from within the membership, establish terms of service and update </w:t>
            </w:r>
            <w:proofErr w:type="spellStart"/>
            <w:r w:rsidRPr="00F63D1D">
              <w:t>ToRs</w:t>
            </w:r>
            <w:proofErr w:type="spellEnd"/>
            <w:r w:rsidRPr="00F63D1D">
              <w:t xml:space="preserve"> accordingly</w:t>
            </w:r>
            <w:r w:rsidR="00682B2C">
              <w:t>.</w:t>
            </w:r>
          </w:p>
        </w:tc>
      </w:tr>
      <w:tr w:rsidR="00AD4DED" w:rsidRPr="00F63D1D" w14:paraId="1CC50046" w14:textId="77777777" w:rsidTr="00682B2C">
        <w:tc>
          <w:tcPr>
            <w:tcW w:w="586" w:type="pct"/>
          </w:tcPr>
          <w:p w14:paraId="32A6EE79" w14:textId="77777777" w:rsidR="00AD4DED" w:rsidRPr="00F63D1D" w:rsidRDefault="00AD4DED" w:rsidP="00D376B6">
            <w:r w:rsidRPr="00F63D1D">
              <w:t>13.2.2</w:t>
            </w:r>
          </w:p>
        </w:tc>
        <w:tc>
          <w:tcPr>
            <w:tcW w:w="1914" w:type="pct"/>
          </w:tcPr>
          <w:p w14:paraId="49175E77" w14:textId="77777777" w:rsidR="00AD4DED" w:rsidRPr="00F63D1D" w:rsidRDefault="00AD4DED" w:rsidP="00D376B6">
            <w:r w:rsidRPr="001B088E">
              <w:t>Analysis of Key GEBCO Bodies - TSCOM</w:t>
            </w:r>
          </w:p>
        </w:tc>
        <w:tc>
          <w:tcPr>
            <w:tcW w:w="2499" w:type="pct"/>
          </w:tcPr>
          <w:p w14:paraId="487DCA41" w14:textId="305739BF" w:rsidR="00AD4DED" w:rsidRPr="00F63D1D" w:rsidRDefault="00AD4DED" w:rsidP="00682B2C">
            <w:r w:rsidRPr="00F63D1D">
              <w:t>Conduct a review of the SB2030 Governance Documents</w:t>
            </w:r>
            <w:r>
              <w:t>.</w:t>
            </w:r>
          </w:p>
        </w:tc>
      </w:tr>
      <w:tr w:rsidR="00AD4DED" w:rsidRPr="00F63D1D" w14:paraId="641CBDD3" w14:textId="77777777" w:rsidTr="00682B2C">
        <w:tc>
          <w:tcPr>
            <w:tcW w:w="586" w:type="pct"/>
          </w:tcPr>
          <w:p w14:paraId="4CA83D0B" w14:textId="77777777" w:rsidR="00AD4DED" w:rsidRPr="00F63D1D" w:rsidRDefault="00AD4DED" w:rsidP="00D376B6">
            <w:r w:rsidRPr="00F63D1D">
              <w:t>13.2.2</w:t>
            </w:r>
          </w:p>
        </w:tc>
        <w:tc>
          <w:tcPr>
            <w:tcW w:w="1914" w:type="pct"/>
          </w:tcPr>
          <w:p w14:paraId="6D3AB100" w14:textId="77777777" w:rsidR="00AD4DED" w:rsidRPr="00F63D1D" w:rsidRDefault="00AD4DED" w:rsidP="00D376B6">
            <w:r w:rsidRPr="001B088E">
              <w:t>Analysis of Key GEBCO Bodies - TSCOM</w:t>
            </w:r>
          </w:p>
        </w:tc>
        <w:tc>
          <w:tcPr>
            <w:tcW w:w="2499" w:type="pct"/>
          </w:tcPr>
          <w:p w14:paraId="012E310F" w14:textId="1D4F3340" w:rsidR="00AD4DED" w:rsidRPr="00F63D1D" w:rsidRDefault="00AD4DED" w:rsidP="00682B2C">
            <w:r w:rsidRPr="00F63D1D">
              <w:t>Give all GEBCO products an IHO/IOC formal publication reference e.g. Digital Atlas</w:t>
            </w:r>
            <w:r>
              <w:t>.</w:t>
            </w:r>
          </w:p>
        </w:tc>
      </w:tr>
      <w:tr w:rsidR="00AD4DED" w:rsidRPr="00F63D1D" w14:paraId="56712CED" w14:textId="77777777" w:rsidTr="00682B2C">
        <w:tc>
          <w:tcPr>
            <w:tcW w:w="586" w:type="pct"/>
          </w:tcPr>
          <w:p w14:paraId="3DAB3C64" w14:textId="77777777" w:rsidR="00AD4DED" w:rsidRPr="00F63D1D" w:rsidRDefault="00AD4DED" w:rsidP="00D376B6">
            <w:r w:rsidRPr="00F63D1D">
              <w:t>13.2.2</w:t>
            </w:r>
          </w:p>
        </w:tc>
        <w:tc>
          <w:tcPr>
            <w:tcW w:w="1914" w:type="pct"/>
          </w:tcPr>
          <w:p w14:paraId="6D38AD7B" w14:textId="77777777" w:rsidR="00AD4DED" w:rsidRPr="00F63D1D" w:rsidRDefault="00AD4DED" w:rsidP="00D376B6">
            <w:r w:rsidRPr="001B088E">
              <w:t>Analysis of Key GEBCO Bodies - TSCOM</w:t>
            </w:r>
          </w:p>
        </w:tc>
        <w:tc>
          <w:tcPr>
            <w:tcW w:w="2499" w:type="pct"/>
          </w:tcPr>
          <w:p w14:paraId="47A31533" w14:textId="026DD015" w:rsidR="00AD4DED" w:rsidRPr="00F63D1D" w:rsidRDefault="00AD4DED" w:rsidP="00682B2C">
            <w:r w:rsidRPr="00F63D1D">
              <w:t xml:space="preserve">Review and potentially reduce number of full members – adjusting </w:t>
            </w:r>
            <w:proofErr w:type="spellStart"/>
            <w:r w:rsidRPr="00F63D1D">
              <w:t>ToRs</w:t>
            </w:r>
            <w:proofErr w:type="spellEnd"/>
            <w:r w:rsidRPr="00F63D1D">
              <w:t xml:space="preserve"> as required.</w:t>
            </w:r>
          </w:p>
        </w:tc>
      </w:tr>
      <w:tr w:rsidR="00AD4DED" w:rsidRPr="00F63D1D" w14:paraId="5753350A" w14:textId="77777777" w:rsidTr="00682B2C">
        <w:tc>
          <w:tcPr>
            <w:tcW w:w="586" w:type="pct"/>
          </w:tcPr>
          <w:p w14:paraId="4ED57369" w14:textId="77777777" w:rsidR="00AD4DED" w:rsidRPr="00F63D1D" w:rsidRDefault="00AD4DED" w:rsidP="00D376B6">
            <w:r w:rsidRPr="00F63D1D">
              <w:t>13.2.3</w:t>
            </w:r>
          </w:p>
        </w:tc>
        <w:tc>
          <w:tcPr>
            <w:tcW w:w="1914" w:type="pct"/>
          </w:tcPr>
          <w:p w14:paraId="6DB971E3" w14:textId="77777777" w:rsidR="00AD4DED" w:rsidRPr="00F63D1D" w:rsidRDefault="00AD4DED" w:rsidP="00D376B6">
            <w:r>
              <w:t>Analysis of Key GEBCO Bodies - SCRUM</w:t>
            </w:r>
          </w:p>
        </w:tc>
        <w:tc>
          <w:tcPr>
            <w:tcW w:w="2499" w:type="pct"/>
          </w:tcPr>
          <w:p w14:paraId="50C6024D" w14:textId="49D46116" w:rsidR="00AD4DED" w:rsidRPr="00F63D1D" w:rsidRDefault="00AD4DED" w:rsidP="00682B2C">
            <w:r w:rsidRPr="00F63D1D">
              <w:t xml:space="preserve">Review </w:t>
            </w:r>
            <w:proofErr w:type="spellStart"/>
            <w:r w:rsidRPr="00F63D1D">
              <w:t>ToRs</w:t>
            </w:r>
            <w:proofErr w:type="spellEnd"/>
            <w:r w:rsidRPr="00F63D1D">
              <w:t xml:space="preserve"> to ensure alignment with Strategy</w:t>
            </w:r>
            <w:r>
              <w:t>.</w:t>
            </w:r>
          </w:p>
        </w:tc>
      </w:tr>
      <w:tr w:rsidR="00AD4DED" w:rsidRPr="00F63D1D" w14:paraId="7E68538F" w14:textId="77777777" w:rsidTr="00682B2C">
        <w:tc>
          <w:tcPr>
            <w:tcW w:w="586" w:type="pct"/>
          </w:tcPr>
          <w:p w14:paraId="2E269E25" w14:textId="77777777" w:rsidR="00AD4DED" w:rsidRPr="00F63D1D" w:rsidRDefault="00AD4DED" w:rsidP="00D376B6">
            <w:r w:rsidRPr="00F63D1D">
              <w:lastRenderedPageBreak/>
              <w:t>13.2.3</w:t>
            </w:r>
          </w:p>
        </w:tc>
        <w:tc>
          <w:tcPr>
            <w:tcW w:w="1914" w:type="pct"/>
          </w:tcPr>
          <w:p w14:paraId="1A8DBF4B" w14:textId="77777777" w:rsidR="00AD4DED" w:rsidRPr="00F63D1D" w:rsidRDefault="00AD4DED" w:rsidP="00D376B6">
            <w:r w:rsidRPr="004D1976">
              <w:t>Analysis of Key GEBCO Bodies - SCRUM</w:t>
            </w:r>
          </w:p>
        </w:tc>
        <w:tc>
          <w:tcPr>
            <w:tcW w:w="2499" w:type="pct"/>
          </w:tcPr>
          <w:p w14:paraId="04F321E7" w14:textId="739D7051" w:rsidR="00AD4DED" w:rsidRPr="00F63D1D" w:rsidRDefault="00AD4DED" w:rsidP="00682B2C">
            <w:r w:rsidRPr="00F63D1D">
              <w:t>Work with other SCs and SB2030 team to review work plan and add notation where required to clarify areas of common interest</w:t>
            </w:r>
            <w:r>
              <w:t>.</w:t>
            </w:r>
          </w:p>
        </w:tc>
      </w:tr>
      <w:tr w:rsidR="00AD4DED" w:rsidRPr="00F63D1D" w14:paraId="72010D41" w14:textId="77777777" w:rsidTr="00682B2C">
        <w:tc>
          <w:tcPr>
            <w:tcW w:w="586" w:type="pct"/>
          </w:tcPr>
          <w:p w14:paraId="035AA172" w14:textId="77777777" w:rsidR="00AD4DED" w:rsidRPr="00F63D1D" w:rsidRDefault="00AD4DED" w:rsidP="00D376B6">
            <w:r w:rsidRPr="00F63D1D">
              <w:t>13.2.3</w:t>
            </w:r>
          </w:p>
        </w:tc>
        <w:tc>
          <w:tcPr>
            <w:tcW w:w="1914" w:type="pct"/>
          </w:tcPr>
          <w:p w14:paraId="46F035B5" w14:textId="77777777" w:rsidR="00AD4DED" w:rsidRPr="00F63D1D" w:rsidRDefault="00AD4DED" w:rsidP="00D376B6">
            <w:r w:rsidRPr="004D1976">
              <w:t>Analysis of Key GEBCO Bodies - SCRUM</w:t>
            </w:r>
          </w:p>
        </w:tc>
        <w:tc>
          <w:tcPr>
            <w:tcW w:w="2499" w:type="pct"/>
          </w:tcPr>
          <w:p w14:paraId="79C76881" w14:textId="79EAD6C6" w:rsidR="00AD4DED" w:rsidRPr="00F63D1D" w:rsidRDefault="00AD4DED" w:rsidP="00682B2C">
            <w:r w:rsidRPr="00F63D1D">
              <w:t xml:space="preserve">Review Work plan once strategy has been published and agree </w:t>
            </w:r>
            <w:r>
              <w:t>prioritization.</w:t>
            </w:r>
          </w:p>
        </w:tc>
      </w:tr>
      <w:tr w:rsidR="00AD4DED" w:rsidRPr="00F63D1D" w14:paraId="234D84C4" w14:textId="77777777" w:rsidTr="00682B2C">
        <w:tc>
          <w:tcPr>
            <w:tcW w:w="586" w:type="pct"/>
          </w:tcPr>
          <w:p w14:paraId="2D666223" w14:textId="77777777" w:rsidR="00AD4DED" w:rsidRPr="00F63D1D" w:rsidRDefault="00AD4DED" w:rsidP="00D376B6">
            <w:r w:rsidRPr="00F63D1D">
              <w:t>13.2.3</w:t>
            </w:r>
          </w:p>
        </w:tc>
        <w:tc>
          <w:tcPr>
            <w:tcW w:w="1914" w:type="pct"/>
          </w:tcPr>
          <w:p w14:paraId="4BCFA55E" w14:textId="77777777" w:rsidR="00AD4DED" w:rsidRPr="00F63D1D" w:rsidRDefault="00AD4DED" w:rsidP="00D376B6">
            <w:r w:rsidRPr="004D1976">
              <w:t>Analysis of Key GEBCO Bodies - SCRUM</w:t>
            </w:r>
          </w:p>
        </w:tc>
        <w:tc>
          <w:tcPr>
            <w:tcW w:w="2499" w:type="pct"/>
          </w:tcPr>
          <w:p w14:paraId="6043C79C" w14:textId="413E53CE" w:rsidR="00AD4DED" w:rsidRPr="00F63D1D" w:rsidRDefault="00AD4DED" w:rsidP="00682B2C">
            <w:r w:rsidRPr="00F63D1D">
              <w:t>SCRUM to consider and agree on a routine that works for membership</w:t>
            </w:r>
            <w:r>
              <w:t>.</w:t>
            </w:r>
          </w:p>
        </w:tc>
      </w:tr>
      <w:tr w:rsidR="00AD4DED" w:rsidRPr="00F63D1D" w14:paraId="167E901C" w14:textId="77777777" w:rsidTr="00682B2C">
        <w:tc>
          <w:tcPr>
            <w:tcW w:w="586" w:type="pct"/>
          </w:tcPr>
          <w:p w14:paraId="6FEB058D" w14:textId="77777777" w:rsidR="00AD4DED" w:rsidRPr="00F63D1D" w:rsidRDefault="00AD4DED" w:rsidP="00D376B6">
            <w:r w:rsidRPr="00F63D1D">
              <w:t>13.2.3</w:t>
            </w:r>
          </w:p>
        </w:tc>
        <w:tc>
          <w:tcPr>
            <w:tcW w:w="1914" w:type="pct"/>
          </w:tcPr>
          <w:p w14:paraId="2640F4D3" w14:textId="77777777" w:rsidR="00AD4DED" w:rsidRPr="00F63D1D" w:rsidRDefault="00AD4DED" w:rsidP="00D376B6">
            <w:r w:rsidRPr="004D1976">
              <w:t>Analysis of Key GEBCO Bodies - SCRUM</w:t>
            </w:r>
          </w:p>
        </w:tc>
        <w:tc>
          <w:tcPr>
            <w:tcW w:w="2499" w:type="pct"/>
          </w:tcPr>
          <w:p w14:paraId="1AF079D5" w14:textId="0F21D2A4" w:rsidR="00AD4DED" w:rsidRPr="00F63D1D" w:rsidRDefault="00AD4DED" w:rsidP="00682B2C">
            <w:r w:rsidRPr="00F63D1D">
              <w:t xml:space="preserve">Review and potentially reduce number of full members – adjusting </w:t>
            </w:r>
            <w:proofErr w:type="spellStart"/>
            <w:r w:rsidRPr="00F63D1D">
              <w:t>ToRs</w:t>
            </w:r>
            <w:proofErr w:type="spellEnd"/>
            <w:r w:rsidRPr="00F63D1D">
              <w:t xml:space="preserve"> as required.</w:t>
            </w:r>
          </w:p>
        </w:tc>
      </w:tr>
      <w:tr w:rsidR="00AD4DED" w:rsidRPr="00F63D1D" w14:paraId="1B00A741" w14:textId="77777777" w:rsidTr="00682B2C">
        <w:tc>
          <w:tcPr>
            <w:tcW w:w="586" w:type="pct"/>
          </w:tcPr>
          <w:p w14:paraId="106B50B3" w14:textId="77777777" w:rsidR="00AD4DED" w:rsidRPr="00F63D1D" w:rsidRDefault="00AD4DED" w:rsidP="00D376B6">
            <w:r w:rsidRPr="00F63D1D">
              <w:t>13.2.4</w:t>
            </w:r>
          </w:p>
        </w:tc>
        <w:tc>
          <w:tcPr>
            <w:tcW w:w="1914" w:type="pct"/>
          </w:tcPr>
          <w:p w14:paraId="0003A44B" w14:textId="77777777" w:rsidR="00AD4DED" w:rsidRPr="00F63D1D" w:rsidRDefault="00AD4DED" w:rsidP="00D376B6">
            <w:r>
              <w:t>Analysis of Key GEBCO Bodies - SCOPE</w:t>
            </w:r>
          </w:p>
        </w:tc>
        <w:tc>
          <w:tcPr>
            <w:tcW w:w="2499" w:type="pct"/>
          </w:tcPr>
          <w:p w14:paraId="109E110C" w14:textId="1F9A9806" w:rsidR="00AD4DED" w:rsidRPr="00F63D1D" w:rsidRDefault="00AD4DED" w:rsidP="00682B2C">
            <w:r w:rsidRPr="00F63D1D">
              <w:t xml:space="preserve">Review </w:t>
            </w:r>
            <w:proofErr w:type="spellStart"/>
            <w:r w:rsidRPr="00F63D1D">
              <w:t>ToRs</w:t>
            </w:r>
            <w:proofErr w:type="spellEnd"/>
            <w:r w:rsidRPr="00F63D1D">
              <w:t xml:space="preserve"> to ensure alignment with Strategy</w:t>
            </w:r>
            <w:r>
              <w:t>.</w:t>
            </w:r>
          </w:p>
        </w:tc>
      </w:tr>
      <w:tr w:rsidR="00AD4DED" w:rsidRPr="00F63D1D" w14:paraId="1D0D1EE4" w14:textId="77777777" w:rsidTr="00682B2C">
        <w:tc>
          <w:tcPr>
            <w:tcW w:w="586" w:type="pct"/>
          </w:tcPr>
          <w:p w14:paraId="031D390E" w14:textId="77777777" w:rsidR="00AD4DED" w:rsidRPr="00F63D1D" w:rsidRDefault="00AD4DED" w:rsidP="00D376B6">
            <w:r w:rsidRPr="00F63D1D">
              <w:t>13.2.4</w:t>
            </w:r>
          </w:p>
        </w:tc>
        <w:tc>
          <w:tcPr>
            <w:tcW w:w="1914" w:type="pct"/>
          </w:tcPr>
          <w:p w14:paraId="13226E0C" w14:textId="77777777" w:rsidR="00AD4DED" w:rsidRPr="00F63D1D" w:rsidRDefault="00AD4DED" w:rsidP="00D376B6">
            <w:r w:rsidRPr="00CE3B5B">
              <w:t>Analysis of Key GEBCO Bodies - SCOPE</w:t>
            </w:r>
          </w:p>
        </w:tc>
        <w:tc>
          <w:tcPr>
            <w:tcW w:w="2499" w:type="pct"/>
          </w:tcPr>
          <w:p w14:paraId="195CED6D" w14:textId="08C6EBBC" w:rsidR="00AD4DED" w:rsidRPr="00F63D1D" w:rsidRDefault="00AD4DED" w:rsidP="00682B2C">
            <w:r w:rsidRPr="00F63D1D">
              <w:t xml:space="preserve">Define process diagram that can be appended to </w:t>
            </w:r>
            <w:proofErr w:type="spellStart"/>
            <w:r w:rsidRPr="00F63D1D">
              <w:t>ToRs</w:t>
            </w:r>
            <w:proofErr w:type="spellEnd"/>
            <w:r>
              <w:t>.</w:t>
            </w:r>
          </w:p>
        </w:tc>
      </w:tr>
      <w:tr w:rsidR="00AD4DED" w:rsidRPr="00F63D1D" w14:paraId="5E78E922" w14:textId="77777777" w:rsidTr="00682B2C">
        <w:tc>
          <w:tcPr>
            <w:tcW w:w="586" w:type="pct"/>
          </w:tcPr>
          <w:p w14:paraId="1B66DA13" w14:textId="77777777" w:rsidR="00AD4DED" w:rsidRPr="00F63D1D" w:rsidRDefault="00AD4DED" w:rsidP="00D376B6">
            <w:r w:rsidRPr="00F63D1D">
              <w:t>13.2.4</w:t>
            </w:r>
          </w:p>
        </w:tc>
        <w:tc>
          <w:tcPr>
            <w:tcW w:w="1914" w:type="pct"/>
          </w:tcPr>
          <w:p w14:paraId="53C8C070" w14:textId="77777777" w:rsidR="00AD4DED" w:rsidRPr="00F63D1D" w:rsidRDefault="00AD4DED" w:rsidP="00D376B6">
            <w:r w:rsidRPr="00CE3B5B">
              <w:t>Analysis of Key GEBCO Bodies - SCOPE</w:t>
            </w:r>
          </w:p>
        </w:tc>
        <w:tc>
          <w:tcPr>
            <w:tcW w:w="2499" w:type="pct"/>
          </w:tcPr>
          <w:p w14:paraId="1AEF03FE" w14:textId="524E3EB2" w:rsidR="00AD4DED" w:rsidRPr="00F63D1D" w:rsidRDefault="00AD4DED" w:rsidP="00682B2C">
            <w:r w:rsidRPr="00F63D1D">
              <w:t>SCRUM to consider and agree on a routine that works for membership</w:t>
            </w:r>
            <w:r>
              <w:t>.</w:t>
            </w:r>
          </w:p>
        </w:tc>
      </w:tr>
      <w:tr w:rsidR="00AD4DED" w:rsidRPr="00F63D1D" w14:paraId="4F15A6CA" w14:textId="77777777" w:rsidTr="00682B2C">
        <w:tc>
          <w:tcPr>
            <w:tcW w:w="586" w:type="pct"/>
          </w:tcPr>
          <w:p w14:paraId="5F94B097" w14:textId="77777777" w:rsidR="00AD4DED" w:rsidRPr="00F63D1D" w:rsidRDefault="00AD4DED" w:rsidP="00D376B6">
            <w:r w:rsidRPr="00F63D1D">
              <w:t>13.2.4</w:t>
            </w:r>
          </w:p>
        </w:tc>
        <w:tc>
          <w:tcPr>
            <w:tcW w:w="1914" w:type="pct"/>
          </w:tcPr>
          <w:p w14:paraId="664778A1" w14:textId="77777777" w:rsidR="00AD4DED" w:rsidRPr="00F63D1D" w:rsidRDefault="00AD4DED" w:rsidP="00D376B6">
            <w:r w:rsidRPr="00CE3B5B">
              <w:t>Analysis of Key GEBCO Bodies - SCOPE</w:t>
            </w:r>
          </w:p>
        </w:tc>
        <w:tc>
          <w:tcPr>
            <w:tcW w:w="2499" w:type="pct"/>
          </w:tcPr>
          <w:p w14:paraId="11A3AC4C" w14:textId="1EC823BC" w:rsidR="00AD4DED" w:rsidRPr="00F63D1D" w:rsidRDefault="00AD4DED" w:rsidP="00682B2C">
            <w:r w:rsidRPr="00F63D1D">
              <w:t>Consider a new category of participation of IHO/IOC Comms Reps in SCOPE</w:t>
            </w:r>
            <w:r>
              <w:t>.</w:t>
            </w:r>
          </w:p>
        </w:tc>
      </w:tr>
      <w:tr w:rsidR="00AD4DED" w:rsidRPr="00F63D1D" w14:paraId="5C5C04C4" w14:textId="77777777" w:rsidTr="00682B2C">
        <w:tc>
          <w:tcPr>
            <w:tcW w:w="586" w:type="pct"/>
          </w:tcPr>
          <w:p w14:paraId="0CAC82A8" w14:textId="77777777" w:rsidR="00AD4DED" w:rsidRPr="00F63D1D" w:rsidRDefault="00AD4DED" w:rsidP="00D376B6">
            <w:r w:rsidRPr="00F63D1D">
              <w:t>13.2.4</w:t>
            </w:r>
          </w:p>
        </w:tc>
        <w:tc>
          <w:tcPr>
            <w:tcW w:w="1914" w:type="pct"/>
          </w:tcPr>
          <w:p w14:paraId="511D1064" w14:textId="77777777" w:rsidR="00AD4DED" w:rsidRPr="00F63D1D" w:rsidRDefault="00AD4DED" w:rsidP="00D376B6">
            <w:r w:rsidRPr="00CE3B5B">
              <w:t>Analysis of Key GEBCO Bodies - SCOPE</w:t>
            </w:r>
          </w:p>
        </w:tc>
        <w:tc>
          <w:tcPr>
            <w:tcW w:w="2499" w:type="pct"/>
          </w:tcPr>
          <w:p w14:paraId="2C1C7FB5" w14:textId="7F0F9A71" w:rsidR="00AD4DED" w:rsidRPr="00F63D1D" w:rsidRDefault="00AD4DED" w:rsidP="00682B2C">
            <w:r w:rsidRPr="00F63D1D">
              <w:t xml:space="preserve">Review and potentially reduce number of full members – adjusting </w:t>
            </w:r>
            <w:proofErr w:type="spellStart"/>
            <w:r w:rsidRPr="00F63D1D">
              <w:t>ToRs</w:t>
            </w:r>
            <w:proofErr w:type="spellEnd"/>
            <w:r w:rsidRPr="00F63D1D">
              <w:t xml:space="preserve"> as required.</w:t>
            </w:r>
          </w:p>
        </w:tc>
      </w:tr>
      <w:tr w:rsidR="00AD4DED" w:rsidRPr="00F63D1D" w14:paraId="1BEAF17A" w14:textId="77777777" w:rsidTr="00682B2C">
        <w:tc>
          <w:tcPr>
            <w:tcW w:w="586" w:type="pct"/>
          </w:tcPr>
          <w:p w14:paraId="512FAE04" w14:textId="77777777" w:rsidR="00AD4DED" w:rsidRPr="00F63D1D" w:rsidRDefault="00AD4DED" w:rsidP="00D376B6">
            <w:r w:rsidRPr="00F63D1D">
              <w:t>13.2.4</w:t>
            </w:r>
          </w:p>
        </w:tc>
        <w:tc>
          <w:tcPr>
            <w:tcW w:w="1914" w:type="pct"/>
          </w:tcPr>
          <w:p w14:paraId="2D33AEFD" w14:textId="77777777" w:rsidR="00AD4DED" w:rsidRPr="00F63D1D" w:rsidRDefault="00AD4DED" w:rsidP="00D376B6">
            <w:r w:rsidRPr="00CE3B5B">
              <w:t>Analysis of Key GEBCO Bodies - SCOPE</w:t>
            </w:r>
          </w:p>
        </w:tc>
        <w:tc>
          <w:tcPr>
            <w:tcW w:w="2499" w:type="pct"/>
          </w:tcPr>
          <w:p w14:paraId="7A3D4773" w14:textId="14A4D544" w:rsidR="00AD4DED" w:rsidRPr="00F63D1D" w:rsidRDefault="00AD4DED" w:rsidP="00682B2C">
            <w:r w:rsidRPr="00F63D1D">
              <w:t>Relationship should be clarified and formalized via an appropriate instrument.</w:t>
            </w:r>
          </w:p>
        </w:tc>
      </w:tr>
      <w:tr w:rsidR="00AD4DED" w:rsidRPr="00F63D1D" w14:paraId="1E06BD3B" w14:textId="77777777" w:rsidTr="00682B2C">
        <w:tc>
          <w:tcPr>
            <w:tcW w:w="586" w:type="pct"/>
          </w:tcPr>
          <w:p w14:paraId="1F3EA1F9" w14:textId="77777777" w:rsidR="00AD4DED" w:rsidRPr="00F63D1D" w:rsidRDefault="00AD4DED" w:rsidP="00D376B6">
            <w:r w:rsidRPr="00F63D1D">
              <w:t>14</w:t>
            </w:r>
          </w:p>
        </w:tc>
        <w:tc>
          <w:tcPr>
            <w:tcW w:w="1914" w:type="pct"/>
          </w:tcPr>
          <w:p w14:paraId="40D8A054" w14:textId="77777777" w:rsidR="00AD4DED" w:rsidRPr="00F63D1D" w:rsidRDefault="00AD4DED" w:rsidP="00D376B6">
            <w:r>
              <w:t>Continuous Improvement</w:t>
            </w:r>
          </w:p>
        </w:tc>
        <w:tc>
          <w:tcPr>
            <w:tcW w:w="2499" w:type="pct"/>
          </w:tcPr>
          <w:p w14:paraId="71928BB6" w14:textId="1296610E" w:rsidR="00AD4DED" w:rsidRPr="00F63D1D" w:rsidRDefault="00AD4DED" w:rsidP="00682B2C">
            <w:r w:rsidRPr="00F63D1D">
              <w:t>Consider the proposal for a continuous improvement process and implement into GEBCO Programme business as usual practices.</w:t>
            </w:r>
          </w:p>
        </w:tc>
      </w:tr>
    </w:tbl>
    <w:p w14:paraId="0D9B72C5" w14:textId="073A5A67" w:rsidR="00AD4DED" w:rsidRDefault="00AD4DED" w:rsidP="00AD4DED">
      <w:pPr>
        <w:pStyle w:val="COI"/>
        <w:numPr>
          <w:ilvl w:val="0"/>
          <w:numId w:val="0"/>
        </w:numPr>
      </w:pPr>
    </w:p>
    <w:p w14:paraId="0FC304E8" w14:textId="77777777" w:rsidR="00780655" w:rsidRPr="00780655" w:rsidRDefault="00780655" w:rsidP="00780655">
      <w:pPr>
        <w:pStyle w:val="Heading3"/>
      </w:pPr>
      <w:r w:rsidRPr="00BF0FDA">
        <w:t>Next steps and future activities</w:t>
      </w:r>
    </w:p>
    <w:p w14:paraId="479FE563" w14:textId="77777777" w:rsidR="00780655" w:rsidRPr="00625C64" w:rsidRDefault="00780655" w:rsidP="00217518">
      <w:pPr>
        <w:pStyle w:val="COI"/>
        <w:rPr>
          <w:bCs/>
        </w:rPr>
      </w:pPr>
      <w:r>
        <w:rPr>
          <w:bCs/>
        </w:rPr>
        <w:t xml:space="preserve">The </w:t>
      </w:r>
      <w:r w:rsidRPr="00217518">
        <w:t>following</w:t>
      </w:r>
      <w:r>
        <w:rPr>
          <w:bCs/>
        </w:rPr>
        <w:t xml:space="preserve"> next steps are presented for consideration subject to discussion by the GGC and other key stakeholders</w:t>
      </w:r>
      <w:r w:rsidRPr="00625C64">
        <w:rPr>
          <w:bCs/>
        </w:rPr>
        <w:t>:</w:t>
      </w:r>
    </w:p>
    <w:p w14:paraId="5C2FEE24" w14:textId="77777777" w:rsidR="00780655" w:rsidRPr="00625C64" w:rsidRDefault="00780655" w:rsidP="00217518">
      <w:pPr>
        <w:pStyle w:val="COI"/>
        <w:rPr>
          <w:bCs/>
        </w:rPr>
      </w:pPr>
      <w:r w:rsidRPr="00625C64">
        <w:rPr>
          <w:b/>
        </w:rPr>
        <w:t>Presentation of Report</w:t>
      </w:r>
      <w:r>
        <w:rPr>
          <w:b/>
        </w:rPr>
        <w:t>.</w:t>
      </w:r>
      <w:r w:rsidRPr="00625C64">
        <w:rPr>
          <w:bCs/>
        </w:rPr>
        <w:t xml:space="preserve"> The report </w:t>
      </w:r>
      <w:r w:rsidRPr="00217518">
        <w:t>will</w:t>
      </w:r>
      <w:r>
        <w:rPr>
          <w:bCs/>
        </w:rPr>
        <w:t xml:space="preserve"> be submitted </w:t>
      </w:r>
      <w:r w:rsidRPr="00625C64">
        <w:rPr>
          <w:bCs/>
        </w:rPr>
        <w:t xml:space="preserve">for the consideration of the </w:t>
      </w:r>
      <w:r>
        <w:rPr>
          <w:bCs/>
        </w:rPr>
        <w:t xml:space="preserve">GGC as set out in the GGRPT </w:t>
      </w:r>
      <w:proofErr w:type="spellStart"/>
      <w:r>
        <w:rPr>
          <w:bCs/>
        </w:rPr>
        <w:t>ToRs</w:t>
      </w:r>
      <w:proofErr w:type="spellEnd"/>
      <w:r>
        <w:rPr>
          <w:bCs/>
        </w:rPr>
        <w:t xml:space="preserve"> and </w:t>
      </w:r>
      <w:proofErr w:type="spellStart"/>
      <w:r>
        <w:rPr>
          <w:bCs/>
        </w:rPr>
        <w:t>RoPs</w:t>
      </w:r>
      <w:proofErr w:type="spellEnd"/>
      <w:r>
        <w:rPr>
          <w:bCs/>
        </w:rPr>
        <w:t>.</w:t>
      </w:r>
    </w:p>
    <w:p w14:paraId="35CFB97D" w14:textId="77777777" w:rsidR="00780655" w:rsidRPr="00625C64" w:rsidRDefault="00780655" w:rsidP="00217518">
      <w:pPr>
        <w:pStyle w:val="COI"/>
        <w:rPr>
          <w:bCs/>
        </w:rPr>
      </w:pPr>
      <w:r w:rsidRPr="00625C64">
        <w:rPr>
          <w:b/>
        </w:rPr>
        <w:t>Individual Consideration of Recommendations</w:t>
      </w:r>
      <w:r>
        <w:rPr>
          <w:b/>
        </w:rPr>
        <w:t>.</w:t>
      </w:r>
      <w:r w:rsidRPr="00625C64">
        <w:rPr>
          <w:bCs/>
        </w:rPr>
        <w:t xml:space="preserve"> These recommendations are to be evaluated either by the GGC as a whole or by a designated sub-group. This step ensures focused attention on each suggestion, facilitating </w:t>
      </w:r>
      <w:r w:rsidRPr="00217518">
        <w:t>thorough</w:t>
      </w:r>
      <w:r w:rsidRPr="00625C64">
        <w:rPr>
          <w:bCs/>
        </w:rPr>
        <w:t xml:space="preserve"> analysis and decision-making.</w:t>
      </w:r>
      <w:r>
        <w:rPr>
          <w:bCs/>
        </w:rPr>
        <w:t xml:space="preserve"> Care should be taken when deciding </w:t>
      </w:r>
      <w:proofErr w:type="gramStart"/>
      <w:r>
        <w:rPr>
          <w:bCs/>
        </w:rPr>
        <w:t>whether or not</w:t>
      </w:r>
      <w:proofErr w:type="gramEnd"/>
      <w:r>
        <w:rPr>
          <w:bCs/>
        </w:rPr>
        <w:t xml:space="preserve"> to implement a recommendation, as some recommendations may or may not be mutually exclusive.</w:t>
      </w:r>
    </w:p>
    <w:p w14:paraId="7D0BC527" w14:textId="77777777" w:rsidR="00780655" w:rsidRPr="00625C64" w:rsidRDefault="00780655" w:rsidP="00217518">
      <w:pPr>
        <w:pStyle w:val="COI"/>
        <w:rPr>
          <w:bCs/>
        </w:rPr>
      </w:pPr>
      <w:r w:rsidRPr="00625C64">
        <w:rPr>
          <w:b/>
        </w:rPr>
        <w:t>Development of Implementation Plan</w:t>
      </w:r>
      <w:r>
        <w:rPr>
          <w:b/>
        </w:rPr>
        <w:t>.</w:t>
      </w:r>
      <w:r w:rsidRPr="00625C64">
        <w:rPr>
          <w:bCs/>
        </w:rPr>
        <w:t xml:space="preserve"> A structured plan for implementing the agreed-upon recommendations </w:t>
      </w:r>
      <w:r>
        <w:rPr>
          <w:bCs/>
        </w:rPr>
        <w:t>should</w:t>
      </w:r>
      <w:r w:rsidRPr="00625C64">
        <w:rPr>
          <w:bCs/>
        </w:rPr>
        <w:t xml:space="preserve"> be developed. This plan will serve as a roadmap, outlining the steps necessary to </w:t>
      </w:r>
      <w:r>
        <w:rPr>
          <w:bCs/>
        </w:rPr>
        <w:t>deliver the desired</w:t>
      </w:r>
      <w:r w:rsidRPr="00625C64">
        <w:rPr>
          <w:bCs/>
        </w:rPr>
        <w:t xml:space="preserve"> changes and improvements.</w:t>
      </w:r>
    </w:p>
    <w:p w14:paraId="479753B7" w14:textId="77777777" w:rsidR="00780655" w:rsidRPr="00625C64" w:rsidRDefault="00780655" w:rsidP="00217518">
      <w:pPr>
        <w:pStyle w:val="COI"/>
        <w:rPr>
          <w:bCs/>
        </w:rPr>
      </w:pPr>
      <w:r w:rsidRPr="00625C64">
        <w:rPr>
          <w:b/>
        </w:rPr>
        <w:t>Integration of Continuous Improvement Regime</w:t>
      </w:r>
      <w:r>
        <w:rPr>
          <w:b/>
        </w:rPr>
        <w:t>.</w:t>
      </w:r>
      <w:r w:rsidRPr="00625C64">
        <w:rPr>
          <w:bCs/>
        </w:rPr>
        <w:t xml:space="preserve"> There is a clear directive to embed a continuous improvement framework into the working practices of all committees and subcommittees. This </w:t>
      </w:r>
      <w:r w:rsidRPr="00217518">
        <w:t>approach</w:t>
      </w:r>
      <w:r w:rsidRPr="00625C64">
        <w:rPr>
          <w:bCs/>
        </w:rPr>
        <w:t xml:space="preserve"> aims to foster an ongoing culture of evaluation and enhancement, ensuring that governance mechanisms evolve in line with </w:t>
      </w:r>
      <w:r>
        <w:rPr>
          <w:bCs/>
        </w:rPr>
        <w:t>organization</w:t>
      </w:r>
      <w:r w:rsidRPr="00625C64">
        <w:rPr>
          <w:bCs/>
        </w:rPr>
        <w:t>al needs and challenges.</w:t>
      </w:r>
    </w:p>
    <w:p w14:paraId="137378B6" w14:textId="77777777" w:rsidR="00780655" w:rsidRPr="00625C64" w:rsidRDefault="00780655" w:rsidP="00217518">
      <w:pPr>
        <w:pStyle w:val="COI"/>
        <w:rPr>
          <w:bCs/>
        </w:rPr>
      </w:pPr>
      <w:r w:rsidRPr="00625C64">
        <w:rPr>
          <w:b/>
        </w:rPr>
        <w:t>Governance Review of SCUFN</w:t>
      </w:r>
      <w:r>
        <w:rPr>
          <w:b/>
        </w:rPr>
        <w:t>.</w:t>
      </w:r>
      <w:r w:rsidRPr="00625C64">
        <w:rPr>
          <w:bCs/>
        </w:rPr>
        <w:t xml:space="preserve"> A specific governance review using the same model employed for the broader analysis </w:t>
      </w:r>
      <w:r>
        <w:rPr>
          <w:bCs/>
        </w:rPr>
        <w:t>could</w:t>
      </w:r>
      <w:r w:rsidRPr="00625C64">
        <w:rPr>
          <w:bCs/>
        </w:rPr>
        <w:t xml:space="preserve"> be conducted for the Sub-Committee on Undersea Feature Names (SCUFN). This targeted review will assess SCUFN's governance structures and processes, with findings to be reported back to the GGC.</w:t>
      </w:r>
    </w:p>
    <w:p w14:paraId="4FEAA0CD" w14:textId="77777777" w:rsidR="00780655" w:rsidRDefault="00780655" w:rsidP="00217518">
      <w:pPr>
        <w:pStyle w:val="COI"/>
        <w:rPr>
          <w:bCs/>
        </w:rPr>
      </w:pPr>
      <w:r w:rsidRPr="00625C64">
        <w:rPr>
          <w:b/>
        </w:rPr>
        <w:lastRenderedPageBreak/>
        <w:t>Review of SB2030 Oversight</w:t>
      </w:r>
      <w:r>
        <w:rPr>
          <w:b/>
        </w:rPr>
        <w:t>.</w:t>
      </w:r>
      <w:r w:rsidRPr="00625C64">
        <w:rPr>
          <w:bCs/>
        </w:rPr>
        <w:t xml:space="preserve"> An examination focused on the oversight of the Seabed 2030 (SB2030) project </w:t>
      </w:r>
      <w:r>
        <w:rPr>
          <w:bCs/>
        </w:rPr>
        <w:t>could be considered</w:t>
      </w:r>
      <w:r w:rsidRPr="00625C64">
        <w:rPr>
          <w:bCs/>
        </w:rPr>
        <w:t xml:space="preserve">. </w:t>
      </w:r>
      <w:r>
        <w:rPr>
          <w:bCs/>
        </w:rPr>
        <w:t>Such a review should consider how</w:t>
      </w:r>
      <w:r w:rsidRPr="00625C64">
        <w:rPr>
          <w:bCs/>
        </w:rPr>
        <w:t xml:space="preserve"> GEBCO's governance needs to adapt to support a growing portfolio of projects and </w:t>
      </w:r>
      <w:r>
        <w:rPr>
          <w:bCs/>
        </w:rPr>
        <w:t>programme</w:t>
      </w:r>
      <w:r w:rsidRPr="00625C64">
        <w:rPr>
          <w:bCs/>
        </w:rPr>
        <w:t>s. It is crucial that this review is conducted with caution to avoid disrupting the operations of SB2030, which is recognized as a well-functioning project.</w:t>
      </w:r>
      <w:r>
        <w:rPr>
          <w:bCs/>
        </w:rPr>
        <w:t xml:space="preserve"> Further, any review should be discussed and planned in consultation with the Nippon Foundation and Parent organizations to ensure it adheres to and meets the needs of all parties.</w:t>
      </w:r>
    </w:p>
    <w:p w14:paraId="7727CBA2" w14:textId="77777777" w:rsidR="00780655" w:rsidRPr="00A76879" w:rsidRDefault="00780655" w:rsidP="00217518">
      <w:pPr>
        <w:pStyle w:val="COI"/>
        <w:rPr>
          <w:bCs/>
        </w:rPr>
      </w:pPr>
      <w:r w:rsidRPr="00A76879">
        <w:rPr>
          <w:b/>
        </w:rPr>
        <w:t>Review of the legal status of GEBCO</w:t>
      </w:r>
      <w:r>
        <w:rPr>
          <w:b/>
        </w:rPr>
        <w:t xml:space="preserve">. </w:t>
      </w:r>
      <w:r>
        <w:rPr>
          <w:bCs/>
        </w:rPr>
        <w:t xml:space="preserve">Depending on the outcome of the GEBCO Strategy activity, and in considering the future ambition of GEBCO to undertake fundraising for future activities, a targeted </w:t>
      </w:r>
      <w:r w:rsidRPr="00217518">
        <w:t>review</w:t>
      </w:r>
      <w:r>
        <w:rPr>
          <w:bCs/>
        </w:rPr>
        <w:t xml:space="preserve"> of the options for the future legal status of GEBCO should be undertaken. This should ideally be led by the Parent Organizations.</w:t>
      </w:r>
    </w:p>
    <w:p w14:paraId="7A37B713" w14:textId="77777777" w:rsidR="00780655" w:rsidRPr="00AD4DED" w:rsidRDefault="00780655" w:rsidP="00AD4DED">
      <w:pPr>
        <w:pStyle w:val="COI"/>
        <w:numPr>
          <w:ilvl w:val="0"/>
          <w:numId w:val="0"/>
        </w:numPr>
      </w:pPr>
    </w:p>
    <w:sectPr w:rsidR="00780655" w:rsidRPr="00AD4DED"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B4BC3" w14:textId="77777777" w:rsidR="00A12042" w:rsidRDefault="00A12042">
      <w:r>
        <w:separator/>
      </w:r>
    </w:p>
  </w:endnote>
  <w:endnote w:type="continuationSeparator" w:id="0">
    <w:p w14:paraId="2C1F912A" w14:textId="77777777" w:rsidR="00A12042" w:rsidRDefault="00A1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65685" w14:textId="77777777" w:rsidR="00A12042" w:rsidRDefault="00A12042">
      <w:r>
        <w:separator/>
      </w:r>
    </w:p>
  </w:footnote>
  <w:footnote w:type="continuationSeparator" w:id="0">
    <w:p w14:paraId="1C80F1BC" w14:textId="77777777" w:rsidR="00A12042" w:rsidRDefault="00A12042">
      <w:r>
        <w:continuationSeparator/>
      </w:r>
    </w:p>
  </w:footnote>
  <w:footnote w:id="1">
    <w:p w14:paraId="10F710EE" w14:textId="2635FD19" w:rsidR="00682B2C" w:rsidRPr="00682B2C" w:rsidRDefault="00682B2C">
      <w:pPr>
        <w:pStyle w:val="FootnoteText"/>
      </w:pPr>
      <w:r>
        <w:rPr>
          <w:rStyle w:val="FootnoteReference"/>
        </w:rPr>
        <w:footnoteRef/>
      </w:r>
      <w:r>
        <w:t xml:space="preserve">  </w:t>
      </w:r>
      <w:r w:rsidRPr="00682B2C">
        <w:t>refer to the sections in the addendum to this document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C44B" w14:textId="77777777" w:rsidR="00020AA1" w:rsidRPr="00C962F0" w:rsidRDefault="00020AA1">
    <w:pPr>
      <w:pStyle w:val="Header"/>
      <w:rPr>
        <w:szCs w:val="22"/>
      </w:rPr>
    </w:pPr>
    <w:r w:rsidRPr="00C962F0">
      <w:rPr>
        <w:szCs w:val="22"/>
      </w:rPr>
      <w:t>ICG/CARIBE-EWS II/WD </w:t>
    </w:r>
    <w:r w:rsidRPr="00C962F0">
      <w:rPr>
        <w:szCs w:val="22"/>
        <w:highlight w:val="cyan"/>
      </w:rPr>
      <w:t>__</w:t>
    </w:r>
  </w:p>
  <w:p w14:paraId="7F004AC8" w14:textId="77777777" w:rsidR="00020AA1" w:rsidRPr="00C962F0" w:rsidRDefault="00020AA1">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17BB" w14:textId="77777777" w:rsidR="00020AA1" w:rsidRPr="00746B89" w:rsidRDefault="00020AA1" w:rsidP="00DF2FB9">
    <w:pPr>
      <w:pStyle w:val="Header"/>
      <w:tabs>
        <w:tab w:val="clear" w:pos="8306"/>
      </w:tabs>
      <w:rPr>
        <w:szCs w:val="22"/>
      </w:rPr>
    </w:pPr>
    <w:r w:rsidRPr="00746B89">
      <w:rPr>
        <w:szCs w:val="22"/>
      </w:rPr>
      <w:t xml:space="preserve">IOC-XXIV/2 Annex </w:t>
    </w:r>
    <w:r w:rsidRPr="00746B89">
      <w:rPr>
        <w:szCs w:val="22"/>
        <w:highlight w:val="yellow"/>
      </w:rPr>
      <w:t>__</w:t>
    </w:r>
  </w:p>
  <w:p w14:paraId="69CE61F5" w14:textId="77777777" w:rsidR="00020AA1" w:rsidRPr="00746B89" w:rsidRDefault="00020AA1"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2D90EC1E"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BF4B" w14:textId="6DCDF805" w:rsidR="00B8392A" w:rsidRPr="007C710A" w:rsidRDefault="00B8392A" w:rsidP="00517B47">
    <w:pPr>
      <w:pStyle w:val="Marge"/>
      <w:tabs>
        <w:tab w:val="left" w:pos="5954"/>
        <w:tab w:val="left" w:pos="7560"/>
      </w:tabs>
      <w:spacing w:after="0"/>
      <w:rPr>
        <w:rFonts w:cs="Arial"/>
        <w:b/>
        <w:szCs w:val="22"/>
      </w:rPr>
    </w:pPr>
    <w:r w:rsidRPr="007C710A">
      <w:rPr>
        <w:rFonts w:cs="Arial"/>
        <w:szCs w:val="22"/>
      </w:rPr>
      <w:t>Restricted Distribution</w:t>
    </w:r>
    <w:r w:rsidRPr="007C710A">
      <w:rPr>
        <w:rFonts w:cs="Arial"/>
        <w:szCs w:val="22"/>
      </w:rPr>
      <w:tab/>
    </w:r>
    <w:r w:rsidR="00173F28" w:rsidRPr="002A5D14">
      <w:rPr>
        <w:rFonts w:cs="Arial"/>
        <w:b/>
        <w:sz w:val="36"/>
        <w:szCs w:val="36"/>
      </w:rPr>
      <w:t>IOC/EC-5</w:t>
    </w:r>
    <w:r w:rsidR="00173F28">
      <w:rPr>
        <w:rFonts w:cs="Arial"/>
        <w:b/>
        <w:sz w:val="36"/>
        <w:szCs w:val="36"/>
      </w:rPr>
      <w:t>7</w:t>
    </w:r>
    <w:r w:rsidR="00173F28" w:rsidRPr="002A5D14">
      <w:rPr>
        <w:rFonts w:cs="Arial"/>
        <w:b/>
        <w:sz w:val="36"/>
        <w:szCs w:val="36"/>
      </w:rPr>
      <w:t>/</w:t>
    </w:r>
    <w:r w:rsidR="00FD3B3A">
      <w:rPr>
        <w:rFonts w:cs="Arial"/>
        <w:b/>
        <w:sz w:val="36"/>
        <w:szCs w:val="36"/>
      </w:rPr>
      <w:t>4.</w:t>
    </w:r>
    <w:proofErr w:type="gramStart"/>
    <w:r w:rsidR="00AD4DED">
      <w:rPr>
        <w:rFonts w:cs="Arial"/>
        <w:b/>
        <w:sz w:val="36"/>
        <w:szCs w:val="36"/>
      </w:rPr>
      <w:t>4</w:t>
    </w:r>
    <w:r w:rsidR="00173F28">
      <w:rPr>
        <w:rFonts w:cs="Arial"/>
        <w:b/>
        <w:sz w:val="36"/>
        <w:szCs w:val="36"/>
      </w:rPr>
      <w:t>.Doc</w:t>
    </w:r>
    <w:proofErr w:type="gramEnd"/>
    <w:r w:rsidR="00173F28">
      <w:rPr>
        <w:rFonts w:cs="Arial"/>
        <w:b/>
        <w:sz w:val="36"/>
        <w:szCs w:val="36"/>
      </w:rPr>
      <w:t>(</w:t>
    </w:r>
    <w:r w:rsidR="00AD4DED">
      <w:rPr>
        <w:rFonts w:cs="Arial"/>
        <w:b/>
        <w:sz w:val="36"/>
        <w:szCs w:val="36"/>
      </w:rPr>
      <w:t>1</w:t>
    </w:r>
    <w:r w:rsidR="00173F28">
      <w:rPr>
        <w:rFonts w:cs="Arial"/>
        <w:b/>
        <w:sz w:val="36"/>
        <w:szCs w:val="36"/>
      </w:rPr>
      <w:t>)</w:t>
    </w:r>
    <w:r>
      <w:rPr>
        <w:rFonts w:cs="Arial"/>
        <w:b/>
        <w:sz w:val="36"/>
        <w:szCs w:val="36"/>
      </w:rPr>
      <w:t xml:space="preserve"> </w:t>
    </w:r>
  </w:p>
  <w:p w14:paraId="584892BC" w14:textId="74361607" w:rsidR="00B8392A" w:rsidRPr="007C710A" w:rsidRDefault="00B8392A" w:rsidP="00517B47">
    <w:pPr>
      <w:tabs>
        <w:tab w:val="clear" w:pos="567"/>
        <w:tab w:val="left" w:pos="5954"/>
        <w:tab w:val="left" w:pos="7560"/>
      </w:tabs>
      <w:jc w:val="both"/>
      <w:rPr>
        <w:rFonts w:cs="Arial"/>
        <w:szCs w:val="22"/>
      </w:rPr>
    </w:pPr>
    <w:r>
      <w:rPr>
        <w:noProof/>
      </w:rPr>
      <w:drawing>
        <wp:anchor distT="0" distB="0" distL="114300" distR="114300" simplePos="0" relativeHeight="251659264" behindDoc="0" locked="0" layoutInCell="1" allowOverlap="1" wp14:anchorId="4041C9DD" wp14:editId="36EA03B8">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Cs w:val="22"/>
      </w:rPr>
      <w:tab/>
    </w:r>
    <w:r w:rsidRPr="007C710A">
      <w:rPr>
        <w:rFonts w:cs="Arial"/>
        <w:szCs w:val="22"/>
      </w:rPr>
      <w:t xml:space="preserve">Paris, </w:t>
    </w:r>
    <w:r w:rsidR="00FD3B3A">
      <w:rPr>
        <w:rFonts w:cs="Arial"/>
        <w:szCs w:val="22"/>
      </w:rPr>
      <w:t>2</w:t>
    </w:r>
    <w:r w:rsidR="00AD4DED">
      <w:rPr>
        <w:rFonts w:cs="Arial"/>
        <w:szCs w:val="22"/>
      </w:rPr>
      <w:t>8</w:t>
    </w:r>
    <w:r w:rsidR="00FD3B3A">
      <w:rPr>
        <w:rFonts w:cs="Arial"/>
        <w:szCs w:val="22"/>
      </w:rPr>
      <w:t xml:space="preserve"> May</w:t>
    </w:r>
    <w:r>
      <w:rPr>
        <w:rFonts w:cs="Arial"/>
        <w:szCs w:val="22"/>
      </w:rPr>
      <w:t xml:space="preserve"> 202</w:t>
    </w:r>
    <w:r w:rsidR="00173F28">
      <w:rPr>
        <w:rFonts w:cs="Arial"/>
        <w:szCs w:val="22"/>
      </w:rPr>
      <w:t>4</w:t>
    </w:r>
  </w:p>
  <w:p w14:paraId="7332251D" w14:textId="77777777" w:rsidR="00B8392A" w:rsidRPr="007C710A" w:rsidRDefault="00B8392A" w:rsidP="00517B47">
    <w:pPr>
      <w:tabs>
        <w:tab w:val="clear" w:pos="567"/>
        <w:tab w:val="left" w:pos="5954"/>
        <w:tab w:val="left" w:pos="7560"/>
      </w:tabs>
      <w:jc w:val="both"/>
      <w:rPr>
        <w:rFonts w:cs="Arial"/>
        <w:szCs w:val="22"/>
      </w:rPr>
    </w:pPr>
    <w:r w:rsidRPr="007C710A">
      <w:rPr>
        <w:rFonts w:cs="Arial"/>
        <w:b/>
        <w:szCs w:val="22"/>
      </w:rPr>
      <w:tab/>
    </w:r>
    <w:r w:rsidRPr="007C710A">
      <w:rPr>
        <w:rFonts w:cs="Arial"/>
        <w:szCs w:val="22"/>
      </w:rPr>
      <w:t>Original: English</w:t>
    </w:r>
  </w:p>
  <w:p w14:paraId="65C6BC2C"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142DE0E5"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F195CC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4B09F35F"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57CA679D" w14:textId="77777777" w:rsidR="00173F28" w:rsidRDefault="00173F28"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AF5E5A7"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677F590" w14:textId="77777777" w:rsidR="00173F28" w:rsidRPr="00966356" w:rsidRDefault="00173F28" w:rsidP="00173F28">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
        <w:szCs w:val="22"/>
      </w:rPr>
    </w:pPr>
    <w:r w:rsidRPr="00966356">
      <w:rPr>
        <w:rFonts w:asciiTheme="minorBidi" w:hAnsiTheme="minorBidi" w:cstheme="minorBidi"/>
        <w:b/>
        <w:szCs w:val="22"/>
      </w:rPr>
      <w:t>INTERGOVERNMENTAL OCEANOGRAPHIC COMMISSION</w:t>
    </w:r>
  </w:p>
  <w:p w14:paraId="13144A24" w14:textId="77777777" w:rsidR="00173F28" w:rsidRPr="00966356" w:rsidRDefault="00173F28" w:rsidP="00173F28">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cstheme="minorBidi"/>
        <w:bCs/>
        <w:szCs w:val="22"/>
      </w:rPr>
    </w:pPr>
    <w:r w:rsidRPr="00966356">
      <w:rPr>
        <w:rFonts w:asciiTheme="minorBidi" w:hAnsiTheme="minorBidi" w:cstheme="minorBidi"/>
        <w:bCs/>
        <w:szCs w:val="22"/>
      </w:rPr>
      <w:t>(of UNESCO)</w:t>
    </w:r>
  </w:p>
  <w:p w14:paraId="0C6CFCBB" w14:textId="77777777" w:rsidR="00173F28" w:rsidRPr="00966356" w:rsidRDefault="00173F28" w:rsidP="00173F28">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szCs w:val="22"/>
      </w:rPr>
    </w:pPr>
  </w:p>
  <w:p w14:paraId="4C284782" w14:textId="77777777" w:rsidR="00173F28" w:rsidRPr="00966356" w:rsidRDefault="00173F28" w:rsidP="00173F28">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Theme="minorBidi" w:hAnsiTheme="minorBidi" w:cstheme="minorBidi"/>
        <w:b/>
      </w:rPr>
    </w:pPr>
    <w:r w:rsidRPr="00966356">
      <w:rPr>
        <w:rFonts w:asciiTheme="minorBidi" w:hAnsiTheme="minorBidi" w:cstheme="minorBidi"/>
        <w:b/>
      </w:rPr>
      <w:t>Fifty-seventh Session of the Executive Council</w:t>
    </w:r>
  </w:p>
  <w:p w14:paraId="404C1B32" w14:textId="77777777" w:rsidR="00173F28" w:rsidRPr="00966356" w:rsidRDefault="00173F28" w:rsidP="00173F28">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cstheme="minorBidi"/>
        <w:b/>
        <w:lang w:val="en-US"/>
      </w:rPr>
    </w:pPr>
    <w:r w:rsidRPr="00966356">
      <w:rPr>
        <w:rFonts w:asciiTheme="minorBidi" w:hAnsiTheme="minorBidi" w:cstheme="minorBidi"/>
        <w:bCs/>
      </w:rPr>
      <w:t>UNESCO, Paris, 25–28 June 2024</w:t>
    </w:r>
  </w:p>
  <w:p w14:paraId="42BC2641" w14:textId="77777777" w:rsidR="00173F28" w:rsidRPr="00966356" w:rsidRDefault="00173F28" w:rsidP="00173F2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cstheme="minorBidi"/>
        <w:bCs/>
        <w:szCs w:val="22"/>
      </w:rPr>
    </w:pPr>
  </w:p>
  <w:p w14:paraId="47146454" w14:textId="77777777" w:rsidR="00173F28" w:rsidRPr="00966356" w:rsidRDefault="00173F28" w:rsidP="00173F28">
    <w:pPr>
      <w:jc w:val="center"/>
      <w:rPr>
        <w:rFonts w:asciiTheme="minorBidi" w:hAnsiTheme="minorBidi" w:cstheme="minorBidi"/>
        <w:szCs w:val="22"/>
      </w:rPr>
    </w:pPr>
  </w:p>
  <w:p w14:paraId="7459C6C0" w14:textId="77777777" w:rsidR="00173F28" w:rsidRPr="00966356" w:rsidRDefault="00173F28" w:rsidP="00173F28">
    <w:pPr>
      <w:jc w:val="center"/>
      <w:rPr>
        <w:rFonts w:asciiTheme="minorBidi" w:hAnsiTheme="minorBidi" w:cstheme="minorBidi"/>
        <w:szCs w:val="22"/>
      </w:rPr>
    </w:pPr>
  </w:p>
  <w:p w14:paraId="332AA498" w14:textId="77777777" w:rsidR="00B8392A" w:rsidRPr="005E544C" w:rsidRDefault="00B8392A" w:rsidP="00B8392A">
    <w:pPr>
      <w:jc w:val="center"/>
      <w:rPr>
        <w:rFonts w:cs="Arial"/>
        <w:szCs w:val="22"/>
      </w:rPr>
    </w:pPr>
  </w:p>
  <w:p w14:paraId="05F923FA" w14:textId="1C7BEAA8" w:rsidR="00B8392A" w:rsidRPr="00173F28" w:rsidRDefault="00B8392A" w:rsidP="00B8392A">
    <w:pPr>
      <w:pStyle w:val="Heading7"/>
      <w:tabs>
        <w:tab w:val="clear" w:pos="567"/>
        <w:tab w:val="right" w:pos="9540"/>
      </w:tabs>
      <w:rPr>
        <w:rFonts w:asciiTheme="minorBidi" w:hAnsiTheme="minorBidi" w:cstheme="minorBidi"/>
        <w:szCs w:val="22"/>
      </w:rPr>
    </w:pPr>
    <w:r w:rsidRPr="00173F28">
      <w:rPr>
        <w:rFonts w:asciiTheme="minorBidi" w:hAnsiTheme="minorBidi" w:cstheme="minorBidi"/>
        <w:sz w:val="24"/>
      </w:rPr>
      <w:t xml:space="preserve">Item </w:t>
    </w:r>
    <w:r w:rsidR="00FD3B3A">
      <w:rPr>
        <w:rFonts w:asciiTheme="minorBidi" w:hAnsiTheme="minorBidi" w:cstheme="minorBidi"/>
        <w:b/>
        <w:bCs/>
        <w:sz w:val="24"/>
      </w:rPr>
      <w:t>4.</w:t>
    </w:r>
    <w:r w:rsidR="00AD4DED">
      <w:rPr>
        <w:rFonts w:asciiTheme="minorBidi" w:hAnsiTheme="minorBidi" w:cstheme="minorBidi"/>
        <w:b/>
        <w:bCs/>
        <w:sz w:val="24"/>
      </w:rPr>
      <w:t>4</w:t>
    </w:r>
    <w:r w:rsidRPr="00173F28">
      <w:rPr>
        <w:rFonts w:asciiTheme="minorBidi" w:hAnsiTheme="minorBidi" w:cstheme="minorBidi"/>
        <w:sz w:val="24"/>
      </w:rPr>
      <w:t xml:space="preserve"> of the Provisional Agenda</w:t>
    </w:r>
  </w:p>
  <w:p w14:paraId="41E5EF9C" w14:textId="77777777" w:rsidR="00B8392A" w:rsidRPr="005E544C" w:rsidRDefault="00B8392A" w:rsidP="00B8392A">
    <w:pPr>
      <w:rPr>
        <w:rFonts w:cs="Arial"/>
        <w:szCs w:val="22"/>
      </w:rPr>
    </w:pPr>
  </w:p>
  <w:p w14:paraId="2D25F995" w14:textId="77777777" w:rsidR="00B8392A" w:rsidRPr="005E544C" w:rsidRDefault="00B8392A" w:rsidP="00B8392A">
    <w:pPr>
      <w:rPr>
        <w:rFonts w:cs="Arial"/>
        <w:szCs w:val="22"/>
      </w:rPr>
    </w:pPr>
  </w:p>
  <w:p w14:paraId="24E48EAA" w14:textId="40204813" w:rsidR="00B8392A" w:rsidRPr="009C15B1" w:rsidRDefault="00AD4DED" w:rsidP="00B8392A">
    <w:pPr>
      <w:pStyle w:val="Docheading"/>
    </w:pPr>
    <w:r w:rsidRPr="00AD4DED">
      <w:rPr>
        <w:color w:val="000000"/>
        <w:sz w:val="20"/>
        <w:szCs w:val="20"/>
      </w:rPr>
      <w:t>Report and Recommendations of the GEBCO Governance Review Project Team (2024)</w:t>
    </w:r>
  </w:p>
  <w:p w14:paraId="6F41D8CF"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43A5" w14:textId="774417A9" w:rsidR="00020AA1" w:rsidRPr="00B8392A" w:rsidRDefault="00173F28" w:rsidP="00294AD5">
    <w:pPr>
      <w:pStyle w:val="Header"/>
      <w:tabs>
        <w:tab w:val="clear" w:pos="8306"/>
      </w:tabs>
      <w:rPr>
        <w:rFonts w:cs="Arial"/>
        <w:sz w:val="20"/>
        <w:szCs w:val="20"/>
        <w:lang w:val="pt-PT"/>
      </w:rPr>
    </w:pPr>
    <w:r>
      <w:rPr>
        <w:rFonts w:cs="Arial"/>
        <w:sz w:val="20"/>
        <w:szCs w:val="20"/>
        <w:lang w:val="pt-PT"/>
      </w:rPr>
      <w:t>IOC/EC-57</w:t>
    </w:r>
    <w:r w:rsidR="00B8392A" w:rsidRPr="00B8392A">
      <w:rPr>
        <w:rFonts w:cs="Arial"/>
        <w:sz w:val="20"/>
        <w:szCs w:val="20"/>
        <w:lang w:val="pt-PT"/>
      </w:rPr>
      <w:t>/</w:t>
    </w:r>
    <w:r w:rsidR="00160303">
      <w:rPr>
        <w:rFonts w:cs="Arial"/>
        <w:sz w:val="20"/>
        <w:szCs w:val="20"/>
        <w:lang w:val="pt-PT"/>
      </w:rPr>
      <w:t>4.</w:t>
    </w:r>
    <w:proofErr w:type="gramStart"/>
    <w:r w:rsidR="00682B2C">
      <w:rPr>
        <w:rFonts w:cs="Arial"/>
        <w:sz w:val="20"/>
        <w:szCs w:val="20"/>
        <w:lang w:val="pt-PT"/>
      </w:rPr>
      <w:t>4</w:t>
    </w:r>
    <w:r w:rsidR="00B8392A" w:rsidRPr="00B8392A">
      <w:rPr>
        <w:rFonts w:cs="Arial"/>
        <w:sz w:val="20"/>
        <w:szCs w:val="20"/>
        <w:lang w:val="pt-PT"/>
      </w:rPr>
      <w:t>.Doc</w:t>
    </w:r>
    <w:proofErr w:type="gramEnd"/>
    <w:r w:rsidR="00B8392A" w:rsidRPr="00B8392A">
      <w:rPr>
        <w:rFonts w:cs="Arial"/>
        <w:sz w:val="20"/>
        <w:szCs w:val="20"/>
        <w:lang w:val="pt-PT"/>
      </w:rPr>
      <w:t>(</w:t>
    </w:r>
    <w:r w:rsidR="00160303">
      <w:rPr>
        <w:rFonts w:cs="Arial"/>
        <w:sz w:val="20"/>
        <w:szCs w:val="20"/>
        <w:lang w:val="pt-PT"/>
      </w:rPr>
      <w:t>2</w:t>
    </w:r>
    <w:r w:rsidR="00B8392A" w:rsidRPr="00B8392A">
      <w:rPr>
        <w:rFonts w:cs="Arial"/>
        <w:sz w:val="20"/>
        <w:szCs w:val="20"/>
        <w:lang w:val="pt-PT"/>
      </w:rPr>
      <w:t>)</w:t>
    </w:r>
  </w:p>
  <w:p w14:paraId="5350E5E9" w14:textId="77777777" w:rsidR="00020AA1" w:rsidRPr="00B8392A" w:rsidRDefault="00003B31" w:rsidP="00746B89">
    <w:pPr>
      <w:pStyle w:val="Header"/>
      <w:tabs>
        <w:tab w:val="clear" w:pos="8306"/>
      </w:tabs>
      <w:rPr>
        <w:rFonts w:cs="Arial"/>
        <w:sz w:val="20"/>
        <w:szCs w:val="20"/>
        <w:lang w:val="pt-PT"/>
      </w:rPr>
    </w:pPr>
    <w:proofErr w:type="spellStart"/>
    <w:r w:rsidRPr="00B8392A">
      <w:rPr>
        <w:rFonts w:cs="Arial"/>
        <w:sz w:val="20"/>
        <w:szCs w:val="20"/>
        <w:lang w:val="pt-PT"/>
      </w:rPr>
      <w:t>p</w:t>
    </w:r>
    <w:r w:rsidR="00020AA1" w:rsidRPr="00B8392A">
      <w:rPr>
        <w:rFonts w:cs="Arial"/>
        <w:sz w:val="20"/>
        <w:szCs w:val="20"/>
        <w:lang w:val="pt-PT"/>
      </w:rPr>
      <w:t>age</w:t>
    </w:r>
    <w:proofErr w:type="spellEnd"/>
    <w:r w:rsidR="00020AA1" w:rsidRPr="00B8392A">
      <w:rPr>
        <w:rFonts w:cs="Arial"/>
        <w:sz w:val="20"/>
        <w:szCs w:val="20"/>
        <w:lang w:val="pt-PT"/>
      </w:rPr>
      <w:t> </w:t>
    </w:r>
    <w:r w:rsidR="00020AA1" w:rsidRPr="006842FA">
      <w:rPr>
        <w:rStyle w:val="PageNumber"/>
        <w:rFonts w:cs="Arial"/>
        <w:sz w:val="20"/>
        <w:szCs w:val="20"/>
      </w:rPr>
      <w:fldChar w:fldCharType="begin"/>
    </w:r>
    <w:r w:rsidR="00020AA1" w:rsidRPr="00B8392A">
      <w:rPr>
        <w:rStyle w:val="PageNumber"/>
        <w:rFonts w:cs="Arial"/>
        <w:sz w:val="20"/>
        <w:szCs w:val="20"/>
        <w:lang w:val="pt-PT"/>
      </w:rPr>
      <w:instrText xml:space="preserve"> PAGE </w:instrText>
    </w:r>
    <w:r w:rsidR="00020AA1" w:rsidRPr="006842FA">
      <w:rPr>
        <w:rStyle w:val="PageNumber"/>
        <w:rFonts w:cs="Arial"/>
        <w:sz w:val="20"/>
        <w:szCs w:val="20"/>
      </w:rPr>
      <w:fldChar w:fldCharType="separate"/>
    </w:r>
    <w:r w:rsidR="00056F67" w:rsidRPr="00B8392A">
      <w:rPr>
        <w:rStyle w:val="PageNumber"/>
        <w:rFonts w:cs="Arial"/>
        <w:noProof/>
        <w:sz w:val="20"/>
        <w:szCs w:val="20"/>
        <w:lang w:val="pt-PT"/>
      </w:rPr>
      <w:t>2</w:t>
    </w:r>
    <w:r w:rsidR="00020AA1" w:rsidRPr="006842FA">
      <w:rPr>
        <w:rStyle w:val="PageNumber"/>
        <w:rFonts w:cs="Arial"/>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A904" w14:textId="3857B1FC" w:rsidR="00020AA1" w:rsidRPr="00B8392A" w:rsidRDefault="00B8392A" w:rsidP="00160303">
    <w:pPr>
      <w:pStyle w:val="Header"/>
      <w:tabs>
        <w:tab w:val="clear" w:pos="8306"/>
      </w:tabs>
      <w:ind w:left="7513"/>
      <w:rPr>
        <w:rFonts w:cs="Arial"/>
        <w:szCs w:val="22"/>
        <w:lang w:val="pt-PT"/>
      </w:rPr>
    </w:pPr>
    <w:r w:rsidRPr="00B8392A">
      <w:rPr>
        <w:rFonts w:cs="Arial"/>
        <w:sz w:val="20"/>
        <w:szCs w:val="20"/>
        <w:lang w:val="pt-PT"/>
      </w:rPr>
      <w:t>IOC</w:t>
    </w:r>
    <w:r w:rsidR="00173F28">
      <w:rPr>
        <w:rFonts w:cs="Arial"/>
        <w:sz w:val="20"/>
        <w:szCs w:val="20"/>
        <w:lang w:val="pt-PT"/>
      </w:rPr>
      <w:t>/EC-57</w:t>
    </w:r>
    <w:r w:rsidRPr="00B8392A">
      <w:rPr>
        <w:rFonts w:cs="Arial"/>
        <w:sz w:val="20"/>
        <w:szCs w:val="20"/>
        <w:lang w:val="pt-PT"/>
      </w:rPr>
      <w:t>/</w:t>
    </w:r>
    <w:r w:rsidR="00160303">
      <w:rPr>
        <w:rFonts w:cs="Arial"/>
        <w:sz w:val="20"/>
        <w:szCs w:val="20"/>
        <w:lang w:val="pt-PT"/>
      </w:rPr>
      <w:t>4.</w:t>
    </w:r>
    <w:proofErr w:type="gramStart"/>
    <w:r w:rsidR="00682B2C">
      <w:rPr>
        <w:rFonts w:cs="Arial"/>
        <w:sz w:val="20"/>
        <w:szCs w:val="20"/>
        <w:lang w:val="pt-PT"/>
      </w:rPr>
      <w:t>4</w:t>
    </w:r>
    <w:r w:rsidRPr="00B8392A">
      <w:rPr>
        <w:rFonts w:cs="Arial"/>
        <w:sz w:val="20"/>
        <w:szCs w:val="20"/>
        <w:lang w:val="pt-PT"/>
      </w:rPr>
      <w:t>.Doc</w:t>
    </w:r>
    <w:proofErr w:type="gramEnd"/>
    <w:r w:rsidR="00160303">
      <w:rPr>
        <w:rFonts w:cs="Arial"/>
        <w:sz w:val="20"/>
        <w:szCs w:val="20"/>
        <w:lang w:val="pt-PT"/>
      </w:rPr>
      <w:t>(2</w:t>
    </w:r>
    <w:r w:rsidRPr="00B8392A">
      <w:rPr>
        <w:rFonts w:cs="Arial"/>
        <w:sz w:val="20"/>
        <w:szCs w:val="20"/>
        <w:lang w:val="pt-PT"/>
      </w:rPr>
      <w:t>)</w:t>
    </w:r>
  </w:p>
  <w:p w14:paraId="3AA5B454" w14:textId="77777777" w:rsidR="00020AA1" w:rsidRPr="00003B31" w:rsidRDefault="00003B31" w:rsidP="00160303">
    <w:pPr>
      <w:pStyle w:val="Header"/>
      <w:tabs>
        <w:tab w:val="clear" w:pos="8306"/>
      </w:tabs>
      <w:ind w:left="7513"/>
      <w:rPr>
        <w:rFonts w:cs="Arial"/>
        <w:szCs w:val="22"/>
        <w:lang w:val="fr-FR"/>
      </w:rPr>
    </w:pPr>
    <w:proofErr w:type="gramStart"/>
    <w:r w:rsidRPr="00003B31">
      <w:rPr>
        <w:rFonts w:cs="Arial"/>
        <w:szCs w:val="22"/>
        <w:lang w:val="fr-FR"/>
      </w:rPr>
      <w:t>p</w:t>
    </w:r>
    <w:r w:rsidR="00020AA1" w:rsidRPr="00003B31">
      <w:rPr>
        <w:rFonts w:cs="Arial"/>
        <w:szCs w:val="22"/>
        <w:lang w:val="fr-FR"/>
      </w:rPr>
      <w:t>age</w:t>
    </w:r>
    <w:proofErr w:type="gramEnd"/>
    <w:r w:rsidR="00020AA1" w:rsidRPr="00003B31">
      <w:rPr>
        <w:rFonts w:cs="Arial"/>
        <w:szCs w:val="22"/>
        <w:lang w:val="fr-FR"/>
      </w:rPr>
      <w:t> </w:t>
    </w:r>
    <w:r w:rsidR="00020AA1" w:rsidRPr="00424DE6">
      <w:rPr>
        <w:rStyle w:val="PageNumber"/>
        <w:rFonts w:cs="Arial"/>
        <w:szCs w:val="22"/>
      </w:rPr>
      <w:fldChar w:fldCharType="begin"/>
    </w:r>
    <w:r w:rsidR="00020AA1" w:rsidRPr="00003B31">
      <w:rPr>
        <w:rStyle w:val="PageNumber"/>
        <w:rFonts w:cs="Arial"/>
        <w:szCs w:val="22"/>
        <w:lang w:val="fr-FR"/>
      </w:rPr>
      <w:instrText xml:space="preserve"> PAGE </w:instrText>
    </w:r>
    <w:r w:rsidR="00020AA1" w:rsidRPr="00424DE6">
      <w:rPr>
        <w:rStyle w:val="PageNumber"/>
        <w:rFonts w:cs="Arial"/>
        <w:szCs w:val="22"/>
      </w:rPr>
      <w:fldChar w:fldCharType="separate"/>
    </w:r>
    <w:r w:rsidR="00056F67">
      <w:rPr>
        <w:rStyle w:val="PageNumber"/>
        <w:rFonts w:cs="Arial"/>
        <w:noProof/>
        <w:szCs w:val="22"/>
        <w:lang w:val="fr-FR"/>
      </w:rPr>
      <w:t>3</w:t>
    </w:r>
    <w:r w:rsidR="00020AA1" w:rsidRPr="00424DE6">
      <w:rPr>
        <w:rStyle w:val="PageNumber"/>
        <w:rFonts w:cs="Arial"/>
        <w:szCs w:val="22"/>
      </w:rPr>
      <w:fldChar w:fldCharType="end"/>
    </w:r>
  </w:p>
  <w:p w14:paraId="0203C500" w14:textId="77777777" w:rsidR="00020AA1" w:rsidRPr="00003B31" w:rsidRDefault="00020AA1" w:rsidP="00160303">
    <w:pPr>
      <w:pStyle w:val="Header"/>
      <w:ind w:left="7513"/>
      <w:rPr>
        <w:rFonts w:cs="Arial"/>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ABBE" w14:textId="768458FD" w:rsidR="00020AA1" w:rsidRPr="00B8392A" w:rsidRDefault="00020AA1" w:rsidP="00294AD5">
    <w:pPr>
      <w:pStyle w:val="Header"/>
      <w:jc w:val="right"/>
      <w:rPr>
        <w:rFonts w:cs="Arial"/>
        <w:sz w:val="20"/>
        <w:szCs w:val="20"/>
        <w:lang w:val="pt-PT"/>
      </w:rPr>
    </w:pPr>
    <w:r w:rsidRPr="00B8392A">
      <w:rPr>
        <w:rFonts w:cs="Arial"/>
        <w:sz w:val="20"/>
        <w:szCs w:val="20"/>
        <w:lang w:val="pt-PT"/>
      </w:rPr>
      <w:t>IOC</w:t>
    </w:r>
    <w:r w:rsidR="00173F28">
      <w:rPr>
        <w:rFonts w:cs="Arial"/>
        <w:sz w:val="20"/>
        <w:szCs w:val="20"/>
        <w:lang w:val="pt-PT"/>
      </w:rPr>
      <w:t>/EC-57</w:t>
    </w:r>
    <w:r w:rsidR="00003B31" w:rsidRPr="00B8392A">
      <w:rPr>
        <w:rFonts w:cs="Arial"/>
        <w:sz w:val="20"/>
        <w:szCs w:val="20"/>
        <w:lang w:val="pt-PT"/>
      </w:rPr>
      <w:t>/</w:t>
    </w:r>
    <w:r w:rsidR="00FD3B3A">
      <w:rPr>
        <w:rFonts w:cs="Arial"/>
        <w:sz w:val="20"/>
        <w:szCs w:val="20"/>
        <w:lang w:val="pt-PT"/>
      </w:rPr>
      <w:t>4.</w:t>
    </w:r>
    <w:proofErr w:type="gramStart"/>
    <w:r w:rsidR="00682B2C">
      <w:rPr>
        <w:rFonts w:cs="Arial"/>
        <w:sz w:val="20"/>
        <w:szCs w:val="20"/>
        <w:lang w:val="pt-PT"/>
      </w:rPr>
      <w:t>4</w:t>
    </w:r>
    <w:r w:rsidR="00B8392A" w:rsidRPr="00B8392A">
      <w:rPr>
        <w:rFonts w:cs="Arial"/>
        <w:sz w:val="20"/>
        <w:szCs w:val="20"/>
        <w:lang w:val="pt-PT"/>
      </w:rPr>
      <w:t>.Doc</w:t>
    </w:r>
    <w:proofErr w:type="gramEnd"/>
    <w:r w:rsidR="00B8392A" w:rsidRPr="00B8392A">
      <w:rPr>
        <w:rFonts w:cs="Arial"/>
        <w:sz w:val="20"/>
        <w:szCs w:val="20"/>
        <w:lang w:val="pt-PT"/>
      </w:rPr>
      <w:t>(</w:t>
    </w:r>
    <w:r w:rsidR="00FD3B3A">
      <w:rPr>
        <w:rFonts w:cs="Arial"/>
        <w:sz w:val="20"/>
        <w:szCs w:val="20"/>
        <w:lang w:val="pt-PT"/>
      </w:rPr>
      <w:t>2</w:t>
    </w:r>
    <w:r w:rsidR="00B8392A" w:rsidRPr="00B8392A">
      <w:rPr>
        <w:rFonts w:cs="Arial"/>
        <w:sz w:val="20"/>
        <w:szCs w:val="20"/>
        <w:lang w:val="pt-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1C61576"/>
    <w:multiLevelType w:val="hybridMultilevel"/>
    <w:tmpl w:val="61C8B530"/>
    <w:lvl w:ilvl="0" w:tplc="733AD892">
      <w:start w:val="1"/>
      <w:numFmt w:val="lowerRoman"/>
      <w:lvlText w:val="(%1)"/>
      <w:lvlJc w:val="left"/>
      <w:pPr>
        <w:ind w:left="720" w:hanging="720"/>
      </w:pPr>
      <w:rPr>
        <w:rFonts w:hint="default"/>
        <w:b/>
        <w:bCs/>
        <w:i/>
        <w:i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4B204C64"/>
    <w:multiLevelType w:val="hybridMultilevel"/>
    <w:tmpl w:val="BCBAA6BE"/>
    <w:lvl w:ilvl="0" w:tplc="3086EF18">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88D18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523353">
    <w:abstractNumId w:val="3"/>
  </w:num>
  <w:num w:numId="2" w16cid:durableId="1126850961">
    <w:abstractNumId w:val="5"/>
  </w:num>
  <w:num w:numId="3" w16cid:durableId="676813241">
    <w:abstractNumId w:val="0"/>
  </w:num>
  <w:num w:numId="4" w16cid:durableId="652441993">
    <w:abstractNumId w:val="1"/>
  </w:num>
  <w:num w:numId="5" w16cid:durableId="1859392821">
    <w:abstractNumId w:val="2"/>
  </w:num>
  <w:num w:numId="6" w16cid:durableId="210460474">
    <w:abstractNumId w:val="5"/>
  </w:num>
  <w:num w:numId="7" w16cid:durableId="1551647552">
    <w:abstractNumId w:val="5"/>
  </w:num>
  <w:num w:numId="8" w16cid:durableId="1373652523">
    <w:abstractNumId w:val="4"/>
  </w:num>
  <w:num w:numId="9" w16cid:durableId="1692874721">
    <w:abstractNumId w:val="5"/>
  </w:num>
  <w:num w:numId="10" w16cid:durableId="762452222">
    <w:abstractNumId w:val="5"/>
  </w:num>
  <w:num w:numId="11" w16cid:durableId="81142879">
    <w:abstractNumId w:val="5"/>
  </w:num>
  <w:num w:numId="12" w16cid:durableId="172502784">
    <w:abstractNumId w:val="5"/>
  </w:num>
  <w:num w:numId="13" w16cid:durableId="935795178">
    <w:abstractNumId w:val="5"/>
  </w:num>
  <w:num w:numId="14" w16cid:durableId="651182329">
    <w:abstractNumId w:val="6"/>
  </w:num>
  <w:num w:numId="15" w16cid:durableId="1977173828">
    <w:abstractNumId w:val="5"/>
  </w:num>
  <w:num w:numId="16" w16cid:durableId="1443571705">
    <w:abstractNumId w:val="5"/>
  </w:num>
  <w:num w:numId="17" w16cid:durableId="869924887">
    <w:abstractNumId w:val="5"/>
  </w:num>
  <w:num w:numId="18" w16cid:durableId="918365497">
    <w:abstractNumId w:val="5"/>
  </w:num>
  <w:num w:numId="19" w16cid:durableId="1382553721">
    <w:abstractNumId w:val="5"/>
  </w:num>
  <w:num w:numId="20" w16cid:durableId="136922743">
    <w:abstractNumId w:val="5"/>
  </w:num>
  <w:num w:numId="21" w16cid:durableId="1617297953">
    <w:abstractNumId w:val="5"/>
  </w:num>
  <w:num w:numId="22" w16cid:durableId="5046518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3A"/>
    <w:rsid w:val="00003B31"/>
    <w:rsid w:val="00010BBB"/>
    <w:rsid w:val="00020AA1"/>
    <w:rsid w:val="00033295"/>
    <w:rsid w:val="00056F67"/>
    <w:rsid w:val="000778E9"/>
    <w:rsid w:val="00085D6A"/>
    <w:rsid w:val="000F0254"/>
    <w:rsid w:val="00101081"/>
    <w:rsid w:val="00105539"/>
    <w:rsid w:val="00123719"/>
    <w:rsid w:val="001241D7"/>
    <w:rsid w:val="00137E97"/>
    <w:rsid w:val="001448C4"/>
    <w:rsid w:val="00155393"/>
    <w:rsid w:val="001572C7"/>
    <w:rsid w:val="00160303"/>
    <w:rsid w:val="00167158"/>
    <w:rsid w:val="00173F28"/>
    <w:rsid w:val="00176AA5"/>
    <w:rsid w:val="00196052"/>
    <w:rsid w:val="001B3B24"/>
    <w:rsid w:val="001C6455"/>
    <w:rsid w:val="0021210D"/>
    <w:rsid w:val="00217518"/>
    <w:rsid w:val="00250081"/>
    <w:rsid w:val="002505DC"/>
    <w:rsid w:val="00294AD5"/>
    <w:rsid w:val="002C7DE3"/>
    <w:rsid w:val="002E0859"/>
    <w:rsid w:val="002F14B3"/>
    <w:rsid w:val="002F2ABA"/>
    <w:rsid w:val="0034156B"/>
    <w:rsid w:val="003561BE"/>
    <w:rsid w:val="00376E9C"/>
    <w:rsid w:val="003805F5"/>
    <w:rsid w:val="003A7860"/>
    <w:rsid w:val="003D3711"/>
    <w:rsid w:val="003F55CF"/>
    <w:rsid w:val="003F7186"/>
    <w:rsid w:val="004031FB"/>
    <w:rsid w:val="00413F17"/>
    <w:rsid w:val="00424DE6"/>
    <w:rsid w:val="00446465"/>
    <w:rsid w:val="004529B8"/>
    <w:rsid w:val="00467E3F"/>
    <w:rsid w:val="004A135F"/>
    <w:rsid w:val="004C1625"/>
    <w:rsid w:val="004F7D6C"/>
    <w:rsid w:val="0050614D"/>
    <w:rsid w:val="00517B47"/>
    <w:rsid w:val="00576270"/>
    <w:rsid w:val="005C7A36"/>
    <w:rsid w:val="005C7D76"/>
    <w:rsid w:val="005E544C"/>
    <w:rsid w:val="006110DA"/>
    <w:rsid w:val="00616299"/>
    <w:rsid w:val="00633EA5"/>
    <w:rsid w:val="006402B3"/>
    <w:rsid w:val="006640C2"/>
    <w:rsid w:val="00682B2C"/>
    <w:rsid w:val="006842FA"/>
    <w:rsid w:val="0068682C"/>
    <w:rsid w:val="00690A0C"/>
    <w:rsid w:val="00690FD2"/>
    <w:rsid w:val="00693199"/>
    <w:rsid w:val="006B4B95"/>
    <w:rsid w:val="006C18D9"/>
    <w:rsid w:val="006C6449"/>
    <w:rsid w:val="00737A18"/>
    <w:rsid w:val="00746B89"/>
    <w:rsid w:val="00780655"/>
    <w:rsid w:val="0079212B"/>
    <w:rsid w:val="008048D2"/>
    <w:rsid w:val="0081004E"/>
    <w:rsid w:val="00853565"/>
    <w:rsid w:val="008A6E5C"/>
    <w:rsid w:val="008B384B"/>
    <w:rsid w:val="008D2398"/>
    <w:rsid w:val="008F6942"/>
    <w:rsid w:val="009026D3"/>
    <w:rsid w:val="00993CA4"/>
    <w:rsid w:val="009B63AB"/>
    <w:rsid w:val="009C0A89"/>
    <w:rsid w:val="009C15B1"/>
    <w:rsid w:val="009E6A03"/>
    <w:rsid w:val="009F3A67"/>
    <w:rsid w:val="009F7769"/>
    <w:rsid w:val="00A11697"/>
    <w:rsid w:val="00A12042"/>
    <w:rsid w:val="00A25BC8"/>
    <w:rsid w:val="00AB2C67"/>
    <w:rsid w:val="00AC48B4"/>
    <w:rsid w:val="00AD3D55"/>
    <w:rsid w:val="00AD4DED"/>
    <w:rsid w:val="00B722DE"/>
    <w:rsid w:val="00B83068"/>
    <w:rsid w:val="00B8392A"/>
    <w:rsid w:val="00BD6603"/>
    <w:rsid w:val="00BF069C"/>
    <w:rsid w:val="00BF3835"/>
    <w:rsid w:val="00C1002D"/>
    <w:rsid w:val="00C2635E"/>
    <w:rsid w:val="00C362D6"/>
    <w:rsid w:val="00C3684D"/>
    <w:rsid w:val="00C4032B"/>
    <w:rsid w:val="00C6486C"/>
    <w:rsid w:val="00C648D3"/>
    <w:rsid w:val="00C75B02"/>
    <w:rsid w:val="00C962F0"/>
    <w:rsid w:val="00CE4544"/>
    <w:rsid w:val="00D013ED"/>
    <w:rsid w:val="00D36BDC"/>
    <w:rsid w:val="00D5049E"/>
    <w:rsid w:val="00D55FEC"/>
    <w:rsid w:val="00D61F68"/>
    <w:rsid w:val="00DF2FB9"/>
    <w:rsid w:val="00E63DEF"/>
    <w:rsid w:val="00E64936"/>
    <w:rsid w:val="00E8492B"/>
    <w:rsid w:val="00EE0542"/>
    <w:rsid w:val="00F463F2"/>
    <w:rsid w:val="00F8186D"/>
    <w:rsid w:val="00FD3B3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15161"/>
  <w15:docId w15:val="{33C3A67F-F5DE-4D82-83F4-B5BAA019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402B3"/>
    <w:pPr>
      <w:numPr>
        <w:numId w:val="2"/>
      </w:numPr>
      <w:tabs>
        <w:tab w:val="clear" w:pos="567"/>
        <w:tab w:val="left" w:pos="709"/>
      </w:tabs>
    </w:pPr>
    <w:rPr>
      <w:rFonts w:asciiTheme="minorBidi" w:eastAsia="Arial Unicode MS" w:hAnsiTheme="minorBidi"/>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402B3"/>
    <w:rPr>
      <w:rFonts w:asciiTheme="minorBidi" w:eastAsia="Arial Unicode MS" w:hAnsiTheme="minorBidi"/>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uiPriority w:val="34"/>
    <w:qFormat/>
    <w:rsid w:val="00FD3B3A"/>
    <w:pPr>
      <w:tabs>
        <w:tab w:val="clear" w:pos="567"/>
      </w:tabs>
      <w:snapToGrid/>
      <w:spacing w:after="160" w:line="259" w:lineRule="auto"/>
      <w:ind w:left="720"/>
      <w:contextualSpacing/>
    </w:pPr>
    <w:rPr>
      <w:rFonts w:asciiTheme="minorHAnsi" w:eastAsiaTheme="minorEastAsia" w:hAnsiTheme="minorHAnsi" w:cstheme="minorBidi"/>
      <w:snapToGrid/>
      <w:kern w:val="2"/>
      <w:szCs w:val="22"/>
      <w:lang w:val="fr-FR" w:eastAsia="zh-CN"/>
      <w14:ligatures w14:val="standardContextual"/>
    </w:rPr>
  </w:style>
  <w:style w:type="table" w:styleId="TableGrid">
    <w:name w:val="Table Grid"/>
    <w:basedOn w:val="TableNormal"/>
    <w:uiPriority w:val="39"/>
    <w:rsid w:val="00FD3B3A"/>
    <w:rPr>
      <w:rFonts w:asciiTheme="minorHAnsi" w:eastAsiaTheme="minorEastAsia" w:hAnsiTheme="minorHAnsi" w:cstheme="minorBidi"/>
      <w:kern w:val="2"/>
      <w:sz w:val="22"/>
      <w:szCs w:val="2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1F68"/>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EC-57\EC-57%20WD%20templa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EC-57 WD template</Template>
  <TotalTime>3</TotalTime>
  <Pages>7</Pages>
  <Words>2064</Words>
  <Characters>11447</Characters>
  <Application>Microsoft Office Word</Application>
  <DocSecurity>4</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2002-06-12T09:28:00Z</cp:lastPrinted>
  <dcterms:created xsi:type="dcterms:W3CDTF">2024-06-03T09:42:00Z</dcterms:created>
  <dcterms:modified xsi:type="dcterms:W3CDTF">2024-06-03T09:42:00Z</dcterms:modified>
</cp:coreProperties>
</file>