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6C82" w14:textId="77777777" w:rsidR="00FA2AA5" w:rsidRPr="001F3F03" w:rsidRDefault="00FA2AA5" w:rsidP="008D5884">
      <w:pPr>
        <w:pStyle w:val="BodyTextIndent3"/>
        <w:ind w:left="0" w:right="-261" w:firstLine="3600"/>
        <w:jc w:val="both"/>
        <w:rPr>
          <w:rFonts w:ascii="Arial" w:hAnsi="Arial" w:cs="Arial"/>
          <w:b/>
          <w:szCs w:val="22"/>
          <w:lang w:val="it-IT"/>
        </w:rPr>
      </w:pPr>
    </w:p>
    <w:p w14:paraId="24AD66D1" w14:textId="77777777" w:rsidR="00FA2AA5" w:rsidRDefault="00FA2AA5" w:rsidP="008D5884">
      <w:pPr>
        <w:pStyle w:val="BodyTextIndent3"/>
        <w:ind w:left="0" w:right="-261" w:firstLine="3600"/>
        <w:jc w:val="both"/>
        <w:rPr>
          <w:rFonts w:ascii="Arial" w:hAnsi="Arial" w:cs="Arial"/>
          <w:b/>
          <w:szCs w:val="22"/>
          <w:lang w:val="it-IT"/>
        </w:rPr>
      </w:pPr>
    </w:p>
    <w:p w14:paraId="68D9082C" w14:textId="77777777" w:rsidR="001F3F03" w:rsidRDefault="001F3F03" w:rsidP="008D5884">
      <w:pPr>
        <w:pStyle w:val="BodyTextIndent3"/>
        <w:ind w:left="0" w:right="-261" w:firstLine="3600"/>
        <w:jc w:val="both"/>
        <w:rPr>
          <w:rFonts w:ascii="Arial" w:hAnsi="Arial" w:cs="Arial"/>
          <w:b/>
          <w:szCs w:val="22"/>
          <w:lang w:val="it-IT"/>
        </w:rPr>
      </w:pPr>
    </w:p>
    <w:p w14:paraId="404BB043" w14:textId="77777777" w:rsidR="00FA2AA5" w:rsidRPr="001F3F03" w:rsidRDefault="00FA2AA5" w:rsidP="008D5884">
      <w:pPr>
        <w:pStyle w:val="BodyTextIndent3"/>
        <w:ind w:left="0" w:right="-261" w:firstLine="3600"/>
        <w:jc w:val="both"/>
        <w:rPr>
          <w:rFonts w:ascii="Arial" w:hAnsi="Arial" w:cs="Arial"/>
          <w:b/>
          <w:szCs w:val="22"/>
          <w:lang w:val="it-IT"/>
        </w:rPr>
      </w:pPr>
    </w:p>
    <w:p w14:paraId="3B296FB7" w14:textId="77777777" w:rsidR="008D23A7" w:rsidRPr="001F3F03" w:rsidRDefault="008D23A7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F3F03">
        <w:rPr>
          <w:rFonts w:ascii="Arial" w:hAnsi="Arial" w:cs="Arial"/>
          <w:b/>
          <w:bCs/>
          <w:sz w:val="22"/>
          <w:szCs w:val="22"/>
        </w:rPr>
        <w:t>МЕЖПРАВИТЕЛЬСТВЕННАЯ ОКЕАНОГРАФИЧЕСКАЯ КОМИССИЯ</w:t>
      </w:r>
    </w:p>
    <w:p w14:paraId="3FAF8B88" w14:textId="0702F2A0" w:rsidR="008D23A7" w:rsidRPr="001F3F03" w:rsidRDefault="008D23A7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  <w:r w:rsidRPr="001F3F03">
        <w:rPr>
          <w:rFonts w:ascii="Arial" w:hAnsi="Arial" w:cs="Arial"/>
          <w:sz w:val="22"/>
          <w:szCs w:val="22"/>
        </w:rPr>
        <w:t>(ЮНЕСКО)</w:t>
      </w:r>
    </w:p>
    <w:p w14:paraId="4C88C842" w14:textId="77777777" w:rsidR="008D23A7" w:rsidRPr="001F3F03" w:rsidRDefault="008D23A7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14:paraId="36775C60" w14:textId="77777777" w:rsidR="003B7C02" w:rsidRPr="001F3F03" w:rsidRDefault="003B7C02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14:paraId="467EE35D" w14:textId="77777777" w:rsidR="00FA2AA5" w:rsidRPr="0082773F" w:rsidRDefault="0034357A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2773F">
        <w:rPr>
          <w:rFonts w:ascii="Arial" w:hAnsi="Arial" w:cs="Arial"/>
          <w:b/>
          <w:bCs/>
          <w:sz w:val="28"/>
          <w:szCs w:val="28"/>
        </w:rPr>
        <w:t>Семнадцатая сессия Межправительственной координационной группы по системе предупреждения о цунами и других опасных природных явлениях в прибрежных районах Карибского бассейна и прилегающих регионов</w:t>
      </w:r>
    </w:p>
    <w:p w14:paraId="0505ACC0" w14:textId="01417053" w:rsidR="008D23A7" w:rsidRPr="001F3F03" w:rsidRDefault="008D23A7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14:paraId="193B84D6" w14:textId="16938C80" w:rsidR="008D23A7" w:rsidRPr="001F3F03" w:rsidRDefault="0034357A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1F3F03">
        <w:rPr>
          <w:rFonts w:ascii="Arial" w:hAnsi="Arial" w:cs="Arial"/>
          <w:b/>
          <w:bCs/>
          <w:sz w:val="22"/>
          <w:szCs w:val="22"/>
        </w:rPr>
        <w:t>6-9</w:t>
      </w:r>
      <w:proofErr w:type="gramEnd"/>
      <w:r w:rsidRPr="001F3F03">
        <w:rPr>
          <w:rFonts w:ascii="Arial" w:hAnsi="Arial" w:cs="Arial"/>
          <w:b/>
          <w:bCs/>
          <w:sz w:val="22"/>
          <w:szCs w:val="22"/>
        </w:rPr>
        <w:t xml:space="preserve"> мая 2024 г., Манагуа, Никарагуа</w:t>
      </w:r>
    </w:p>
    <w:p w14:paraId="1B63C549" w14:textId="77777777" w:rsidR="0089672B" w:rsidRPr="001F3F03" w:rsidRDefault="0089672B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229A849" w14:textId="77777777" w:rsidR="001F3F03" w:rsidRPr="001F3F03" w:rsidRDefault="001F3F03" w:rsidP="008D5884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14:paraId="5D943631" w14:textId="3935C7C8" w:rsidR="003B7C02" w:rsidRPr="001F3F03" w:rsidRDefault="004D79DE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1F3F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36F3AC" wp14:editId="6D8C4A64">
                <wp:simplePos x="0" y="0"/>
                <wp:positionH relativeFrom="column">
                  <wp:posOffset>584835</wp:posOffset>
                </wp:positionH>
                <wp:positionV relativeFrom="paragraph">
                  <wp:posOffset>41910</wp:posOffset>
                </wp:positionV>
                <wp:extent cx="4986655" cy="2543175"/>
                <wp:effectExtent l="0" t="0" r="2349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ABC4" w14:textId="13299B24" w:rsidR="00780A7E" w:rsidRPr="0082773F" w:rsidRDefault="00780A7E" w:rsidP="00B96458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</w:tabs>
                              <w:spacing w:after="24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Резюме для руководящих органов</w:t>
                            </w:r>
                          </w:p>
                          <w:p w14:paraId="21D348AF" w14:textId="7A320F6F" w:rsidR="00780A7E" w:rsidRPr="00FA2AA5" w:rsidRDefault="00780A7E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В соответствии с пунктом 3 статьи 48 Правил процедуры основных вспомогательных органов Комиссии Межправительственной координационной группе по системе предупреждения о цунами и других опасных природных явлениях в прибрежных районах Карибского бассейна и прилегающих регионов надлежит информировать руководящий орган о своих совещаниях.</w:t>
                            </w:r>
                          </w:p>
                          <w:p w14:paraId="49B59CEC" w14:textId="3C338A1D" w:rsidR="003D36F0" w:rsidRPr="00FA2AA5" w:rsidRDefault="003D36F0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С документами и информационными материалами состоявшейся сессии можно ознакомиться в интернете, перейдя по этой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ссылке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570546" w14:textId="75EFB16A" w:rsidR="003D36F0" w:rsidRPr="00FA2AA5" w:rsidRDefault="003D36F0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Исполнительному совету МОК на его 57-й сессии будет предложено рассмотреть настоящее резюме, подготовленное для руководящих органов.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F3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05pt;margin-top:3.3pt;width:392.65pt;height:20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">
                <v:textbox>
                  <w:txbxContent>
                    <w:p w14:paraId="1E9DABC4" w14:textId="13299B24" w:rsidR="00780A7E" w:rsidRPr="0082773F" w:rsidRDefault="00780A7E" w:rsidP="00B96458"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spacing w:after="240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Резюме для руководящих органов</w:t>
                      </w:r>
                    </w:p>
                    <w:p w14:paraId="21D348AF" w14:textId="7A320F6F" w:rsidR="00780A7E" w:rsidRPr="00FA2AA5" w:rsidRDefault="00780A7E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В соответствии с пунктом 3 статьи 48 Правил процедуры основных вспомогательных органов Комиссии Межправительственной координационной группе по системе предупреждения о цунами и других опасных природных явлениях в прибрежных районах Карибского бассейна и прилегающих регионов надлежит информировать руководящий орган о своих совещаниях.</w:t>
                      </w:r>
                    </w:p>
                    <w:p w14:paraId="49B59CEC" w14:textId="3C338A1D" w:rsidR="003D36F0" w:rsidRPr="00FA2AA5" w:rsidRDefault="003D36F0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С документами и информационными материалами состоявшейся сессии можно ознакомиться в интернете, перейдя по этой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ссылке</w:t>
                        </w:r>
                      </w:hyperlink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31570546" w14:textId="75EFB16A" w:rsidR="003D36F0" w:rsidRPr="00FA2AA5" w:rsidRDefault="003D36F0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Исполнительному совету МОК на его 57-й сессии будет предложено рассмотреть настоящее резюме, подготовленное для руководящих органов.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FEA3E" w14:textId="77777777" w:rsidR="003B7C02" w:rsidRPr="001F3F03" w:rsidRDefault="003B7C02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4A6B7FD3" w14:textId="77777777" w:rsidR="0002560F" w:rsidRPr="001F3F03" w:rsidRDefault="0002560F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1913A1CA" w14:textId="77777777" w:rsidR="0002560F" w:rsidRPr="001F3F03" w:rsidRDefault="0002560F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1327796" w14:textId="77777777" w:rsidR="0002560F" w:rsidRPr="001F3F03" w:rsidRDefault="0002560F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22679F" w14:textId="77777777" w:rsidR="0002560F" w:rsidRPr="001F3F03" w:rsidRDefault="0002560F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4AEE0618" w14:textId="77777777" w:rsidR="0002560F" w:rsidRPr="001F3F03" w:rsidRDefault="0002560F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6C9D90" w14:textId="77777777" w:rsidR="0002560F" w:rsidRPr="001F3F03" w:rsidRDefault="0002560F" w:rsidP="008D5884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60FA25D8" w14:textId="77777777" w:rsidR="00F74D25" w:rsidRPr="001F3F03" w:rsidRDefault="00F74D25" w:rsidP="008D588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2C3D15E" w14:textId="77777777" w:rsidR="00F74D25" w:rsidRPr="001F3F03" w:rsidRDefault="00F74D25" w:rsidP="008D588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58A487" w14:textId="40FE7506" w:rsidR="00667EEC" w:rsidRPr="001F3F03" w:rsidRDefault="00097219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Семнадцатая сессия Межправительственной координационной группы МОК/ЮНЕСКО по системе раннего предупреждения о цунами и других опасных природных явлениях в прибрежных районах Карибского моря и прилегающих регионах (МКГ/КАРИБ-СРП-XVII) прошла в комбинированном формате 6-9 мая 2024 г. в Манагуа, Никарагуа. В работе сессии приняли участие восемьдесят три (83) человека, в том числе очно – 28 человек и удаленно – 55 человек, представлявших 15 государств-членов и территорий, а также три организации-наблюдателя: Пуэрто-Риканская сеть сейсмических измерений (ПРСС), Всемирная метеорологическая организация (ВМО) и Региональное отделение УСРБ ООН для стран Северной и Южной Америки и Карибского бассейна. Участники подчеркнули важное значение очного проведения сессии МКГ, в особенности в свете предстоящих многочисленных мероприятий, приуроченных к 20-летию создания МКГ/КАРИБ-СРП. С учетом поставленной перед ЮНЕСКО задачи сократить выбросы</w:t>
      </w:r>
      <w:r w:rsidR="001F3F03" w:rsidRPr="001F3F03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>углерода в атмосферу в целях снижения к 2030 г. объема выбросов на 31% согласно целевым показателям, предусмотренным в «Парижском соглашении 2015 г.», участники сессии постановили рассмотреть вопрос о целесообразности проведения начиная с 2026 г. своих очных сессий один раз в два года. Соответственно, один раз в два года будут проводиться и онлайновые сессии. Ключевую роль в достижении успешных результатов играют повседневное взаимодействие экспертов и развитие отношений между государствами-членами.</w:t>
      </w:r>
    </w:p>
    <w:p w14:paraId="7C01BC89" w14:textId="77777777" w:rsidR="00FA2AA5" w:rsidRPr="001F3F03" w:rsidRDefault="004738A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BC2FD1">
        <w:rPr>
          <w:rFonts w:ascii="Arial" w:hAnsi="Arial" w:cs="Arial"/>
          <w:b/>
        </w:rPr>
        <w:t>МКГ отметила</w:t>
      </w:r>
      <w:r w:rsidRPr="00BC2FD1">
        <w:rPr>
          <w:rFonts w:ascii="Arial" w:hAnsi="Arial" w:cs="Arial"/>
        </w:rPr>
        <w:t>, что междисциплинарные компоненты программы работы МКГ/КАРИБ-</w:t>
      </w:r>
      <w:r w:rsidRPr="001F3F03">
        <w:rPr>
          <w:rFonts w:ascii="Arial" w:hAnsi="Arial" w:cs="Arial"/>
        </w:rPr>
        <w:t>СРП увязаны с инициативой Генерального секретаря ООН «Заблаговременные предупреждения для всех» (ЗПДВ) и такими стратегически значимыми компонентами глобальной повестки, как Программа по цунами в рамках Десятилетия, посвященного науке об океане (ПЦДО) и Программа МОК/ЮНЕСКО по сертификации готовности к цунами (ПСГЦ).</w:t>
      </w:r>
    </w:p>
    <w:p w14:paraId="591CEE94" w14:textId="77777777" w:rsidR="00FA2AA5" w:rsidRPr="001F3F03" w:rsidRDefault="006C068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1F3F03">
        <w:rPr>
          <w:rFonts w:ascii="Arial" w:hAnsi="Arial" w:cs="Arial"/>
          <w:b/>
        </w:rPr>
        <w:t>МКГ указала</w:t>
      </w:r>
      <w:r w:rsidRPr="001F3F03">
        <w:rPr>
          <w:rFonts w:ascii="Arial" w:hAnsi="Arial" w:cs="Arial"/>
        </w:rPr>
        <w:t xml:space="preserve"> на важность наличия руководящего комитета, по аналогии с другими МКГ, в качестве эффективного инструмента управления, ориентированного на результат, особенно в плане обеспечения надзора за выполнением его решений и рекомендаций.</w:t>
      </w:r>
    </w:p>
    <w:p w14:paraId="13ACE2EF" w14:textId="77777777" w:rsidR="00FA2AA5" w:rsidRPr="001F3F03" w:rsidRDefault="004738A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1F3F03">
        <w:rPr>
          <w:rFonts w:ascii="Arial" w:hAnsi="Arial" w:cs="Arial"/>
          <w:b/>
        </w:rPr>
        <w:t>МКГ подчеркнула</w:t>
      </w:r>
      <w:r w:rsidRPr="001F3F03">
        <w:rPr>
          <w:rFonts w:ascii="Arial" w:hAnsi="Arial" w:cs="Arial"/>
        </w:rPr>
        <w:t xml:space="preserve">, что создание руководящего комитета МКГ/КАРИБ-СРП станет еще одним шагом на пути к унификации вне зависимости от региона структур управления МКГ, и </w:t>
      </w:r>
      <w:r w:rsidRPr="001F3F03">
        <w:rPr>
          <w:rFonts w:ascii="Arial" w:hAnsi="Arial" w:cs="Arial"/>
          <w:b/>
        </w:rPr>
        <w:t>постановила</w:t>
      </w:r>
      <w:r w:rsidRPr="001F3F03">
        <w:rPr>
          <w:rFonts w:ascii="Arial" w:hAnsi="Arial" w:cs="Arial"/>
        </w:rPr>
        <w:t xml:space="preserve"> учредить руководящий комитет МКГ/КАРИБ-СРП, который будет обеспечивать в числе прочего:</w:t>
      </w:r>
    </w:p>
    <w:p w14:paraId="4FE5424F" w14:textId="45F99A9A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поддержание в функциональном состоянии организационной структуры и механизмов управления МКГ/КАРИБ-СРП,</w:t>
      </w:r>
    </w:p>
    <w:p w14:paraId="292DBD92" w14:textId="77777777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</w:rPr>
      </w:pPr>
      <w:r w:rsidRPr="001F3F03">
        <w:rPr>
          <w:rFonts w:ascii="Arial" w:hAnsi="Arial" w:cs="Arial"/>
        </w:rPr>
        <w:t>мониторинг выполнения, а также соблюдение и обновление плана мероприятий КАРИБ-СРП,</w:t>
      </w:r>
    </w:p>
    <w:p w14:paraId="5ACE60F4" w14:textId="77777777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контроль выполнения решений и рекомендаций, принятых МКГ,</w:t>
      </w:r>
    </w:p>
    <w:p w14:paraId="3A6A6574" w14:textId="77777777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разработку стратегии финансирования мероприятий КАРИБ-СРП,</w:t>
      </w:r>
    </w:p>
    <w:p w14:paraId="1EC2F3CD" w14:textId="77777777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мониторинг эффективности работы и проверку неуклонного соблюдения провайдерами данных слежения за цунами (ПДСЦ) утвержденных функциональных и управленческих обязанностей и требований,</w:t>
      </w:r>
    </w:p>
    <w:p w14:paraId="380FBF16" w14:textId="77777777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руководство деятельностью и управление КАРИБ-СРП в интересах достижения основных целей Программы по цунами в рамках Десятилетия, посвященного науке об океане (ПДЦО), в поддержку ее 10-летнего Плана исследовательской работы, развертывания и осуществления (ПИРО),</w:t>
      </w:r>
    </w:p>
    <w:p w14:paraId="4F2290FF" w14:textId="3AD7C5ED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отчетность перед МКГ/КАРИБ-СРП о прогрессе в достижении ключевых показателей эффективности ПДЦО-ПИРО,</w:t>
      </w:r>
    </w:p>
    <w:p w14:paraId="7C2176F3" w14:textId="10BF6B86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разработку стратегии эффективной координации усилий с Подкомиссией МОК для Карибского бассейна и прилегающих регионов (МОКАРИБ), УСРБ ООН, ВМО и другими заинтересованными региональными участниками,</w:t>
      </w:r>
    </w:p>
    <w:p w14:paraId="654C0619" w14:textId="2A8E9948" w:rsidR="00FA2AA5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пересмотр плана работы и мероприятий группы экспертов (ГЭ) в целях</w:t>
      </w:r>
      <w:r w:rsidR="001F3F03" w:rsidRPr="001F3F03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>повышения эффективности СРП путем включения в межсессионный период других опасных природных явлений в прибрежной зоне по согласованию с секретариатом МОКАРИБ и с учетом мнения ВМО и курируемой УСРБ ООН инициативы «Заблаговременные предупреждения для всех» (ЗПДВ),</w:t>
      </w:r>
    </w:p>
    <w:p w14:paraId="07CD75DE" w14:textId="6A8AAE42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надзорные функции и стратегическое руководство деятельностью Карибского центра информации о цунами (КЦИЦ), касательно его мероприятий по повышению осведомленности о цунами и наращиванию потенциала,</w:t>
      </w:r>
    </w:p>
    <w:p w14:paraId="5DE22658" w14:textId="10EDE706" w:rsidR="004738A2" w:rsidRPr="001F3F03" w:rsidRDefault="004738A2" w:rsidP="008D5884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before="120" w:after="24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</w:rPr>
        <w:t>организацию мероприятий и других акций, связанных с празднованием 20-летия создания МКГ/КАРИБ-СРП.</w:t>
      </w:r>
    </w:p>
    <w:p w14:paraId="5EC18D2A" w14:textId="7ECA9405" w:rsidR="00B753AD" w:rsidRPr="001F3F03" w:rsidRDefault="00B753AD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поблагодарил</w:t>
      </w:r>
      <w:r w:rsidRPr="001F3F03">
        <w:rPr>
          <w:rFonts w:ascii="Arial" w:hAnsi="Arial" w:cs="Arial"/>
        </w:rPr>
        <w:t xml:space="preserve">а государства-члены и территориальные сообщества, которые завершили в межсессионный период процесс сертификации готовности к цунами: </w:t>
      </w:r>
      <w:proofErr w:type="spellStart"/>
      <w:r w:rsidRPr="001F3F03">
        <w:rPr>
          <w:rFonts w:ascii="Arial" w:hAnsi="Arial" w:cs="Arial"/>
        </w:rPr>
        <w:t>Дешайс</w:t>
      </w:r>
      <w:proofErr w:type="spellEnd"/>
      <w:r w:rsidRPr="001F3F03">
        <w:rPr>
          <w:rFonts w:ascii="Arial" w:hAnsi="Arial" w:cs="Arial"/>
        </w:rPr>
        <w:t xml:space="preserve"> (Гваделупа, Франция), </w:t>
      </w:r>
      <w:proofErr w:type="spellStart"/>
      <w:r w:rsidRPr="001F3F03">
        <w:rPr>
          <w:rFonts w:ascii="Arial" w:hAnsi="Arial" w:cs="Arial"/>
        </w:rPr>
        <w:t>Крайст</w:t>
      </w:r>
      <w:proofErr w:type="spellEnd"/>
      <w:r w:rsidRPr="001F3F03">
        <w:rPr>
          <w:rFonts w:ascii="Arial" w:hAnsi="Arial" w:cs="Arial"/>
        </w:rPr>
        <w:t xml:space="preserve"> Черч (Барбадос), Сент-Джордж (Сент-Винсент и Гренадины).</w:t>
      </w:r>
    </w:p>
    <w:p w14:paraId="0317400F" w14:textId="494E89B1" w:rsidR="000E178F" w:rsidRPr="001F3F03" w:rsidRDefault="000E178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отметила</w:t>
      </w:r>
      <w:r w:rsidRPr="001F3F03">
        <w:rPr>
          <w:rFonts w:ascii="Arial" w:hAnsi="Arial" w:cs="Arial"/>
        </w:rPr>
        <w:t xml:space="preserve"> актуальность продолжения ориентации усилий на выявлении и использовании соответствующих стратегий в Карибском бассейне и прилегающих регионах для достижения второй цели ПДЦО, предусматривающей, что к 2030 г. 100% подверженных риску цунами территориальных сообществ будут подготовлены и способны противостоять такой угрозе посредством</w:t>
      </w:r>
      <w:r w:rsidR="001F3F03" w:rsidRPr="001F3F03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>реализации инициатив, подобных Программе сертификации готовности к цунами (ПСГЦ).</w:t>
      </w:r>
    </w:p>
    <w:p w14:paraId="38060531" w14:textId="32CCBAF0" w:rsidR="00A1767B" w:rsidRPr="001F3F03" w:rsidRDefault="00A1767B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выразила признательность</w:t>
      </w:r>
      <w:r w:rsidRPr="001F3F03">
        <w:rPr>
          <w:rFonts w:ascii="Arial" w:hAnsi="Arial" w:cs="Arial"/>
        </w:rPr>
        <w:t xml:space="preserve"> за финансовую помощь на цели реализации программы «К цунами готов», которую оказали бюро гуманитарной помощи Агентства Соединенных Штатов Америки по международному развитию (ЮСЭЙД/БГП), Австралия, Норвегия и Программа ЕС по обеспечению готовности к стихийным бедствиям Управления Европейского сообщества по гуманитарным вопросам.</w:t>
      </w:r>
    </w:p>
    <w:p w14:paraId="1B03B58E" w14:textId="34F1D03D" w:rsidR="00A1767B" w:rsidRPr="001F3F03" w:rsidRDefault="00A1767B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1F3F03">
        <w:rPr>
          <w:rFonts w:ascii="Arial" w:hAnsi="Arial" w:cs="Arial"/>
          <w:b/>
        </w:rPr>
        <w:t>МКГ предложила</w:t>
      </w:r>
      <w:r w:rsidRPr="001F3F03">
        <w:rPr>
          <w:rFonts w:ascii="Arial" w:hAnsi="Arial" w:cs="Arial"/>
        </w:rPr>
        <w:t xml:space="preserve"> всем государствам-членам осуществлять или поддерживать осуществление ПСГЦ на уровне своих территориальных сообществ или в других государствах-членах.</w:t>
      </w:r>
    </w:p>
    <w:p w14:paraId="5DD62D94" w14:textId="1BBE968E" w:rsidR="000964B2" w:rsidRPr="001F3F03" w:rsidRDefault="000E178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1F3F03">
        <w:rPr>
          <w:rFonts w:ascii="Arial" w:hAnsi="Arial" w:cs="Arial"/>
          <w:b/>
        </w:rPr>
        <w:t>МКГ постановила</w:t>
      </w:r>
      <w:r w:rsidRPr="001F3F03">
        <w:rPr>
          <w:rFonts w:ascii="Arial" w:hAnsi="Arial" w:cs="Arial"/>
        </w:rPr>
        <w:t xml:space="preserve"> учредить целевую группу по вопросам готовности к цунами.</w:t>
      </w:r>
    </w:p>
    <w:p w14:paraId="6C464180" w14:textId="455A13CB" w:rsidR="000964B2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выразила признательность</w:t>
      </w:r>
      <w:r w:rsidRPr="001F3F03">
        <w:rPr>
          <w:rFonts w:ascii="Arial" w:hAnsi="Arial" w:cs="Arial"/>
        </w:rPr>
        <w:t xml:space="preserve"> Карибскому отделению Международного центра информации о цунами (МЦИЦ/КАР) за его предложение предоставить сроком на десять недель стажера для оказания помощи при проведении опроса в отношении реализации ПСГЦ в регионе ответственности МКГ/КАРИБ-СРП и </w:t>
      </w:r>
      <w:r w:rsidRPr="001F3F03">
        <w:rPr>
          <w:rFonts w:ascii="Arial" w:hAnsi="Arial" w:cs="Arial"/>
          <w:b/>
        </w:rPr>
        <w:t>приняла к сведению</w:t>
      </w:r>
      <w:r w:rsidRPr="001F3F03">
        <w:rPr>
          <w:rFonts w:ascii="Arial" w:hAnsi="Arial" w:cs="Arial"/>
        </w:rPr>
        <w:t xml:space="preserve"> просьбу Рабочей группы по системам предупреждения о цунами и других опасных явлениях, связанных с изменением уровня моря, и смягчения их последствий (РГ-СПЦО) о том, чтобы ЦГ-ЛПГ рассмотрела вопрос о введении формуляра оценки готовности к цунами в других МКГ, помимо МКГ/КАРИБ-СРП, о его переводе на испанский и французский языки, а также о его использовании секцией МОК по обеспечению устойчивости к цунами.</w:t>
      </w:r>
    </w:p>
    <w:p w14:paraId="0C8E665A" w14:textId="07A8BEF2" w:rsidR="000964B2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рекомендовала</w:t>
      </w:r>
      <w:r w:rsidRPr="001F3F03">
        <w:rPr>
          <w:rFonts w:ascii="Arial" w:hAnsi="Arial" w:cs="Arial"/>
        </w:rPr>
        <w:t xml:space="preserve"> своему руководящему комитету и Секретариату оценить ход выполнения этой работы в рамках МКГ/КАРИБИ-СРП и проинформировать МКГ/КАРИБИ-СРП о ходе осуществления этой работы в других МКГ в соответствии с рекомендацией РГ</w:t>
      </w:r>
      <w:r w:rsidR="00BC2FD1" w:rsidRPr="00CD6930">
        <w:rPr>
          <w:rFonts w:ascii="Arial" w:hAnsi="Arial" w:cs="Arial"/>
        </w:rPr>
        <w:noBreakHyphen/>
      </w:r>
      <w:r w:rsidRPr="001F3F03">
        <w:rPr>
          <w:rFonts w:ascii="Arial" w:hAnsi="Arial" w:cs="Arial"/>
        </w:rPr>
        <w:t>СПЦО</w:t>
      </w:r>
      <w:r w:rsidR="00BC2FD1" w:rsidRPr="00BC2FD1">
        <w:rPr>
          <w:rFonts w:ascii="Arial" w:hAnsi="Arial" w:cs="Arial"/>
        </w:rPr>
        <w:noBreakHyphen/>
      </w:r>
      <w:r w:rsidRPr="001F3F03">
        <w:rPr>
          <w:rFonts w:ascii="Arial" w:hAnsi="Arial" w:cs="Arial"/>
        </w:rPr>
        <w:t>XVII.</w:t>
      </w:r>
    </w:p>
    <w:p w14:paraId="2C97A9F6" w14:textId="13854FB3" w:rsidR="000E178F" w:rsidRPr="001F3F03" w:rsidRDefault="000E178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приняла также к сведению</w:t>
      </w:r>
      <w:r w:rsidRPr="001F3F03">
        <w:rPr>
          <w:rFonts w:ascii="Arial" w:hAnsi="Arial" w:cs="Arial"/>
        </w:rPr>
        <w:t xml:space="preserve"> прогресс, достигнутый в рамках утвержденной в плане Десятилетия ООН, посвященного науке об океане, инициативы «Интеллектуальные кабели», осуществляемой</w:t>
      </w:r>
      <w:r w:rsidR="001F3F03" w:rsidRPr="001F3F03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>в Тихоокеанском и Атлантическом бассейнах.</w:t>
      </w:r>
    </w:p>
    <w:p w14:paraId="6CD6C991" w14:textId="49BBB4A5" w:rsidR="000E178F" w:rsidRPr="001F3F03" w:rsidRDefault="000E178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постановила</w:t>
      </w:r>
      <w:r w:rsidRPr="001F3F03">
        <w:rPr>
          <w:rFonts w:ascii="Arial" w:hAnsi="Arial" w:cs="Arial"/>
        </w:rPr>
        <w:t xml:space="preserve"> учредить в рамках рабочей группы № 2 специальную подгруппу, которая будет заниматься непосредственно вопросами внедрения такой технологии в регионе ответственности КАРИБ-СРП.</w:t>
      </w:r>
    </w:p>
    <w:p w14:paraId="7DC3B9BF" w14:textId="2F315C26" w:rsidR="000E178F" w:rsidRPr="001F3F03" w:rsidRDefault="000E178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просила</w:t>
      </w:r>
      <w:r w:rsidRPr="001F3F03">
        <w:rPr>
          <w:rFonts w:ascii="Arial" w:hAnsi="Arial" w:cs="Arial"/>
        </w:rPr>
        <w:t xml:space="preserve"> руководящий комитет пересмотреть инициативу в отношении плана работы и мероприятий группы экспертов (ГЭ) в целях повышения эффективности СРП путем включения в межсессионный период других опасных природных явлений в прибрежной зоне, координируя эту деятельность с секретариатом МОКАРИБ и региональными бюро ВМО и УСРБ ООН, при поддержке руководящего совета и технического секретаря МКГ/КАРБ-СРП.</w:t>
      </w:r>
    </w:p>
    <w:p w14:paraId="78B79C91" w14:textId="70CC47BA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высоко оценила</w:t>
      </w:r>
      <w:r w:rsidRPr="001F3F03">
        <w:rPr>
          <w:rFonts w:ascii="Arial" w:hAnsi="Arial" w:cs="Arial"/>
        </w:rPr>
        <w:t xml:space="preserve"> проведение учебно-практического семинара по эвакуационным мероприятиям на случай цунами, который прошел в Коста-Рике в апреле 2024 г. с участием семи государств</w:t>
      </w:r>
      <w:r w:rsidR="00CD6930" w:rsidRPr="00CD6930">
        <w:rPr>
          <w:rFonts w:ascii="Arial" w:hAnsi="Arial" w:cs="Arial"/>
        </w:rPr>
        <w:t xml:space="preserve"> </w:t>
      </w:r>
      <w:r w:rsidR="00CD6930">
        <w:rPr>
          <w:rFonts w:ascii="Arial" w:hAnsi="Arial" w:cs="Arial"/>
        </w:rPr>
        <w:t>–</w:t>
      </w:r>
      <w:r w:rsidR="00CD6930" w:rsidRPr="00CD6930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>членов МКГ/КАРИБ-СРП (Гватемала, Доминиканская Республика, Колумбия, Коста-Рика, Мексика, Никарагуа, Панама</w:t>
      </w:r>
      <w:r w:rsidR="001F3F03" w:rsidRPr="001F3F03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 xml:space="preserve">и США (Пуэрто-Рико), и </w:t>
      </w:r>
      <w:r w:rsidRPr="001F3F03">
        <w:rPr>
          <w:rFonts w:ascii="Arial" w:hAnsi="Arial" w:cs="Arial"/>
          <w:b/>
        </w:rPr>
        <w:t>поблагодарила</w:t>
      </w:r>
      <w:r w:rsidRPr="001F3F03">
        <w:rPr>
          <w:rFonts w:ascii="Arial" w:hAnsi="Arial" w:cs="Arial"/>
        </w:rPr>
        <w:t xml:space="preserve"> руководство Института экстремальных природных явлений Флоридского международного университета за его инициативу. Финансовая поддержка была предоставлена бюро гуманитарной помощи Агентства Соединенных Штатов Америки по международному развитию (ЮСЭЙД/БГП) и секретариатом МКГ/КАРИБ-СРП. Помощь в организации практикума оказали также Национальный университет Коста-Рики, МЦИЦ/КАР и Пуэрто-Риканская сеть сейсмических измерений (ПРСС).</w:t>
      </w:r>
    </w:p>
    <w:p w14:paraId="119E0E9F" w14:textId="3FF03E1B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с удовлетворением отметила</w:t>
      </w:r>
      <w:r w:rsidRPr="001F3F03">
        <w:rPr>
          <w:rFonts w:ascii="Arial" w:hAnsi="Arial" w:cs="Arial"/>
        </w:rPr>
        <w:t xml:space="preserve"> успешное проведение 13-17 ноября 2023 г. в Коста-Рике учебного курса по проблематике приливных волн. Курс проводился на испанском языке и был организован и профинансирован совместно Международной гидрографической организацией (МГО), Международной морской организацией (ИМО), Межправительственной океанографической комиссией ЮНЕСКО (МОК/ЮНЕСКО) и Национальным управлением по исследованию океанов и атмосферы (НОАА, США).</w:t>
      </w:r>
    </w:p>
    <w:p w14:paraId="485B2380" w14:textId="43CDA115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призвала</w:t>
      </w:r>
      <w:r w:rsidRPr="001F3F03">
        <w:rPr>
          <w:rFonts w:ascii="Arial" w:hAnsi="Arial" w:cs="Arial"/>
        </w:rPr>
        <w:t xml:space="preserve"> Секретариат и рабочую группу № 2 организовать в течение двух лет поочередно на английском и испанском языках учебный курс по проблематике изменения уровня моря при поддержке НОАА и Секретариата, в тесном сотрудничестве с Международной гидрографической организацией (МГО) и Международной морской организации (ИМО).</w:t>
      </w:r>
    </w:p>
    <w:p w14:paraId="14C87019" w14:textId="3AAADF48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подтвердила</w:t>
      </w:r>
      <w:r w:rsidRPr="001F3F03">
        <w:rPr>
          <w:rFonts w:ascii="Arial" w:hAnsi="Arial" w:cs="Arial"/>
        </w:rPr>
        <w:t xml:space="preserve">, что на 2-5 декабря 2024 г. запланировано проведение в </w:t>
      </w:r>
      <w:proofErr w:type="spellStart"/>
      <w:r w:rsidRPr="001F3F03">
        <w:rPr>
          <w:rFonts w:ascii="Arial" w:hAnsi="Arial" w:cs="Arial"/>
        </w:rPr>
        <w:t>Эредии</w:t>
      </w:r>
      <w:proofErr w:type="spellEnd"/>
      <w:r w:rsidRPr="001F3F03">
        <w:rPr>
          <w:rFonts w:ascii="Arial" w:hAnsi="Arial" w:cs="Arial"/>
        </w:rPr>
        <w:t>, Коста-Рика, совместного совещания экспертов по источникам цунами сейсмического происхождения в северо-западной части Карибского бассейна и несейсмического происхождения в Карибском бассейне и прилегающих регионах.</w:t>
      </w:r>
    </w:p>
    <w:p w14:paraId="41EED59E" w14:textId="77777777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отметила</w:t>
      </w:r>
      <w:r w:rsidRPr="001F3F03">
        <w:rPr>
          <w:rFonts w:ascii="Arial" w:hAnsi="Arial" w:cs="Arial"/>
        </w:rPr>
        <w:t xml:space="preserve">, что для определения пригодности к использованию карт и планов эвакуации в связи с цунами необходимо знать время, требуемое для эвакуации, и </w:t>
      </w:r>
      <w:r w:rsidRPr="001F3F03">
        <w:rPr>
          <w:rFonts w:ascii="Arial" w:hAnsi="Arial" w:cs="Arial"/>
          <w:b/>
        </w:rPr>
        <w:t>рекомендовала</w:t>
      </w:r>
      <w:r w:rsidRPr="001F3F03">
        <w:rPr>
          <w:rFonts w:ascii="Arial" w:hAnsi="Arial" w:cs="Arial"/>
        </w:rPr>
        <w:t xml:space="preserve"> Секретариату совместно с рабочей группой № 4 изыскать средства для организации учебно-практического семинара по оценке моделирования процесса эвакуации.</w:t>
      </w:r>
    </w:p>
    <w:p w14:paraId="2EF7D4D9" w14:textId="36AD736A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отметила также</w:t>
      </w:r>
      <w:r w:rsidRPr="001F3F03">
        <w:rPr>
          <w:rFonts w:ascii="Arial" w:hAnsi="Arial" w:cs="Arial"/>
        </w:rPr>
        <w:t>, что в межсессионный период была окончательно доработана и опубликована испанская версия методических рекомендаций по «Многолетней программе отработки действий населения при угрозе цунами», предназначенная для МКГ/КАРИБ-СРП (</w:t>
      </w:r>
      <w:hyperlink r:id="rId13" w:history="1">
        <w:r w:rsidRPr="001F3F03">
          <w:rPr>
            <w:rStyle w:val="Hyperlink"/>
            <w:rFonts w:ascii="Arial" w:hAnsi="Arial" w:cs="Arial"/>
          </w:rPr>
          <w:t xml:space="preserve">серия «Справочники и руководства МОК», </w:t>
        </w:r>
        <w:proofErr w:type="spellStart"/>
        <w:r w:rsidRPr="001F3F03">
          <w:rPr>
            <w:rStyle w:val="Hyperlink"/>
            <w:rFonts w:ascii="Arial" w:hAnsi="Arial" w:cs="Arial"/>
          </w:rPr>
          <w:t>вып</w:t>
        </w:r>
        <w:proofErr w:type="spellEnd"/>
        <w:r w:rsidRPr="001F3F03">
          <w:rPr>
            <w:rStyle w:val="Hyperlink"/>
            <w:rFonts w:ascii="Arial" w:hAnsi="Arial" w:cs="Arial"/>
          </w:rPr>
          <w:t>. № 86</w:t>
        </w:r>
      </w:hyperlink>
      <w:r w:rsidRPr="001F3F03">
        <w:rPr>
          <w:rFonts w:ascii="Arial" w:hAnsi="Arial" w:cs="Arial"/>
        </w:rPr>
        <w:t>).</w:t>
      </w:r>
    </w:p>
    <w:p w14:paraId="0FEB9060" w14:textId="628C2889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указала</w:t>
      </w:r>
      <w:r w:rsidRPr="001F3F03">
        <w:rPr>
          <w:rFonts w:ascii="Arial" w:hAnsi="Arial" w:cs="Arial"/>
        </w:rPr>
        <w:t xml:space="preserve"> на возможность проведения такого практикума в Антигуа и Барбуде с частичным финансированием со стороны бюро гуманитарной помощи Агентства Соединенных Штатов Америки по международному развитию (ЮСЭЙД/БГП) в рамках Программы сертификации готовности к цунами и </w:t>
      </w:r>
      <w:r w:rsidRPr="001F3F03">
        <w:rPr>
          <w:rFonts w:ascii="Arial" w:hAnsi="Arial" w:cs="Arial"/>
          <w:b/>
        </w:rPr>
        <w:t>рекомендовала</w:t>
      </w:r>
      <w:r w:rsidRPr="001F3F03">
        <w:rPr>
          <w:rFonts w:ascii="Arial" w:hAnsi="Arial" w:cs="Arial"/>
        </w:rPr>
        <w:t xml:space="preserve"> КЦИЦ и МЦИЦ/КАР в координации с рабочей группой № 4 и целевой группой по проведению учений «Карибская волна» организовать совместный тренинг по применению вышеупомянутых методических рекомендаций, а также провести совещание целевой группы «Карибская волна» в Антигуа и Барбуде в течение следующего межсессионного периода.</w:t>
      </w:r>
    </w:p>
    <w:p w14:paraId="3FCCD8CB" w14:textId="5E5219A7" w:rsidR="00EF7BBB" w:rsidRPr="001F3F03" w:rsidRDefault="00227DFA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приняла к сведению</w:t>
      </w:r>
      <w:r w:rsidRPr="001F3F03">
        <w:rPr>
          <w:rFonts w:ascii="Arial" w:hAnsi="Arial" w:cs="Arial"/>
        </w:rPr>
        <w:t xml:space="preserve"> подготовленный рабочей группой № З перечень способов распространения и доведения информации об опасности цунами для стран Карибского бассейна и прилегающих регионов.</w:t>
      </w:r>
    </w:p>
    <w:p w14:paraId="6AEE5195" w14:textId="684D69D0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поблагодарила</w:t>
      </w:r>
      <w:r w:rsidRPr="001F3F03">
        <w:rPr>
          <w:rFonts w:ascii="Arial" w:hAnsi="Arial" w:cs="Arial"/>
        </w:rPr>
        <w:t xml:space="preserve"> за помощь, оказанную Карибским отделением Международного центра информации о цунами (МЦИЦ/КАР) в подготовке настоящего документа, а также за вклад, который в эту работу внесли другие заинтересованные стороны.</w:t>
      </w:r>
    </w:p>
    <w:p w14:paraId="097916D4" w14:textId="1A108BE4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рекомендовала</w:t>
      </w:r>
      <w:r w:rsidRPr="001F3F03">
        <w:rPr>
          <w:rFonts w:ascii="Arial" w:hAnsi="Arial" w:cs="Arial"/>
        </w:rPr>
        <w:t xml:space="preserve"> рабочей группе № З доработать вышеупомянутый перечень и представить его вместе с отчетом об итогах учений «Карибская волна-24», а </w:t>
      </w:r>
      <w:r w:rsidRPr="001F3F03">
        <w:rPr>
          <w:rFonts w:ascii="Arial" w:hAnsi="Arial" w:cs="Arial"/>
          <w:b/>
        </w:rPr>
        <w:t>также рекомендовала</w:t>
      </w:r>
      <w:r w:rsidRPr="001F3F03">
        <w:rPr>
          <w:rFonts w:ascii="Arial" w:hAnsi="Arial" w:cs="Arial"/>
        </w:rPr>
        <w:t xml:space="preserve"> секции повышения устойчивости к воздействию цунами (МОК/ЮНЕСКО) содействовать популяризации окончательной версии перечня и предоставить его в распоряжение государств</w:t>
      </w:r>
      <w:r w:rsidR="005A2557" w:rsidRPr="005A2557">
        <w:rPr>
          <w:rFonts w:ascii="Arial" w:hAnsi="Arial" w:cs="Arial"/>
        </w:rPr>
        <w:t xml:space="preserve"> </w:t>
      </w:r>
      <w:r w:rsidR="005A2557">
        <w:rPr>
          <w:rFonts w:ascii="Arial" w:hAnsi="Arial" w:cs="Arial"/>
        </w:rPr>
        <w:t>–</w:t>
      </w:r>
      <w:r w:rsidR="005A2557" w:rsidRPr="005A2557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>членов МКГ/КАРИБ-СРП и других заинтересованных сторон.</w:t>
      </w:r>
    </w:p>
    <w:p w14:paraId="1FBF43B3" w14:textId="1280A152" w:rsidR="00EF7BBB" w:rsidRPr="001F3F03" w:rsidRDefault="00CE20ED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3111CC">
        <w:rPr>
          <w:rFonts w:ascii="Arial" w:hAnsi="Arial" w:cs="Arial"/>
          <w:b/>
        </w:rPr>
        <w:t>МКГ выразила признательность</w:t>
      </w:r>
      <w:r w:rsidRPr="003111CC">
        <w:rPr>
          <w:rFonts w:ascii="Arial" w:hAnsi="Arial" w:cs="Arial"/>
        </w:rPr>
        <w:t xml:space="preserve"> НОАА, МЦИЦ/КАР и Тихоокеанскому центру преду</w:t>
      </w:r>
      <w:r w:rsidRPr="001F3F03">
        <w:rPr>
          <w:rFonts w:ascii="Arial" w:hAnsi="Arial" w:cs="Arial"/>
        </w:rPr>
        <w:t>преждений о цунами (ТЦПЦ) за усовершенствование системы автоматизированной обработки и обеспечение непрерывной передачи данных о состоянии сейсмических станций и станций измерения уровня моря.</w:t>
      </w:r>
    </w:p>
    <w:p w14:paraId="28A6874B" w14:textId="7A3CC7BF" w:rsidR="00EF7BBB" w:rsidRPr="001F3F03" w:rsidRDefault="00CE20ED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отметила</w:t>
      </w:r>
      <w:r w:rsidRPr="001F3F03">
        <w:rPr>
          <w:rFonts w:ascii="Arial" w:hAnsi="Arial" w:cs="Arial"/>
        </w:rPr>
        <w:t>, что значительная часть станций измерения уровня моря и сейсмических станций в регионе ответственности КАРИБ-СРП в настоящее время находится в нерабочем состоянии, в связи с чем возможна задержка с оценкой опасности цунами и со своевременным и надежным поступлением соответствующих оповещений.</w:t>
      </w:r>
    </w:p>
    <w:p w14:paraId="7F4F327D" w14:textId="77777777" w:rsidR="00EF7BBB" w:rsidRPr="001F3F03" w:rsidRDefault="00CE20ED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настоятельно призвала</w:t>
      </w:r>
      <w:r w:rsidRPr="001F3F03">
        <w:rPr>
          <w:rFonts w:ascii="Arial" w:hAnsi="Arial" w:cs="Arial"/>
        </w:rPr>
        <w:t xml:space="preserve"> государства-члены и операторов сейсмических станций и станций измерения уровня моря в регионе охвата КАРИБ-СРП обеспечить надлежащее функционирование своих станций, регулярный контроль и отражение их состояния в Центре мониторинга станций измерения уровня моря МОК и на ежемесячных картах ТЦПЦ, размещенных на веб-сайте МЦИЦ, а также информировать МЦИЦ/КАР и Секретариат о планах их ремонта.</w:t>
      </w:r>
    </w:p>
    <w:p w14:paraId="0DAA8BC1" w14:textId="0037BE6B" w:rsidR="00EF7BBB" w:rsidRPr="001F3F03" w:rsidRDefault="000964B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также настоятельно призвала</w:t>
      </w:r>
      <w:r w:rsidRPr="001F3F03">
        <w:rPr>
          <w:rFonts w:ascii="Arial" w:hAnsi="Arial" w:cs="Arial"/>
        </w:rPr>
        <w:t xml:space="preserve"> государства-члены разработать и иметь актуальные планы чрезвычайного реагирования при цунами и соответствующие стандартные рабочие процедуры (СРП), включая меры на случай локальных цунами, а также назначить и обучить лиц, отвечающих за вопросы предупреждения о цунами.</w:t>
      </w:r>
    </w:p>
    <w:p w14:paraId="046D1AAA" w14:textId="3AF9EBCD" w:rsidR="00EF7BBB" w:rsidRPr="001F3F03" w:rsidRDefault="00490467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просила</w:t>
      </w:r>
      <w:r w:rsidRPr="001F3F03">
        <w:rPr>
          <w:rFonts w:ascii="Arial" w:hAnsi="Arial" w:cs="Arial"/>
        </w:rPr>
        <w:t xml:space="preserve"> рабочую группу № З провести оценку на предмет актуальности и при необходимости пересмотр технических, логистических и административных требований к региональному провайдеру данных слежения за цунами и представить их самое позднее на 18</w:t>
      </w:r>
      <w:r w:rsidR="003111CC" w:rsidRPr="00C075DE">
        <w:rPr>
          <w:rFonts w:ascii="Arial" w:hAnsi="Arial" w:cs="Arial"/>
        </w:rPr>
        <w:noBreakHyphen/>
      </w:r>
      <w:r w:rsidRPr="001F3F03">
        <w:rPr>
          <w:rFonts w:ascii="Arial" w:hAnsi="Arial" w:cs="Arial"/>
        </w:rPr>
        <w:t>й</w:t>
      </w:r>
      <w:r w:rsidR="003111CC">
        <w:rPr>
          <w:rFonts w:ascii="Arial" w:hAnsi="Arial" w:cs="Arial"/>
          <w:lang w:val="en-US"/>
        </w:rPr>
        <w:t> </w:t>
      </w:r>
      <w:r w:rsidRPr="001F3F03">
        <w:rPr>
          <w:rFonts w:ascii="Arial" w:hAnsi="Arial" w:cs="Arial"/>
        </w:rPr>
        <w:t>сессии МКГ/КАРИБ-СРП.</w:t>
      </w:r>
    </w:p>
    <w:p w14:paraId="478A0073" w14:textId="1F32012F" w:rsidR="00EF7BBB" w:rsidRPr="001F3F03" w:rsidRDefault="00490467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приняла к сведению</w:t>
      </w:r>
      <w:r w:rsidRPr="001F3F03">
        <w:rPr>
          <w:rFonts w:ascii="Arial" w:hAnsi="Arial" w:cs="Arial"/>
        </w:rPr>
        <w:t xml:space="preserve"> прогресс, достигнутый Консультативным центром по цунами для региона Центральной Америки</w:t>
      </w:r>
      <w:r w:rsidR="00C075DE" w:rsidRPr="00C075DE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 xml:space="preserve">(КЦЦЦА) в вопросах раннего предупреждения о землетрясениях (РПЗ), и </w:t>
      </w:r>
      <w:r w:rsidRPr="001F3F03">
        <w:rPr>
          <w:rFonts w:ascii="Arial" w:hAnsi="Arial" w:cs="Arial"/>
          <w:b/>
        </w:rPr>
        <w:t>рекомендовала</w:t>
      </w:r>
      <w:r w:rsidRPr="001F3F03">
        <w:rPr>
          <w:rFonts w:ascii="Arial" w:hAnsi="Arial" w:cs="Arial"/>
        </w:rPr>
        <w:t xml:space="preserve"> КЦЦЦА изучить возможность внедрения технологий РПЗ в рамках предоставления своих услуг и предупреждений по цунами координаторам по предупреждению о цунами (КПЦ) и национальным центрам предупреждения о цунами (НЦПЦ), а также представить информацию по этому вопросу на 18-й сессии МКГ/КАРИБ-СРП.</w:t>
      </w:r>
    </w:p>
    <w:p w14:paraId="0A84364C" w14:textId="77777777" w:rsidR="00FA2AA5" w:rsidRPr="001F3F03" w:rsidRDefault="004738A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приняла также к сведению</w:t>
      </w:r>
      <w:r w:rsidRPr="001F3F03">
        <w:rPr>
          <w:rFonts w:ascii="Arial" w:hAnsi="Arial" w:cs="Arial"/>
        </w:rPr>
        <w:t xml:space="preserve"> информацию о возобновлении меморандума о взаимопонимании между правительством Барбадоса и МОК/ЮНЕСКО в отношении КЦИЦ, при этом срок действия меморандума был увеличен с трех до пяти лет.</w:t>
      </w:r>
    </w:p>
    <w:p w14:paraId="6920D267" w14:textId="3092CB0B" w:rsidR="00EF7BBB" w:rsidRPr="001F3F03" w:rsidRDefault="004738A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с признательностью отметила</w:t>
      </w:r>
      <w:r w:rsidRPr="001F3F03">
        <w:rPr>
          <w:rFonts w:ascii="Arial" w:hAnsi="Arial" w:cs="Arial"/>
        </w:rPr>
        <w:t xml:space="preserve"> тесное взаимодействие между КЦИЦ, МЦИЦ/КАР, рабочей группой № 4, целевой группой «Карибская волна» и УСРБ ООН в вопросах повышения подготовленности, обеспечения готовности и устойчивости к воздействию цунами и другим опасным природным явлениям в прибрежной зоне региона ответственности КАРИБ-СРП и минимизации их последствий, в частности в том, что касается осуществления Программы сертификации готовности к цунами, подготовки и распространения учебных и информационно-просветительских материалов, поддержки мероприятий в рамках Десятилетия ООН, посвященного науке об океане в интересах устойчивого развития, включая деятельность рабочей группы по проведению Десятилетия безопасного океана в тропических странах Америки и Карибского бассейна.</w:t>
      </w:r>
    </w:p>
    <w:p w14:paraId="0C278AFE" w14:textId="329E5B1D" w:rsidR="00EF7BBB" w:rsidRPr="001F3F03" w:rsidRDefault="004738A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с удовлетворением приняла к сведению</w:t>
      </w:r>
      <w:r w:rsidRPr="001F3F03">
        <w:rPr>
          <w:rFonts w:ascii="Arial" w:hAnsi="Arial" w:cs="Arial"/>
        </w:rPr>
        <w:t xml:space="preserve"> расширение сферы компетенции КЦИЦ, впервые с момента его создания, в контексте увязки его деятельности с рамочными стратегиями и программами, такими как Повестка дня ООН в области устойчивого развития, Сендайская рамочная программа по снижению риска бедствий, Десятилетие ООН, посвященное науке об океане, инициатива ООН «Заблаговременные предупреждения для всех», Всеобъемлющая стратегия и рамочная программа по обеспечению готовности к бедствиям и ликвидации их последствий, осуществляемая под руководством КДЕМА, и Программа МКО/ЮНЕСКОК по сертификации готовности к цунами, что привело к увеличению рабочей нагрузки и одновременно к расширению возможностей для интеграции всего спектра задач и функциональных направлений работы КЦИЦ (включая прочие опасные природные явления в прибрежной зоне) на региональном и глобальном уровнях, а также </w:t>
      </w:r>
      <w:r w:rsidRPr="001F3F03">
        <w:rPr>
          <w:rFonts w:ascii="Arial" w:hAnsi="Arial" w:cs="Arial"/>
          <w:b/>
        </w:rPr>
        <w:t>высоко оценила</w:t>
      </w:r>
      <w:r w:rsidRPr="001F3F03">
        <w:rPr>
          <w:rFonts w:ascii="Arial" w:hAnsi="Arial" w:cs="Arial"/>
        </w:rPr>
        <w:t xml:space="preserve"> новые стратегически важные аспекты работы, такие как актуальность учета проблематики социальных наук, изменение моделей поведения, проблематика инвалидов и уязвимых групп населения (молодежь, женщины, коренное население, малоимущие слои).</w:t>
      </w:r>
    </w:p>
    <w:p w14:paraId="1103E12E" w14:textId="7BA035B0" w:rsidR="00EF7BBB" w:rsidRPr="001F3F03" w:rsidRDefault="004738A2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рекомендовала</w:t>
      </w:r>
      <w:r w:rsidRPr="001F3F03">
        <w:rPr>
          <w:rFonts w:ascii="Arial" w:hAnsi="Arial" w:cs="Arial"/>
        </w:rPr>
        <w:t xml:space="preserve"> руководящему комитету КАРИБ-СРП провести перспективную оценку кадрового обеспечения, необходимого для адекватного укомплектования КЦИЦ, которое позволило бы ему эффективно осуществлять текущие и планировать новые мероприятия и проекты в поддержку деятельности МКГ/КАРИБ-СРП и инициативы ЗПДВ.</w:t>
      </w:r>
    </w:p>
    <w:p w14:paraId="683A5A9E" w14:textId="3C7FE177" w:rsidR="00EF7BBB" w:rsidRPr="001F3F03" w:rsidRDefault="00490467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96433">
        <w:rPr>
          <w:rFonts w:ascii="Arial" w:hAnsi="Arial" w:cs="Arial"/>
          <w:b/>
        </w:rPr>
        <w:t>МКГ напомнила</w:t>
      </w:r>
      <w:r w:rsidRPr="00296433">
        <w:rPr>
          <w:rFonts w:ascii="Arial" w:hAnsi="Arial" w:cs="Arial"/>
        </w:rPr>
        <w:t>, что ежегодно 5 ноября отмечается Всемирный день распространения</w:t>
      </w:r>
      <w:r w:rsidRPr="001F3F03">
        <w:rPr>
          <w:rFonts w:ascii="Arial" w:hAnsi="Arial" w:cs="Arial"/>
        </w:rPr>
        <w:t xml:space="preserve"> информации о проблеме цунами (ВДИПЦ), и </w:t>
      </w:r>
      <w:r w:rsidRPr="001F3F03">
        <w:rPr>
          <w:rFonts w:ascii="Arial" w:hAnsi="Arial" w:cs="Arial"/>
          <w:b/>
        </w:rPr>
        <w:t>указала</w:t>
      </w:r>
      <w:r w:rsidRPr="001F3F03">
        <w:rPr>
          <w:rFonts w:ascii="Arial" w:hAnsi="Arial" w:cs="Arial"/>
        </w:rPr>
        <w:t>, что тема ВДИПЦ-2024 – «Расширение прав и возможностей детей и молодежи в целях обеспечения готовности к цунами следующих поколений» – придаст дополнительный импульс мероприятиям, связанным с проведением учений по проверке готовности к цунами «Карибская волна-2024».</w:t>
      </w:r>
    </w:p>
    <w:p w14:paraId="3017245F" w14:textId="47048F31" w:rsidR="00EF7BBB" w:rsidRPr="001F3F03" w:rsidRDefault="00490467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отметила</w:t>
      </w:r>
      <w:r w:rsidRPr="001F3F03">
        <w:rPr>
          <w:rFonts w:ascii="Arial" w:hAnsi="Arial" w:cs="Arial"/>
        </w:rPr>
        <w:t xml:space="preserve"> инициативную роль, которую КЦИЦ сыграл в организации мероприятий, направленных на расширение участия и повышение осведомленности о ВДИПЦ в 2021 г., 2022 г. и 2023 г., и </w:t>
      </w:r>
      <w:r w:rsidRPr="001F3F03">
        <w:rPr>
          <w:rFonts w:ascii="Arial" w:hAnsi="Arial" w:cs="Arial"/>
          <w:b/>
        </w:rPr>
        <w:t>призвала</w:t>
      </w:r>
      <w:r w:rsidRPr="001F3F03">
        <w:rPr>
          <w:rFonts w:ascii="Arial" w:hAnsi="Arial" w:cs="Arial"/>
        </w:rPr>
        <w:t xml:space="preserve"> государства-члены проводить у себя мероприятия, приуроченные к ВДИПЦ, и делиться этой информацией с КЦИЦ.</w:t>
      </w:r>
    </w:p>
    <w:p w14:paraId="42B8094C" w14:textId="796BBAAA" w:rsidR="00EF7BBB" w:rsidRPr="001F3F03" w:rsidRDefault="00C07FB6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отметила также</w:t>
      </w:r>
      <w:r w:rsidRPr="001F3F03">
        <w:rPr>
          <w:rFonts w:ascii="Arial" w:hAnsi="Arial" w:cs="Arial"/>
        </w:rPr>
        <w:t xml:space="preserve"> успешное проведение учений по проверке готовности к цунами «Карибская волна-2024», в которых приняли участие все государства-члены региона и более 475</w:t>
      </w:r>
      <w:r w:rsidR="008D5884">
        <w:rPr>
          <w:rFonts w:ascii="Arial" w:hAnsi="Arial" w:cs="Arial"/>
          <w:lang w:val="en-US"/>
        </w:rPr>
        <w:t> </w:t>
      </w:r>
      <w:r w:rsidRPr="001F3F03">
        <w:rPr>
          <w:rFonts w:ascii="Arial" w:hAnsi="Arial" w:cs="Arial"/>
        </w:rPr>
        <w:t xml:space="preserve">000 человек, и </w:t>
      </w:r>
      <w:r w:rsidRPr="001F3F03">
        <w:rPr>
          <w:rFonts w:ascii="Arial" w:hAnsi="Arial" w:cs="Arial"/>
          <w:b/>
        </w:rPr>
        <w:t>настоятельно призвала</w:t>
      </w:r>
      <w:r w:rsidRPr="001F3F03">
        <w:rPr>
          <w:rFonts w:ascii="Arial" w:hAnsi="Arial" w:cs="Arial"/>
        </w:rPr>
        <w:t xml:space="preserve"> государства-члены в установленные сроки подвести итоги проведенных учений.</w:t>
      </w:r>
    </w:p>
    <w:p w14:paraId="60C4BCDE" w14:textId="52144ED7" w:rsidR="00EF7BBB" w:rsidRPr="001F3F03" w:rsidRDefault="00C07FB6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постановила</w:t>
      </w:r>
      <w:r w:rsidRPr="001F3F03">
        <w:rPr>
          <w:rFonts w:ascii="Arial" w:hAnsi="Arial" w:cs="Arial"/>
        </w:rPr>
        <w:t xml:space="preserve"> провести учения по проверке готовности к цунами «Карибская волна-2025» в четверг 20 марта 2025 г., начиная с 15:00 (UTC), с использованием одного ложного сообщения для проверки функционирования систем оповещения, которое будут отправлено ТЦПЦ и КЦЦЦА в адрес КПЦ и НЦПЦ, и </w:t>
      </w:r>
      <w:r w:rsidRPr="001F3F03">
        <w:rPr>
          <w:rFonts w:ascii="Arial" w:hAnsi="Arial" w:cs="Arial"/>
          <w:b/>
        </w:rPr>
        <w:t>подтвердила</w:t>
      </w:r>
      <w:r w:rsidRPr="001F3F03">
        <w:rPr>
          <w:rFonts w:ascii="Arial" w:hAnsi="Arial" w:cs="Arial"/>
        </w:rPr>
        <w:t xml:space="preserve">, что в ходе предстоящих в 2025 г. учений будет использовано два сценария, уже задействовавшихся в 2020 г., а именно: </w:t>
      </w:r>
      <w:r w:rsidR="00296433" w:rsidRPr="00296433">
        <w:rPr>
          <w:rFonts w:ascii="Arial" w:hAnsi="Arial" w:cs="Arial"/>
        </w:rPr>
        <w:t>(</w:t>
      </w:r>
      <w:r w:rsidRPr="001F3F03">
        <w:rPr>
          <w:rFonts w:ascii="Arial" w:hAnsi="Arial" w:cs="Arial"/>
        </w:rPr>
        <w:t xml:space="preserve">1) Ямайский сценарий 1692 г. и </w:t>
      </w:r>
      <w:r w:rsidR="00296433" w:rsidRPr="0027336F">
        <w:rPr>
          <w:rFonts w:ascii="Arial" w:hAnsi="Arial" w:cs="Arial"/>
        </w:rPr>
        <w:t>(</w:t>
      </w:r>
      <w:r w:rsidRPr="001F3F03">
        <w:rPr>
          <w:rFonts w:ascii="Arial" w:hAnsi="Arial" w:cs="Arial"/>
        </w:rPr>
        <w:t>2) Лиссабонский сценарий 1755 г.</w:t>
      </w:r>
    </w:p>
    <w:p w14:paraId="73C09DA1" w14:textId="4F583A89" w:rsidR="00EF7BBB" w:rsidRPr="001F3F03" w:rsidRDefault="00C07FB6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просила</w:t>
      </w:r>
      <w:r w:rsidRPr="001F3F03">
        <w:rPr>
          <w:rFonts w:ascii="Arial" w:hAnsi="Arial" w:cs="Arial"/>
        </w:rPr>
        <w:t xml:space="preserve">, кроме того, государства-члены рассмотреть возможность проведения всех или части своих мероприятий по проверке готовности к цунами в нерабочее время, в том числе ночью, с тем чтобы обеспечить более высокий уровень готовности к такому событию, которое с большой долей вероятности может случиться и в нерабочее время, а также </w:t>
      </w:r>
      <w:r w:rsidRPr="001F3F03">
        <w:rPr>
          <w:rFonts w:ascii="Arial" w:hAnsi="Arial" w:cs="Arial"/>
          <w:b/>
        </w:rPr>
        <w:t>напомнила</w:t>
      </w:r>
      <w:r w:rsidRPr="001F3F03">
        <w:rPr>
          <w:rFonts w:ascii="Arial" w:hAnsi="Arial" w:cs="Arial"/>
        </w:rPr>
        <w:t xml:space="preserve"> государствам-членам о необходимости рассмотреть возможность включения в выбранный ими сценарий учений «Карибская волна-2025» ситуацию комбинированного стихийного бедствия.</w:t>
      </w:r>
    </w:p>
    <w:p w14:paraId="53BBE032" w14:textId="63DDA9DE" w:rsidR="00EF7BBB" w:rsidRPr="001F3F03" w:rsidRDefault="006428A4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предложила</w:t>
      </w:r>
      <w:r w:rsidRPr="001F3F03">
        <w:rPr>
          <w:rFonts w:ascii="Arial" w:hAnsi="Arial" w:cs="Arial"/>
        </w:rPr>
        <w:t xml:space="preserve"> целевой группе проведения учений по проверке готовности к цунами изучить дополнительно сценарии с вовлечением туристов и туристических организаций, например Карибской туристической организации (КTO), с целью подготовки многоязычной инструкции/методических материалов для привлечения туристов к учениям «Карибская волна», а </w:t>
      </w:r>
      <w:r w:rsidRPr="001F3F03">
        <w:rPr>
          <w:rFonts w:ascii="Arial" w:hAnsi="Arial" w:cs="Arial"/>
          <w:b/>
        </w:rPr>
        <w:t>также предложила</w:t>
      </w:r>
      <w:r w:rsidRPr="001F3F03">
        <w:rPr>
          <w:rFonts w:ascii="Arial" w:hAnsi="Arial" w:cs="Arial"/>
        </w:rPr>
        <w:t xml:space="preserve"> вышеназванной целевой группе изучить возможности привлечения к участию в учениях национальных и региональных морских и портовых властей, которые могли бы проверить действенность предусмотренных ими на этот случай планов и процедур.</w:t>
      </w:r>
    </w:p>
    <w:p w14:paraId="7A9FB8AD" w14:textId="387C7464" w:rsidR="00EF7BBB" w:rsidRPr="001F3F03" w:rsidRDefault="007614A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высоко оценила</w:t>
      </w:r>
      <w:r w:rsidRPr="001F3F03">
        <w:rPr>
          <w:rFonts w:ascii="Arial" w:hAnsi="Arial" w:cs="Arial"/>
        </w:rPr>
        <w:t xml:space="preserve"> качество настоящего доклада и результаты работы КЦЦЦА в межсессионный период, а также последовательные усилия центра по совершенствованию своей системы предупреждений о сейсмической опасности, по выявлению источников такой опасности и своевременному направлению оперативных оповещений о цунами в случае </w:t>
      </w:r>
      <w:proofErr w:type="spellStart"/>
      <w:r w:rsidRPr="001F3F03">
        <w:rPr>
          <w:rFonts w:ascii="Arial" w:hAnsi="Arial" w:cs="Arial"/>
        </w:rPr>
        <w:t>цунамигенных</w:t>
      </w:r>
      <w:proofErr w:type="spellEnd"/>
      <w:r w:rsidRPr="001F3F03">
        <w:rPr>
          <w:rFonts w:ascii="Arial" w:hAnsi="Arial" w:cs="Arial"/>
        </w:rPr>
        <w:t xml:space="preserve"> землетрясений, случающихся в регионе Центральной Америки, а также меры КЦЦЦА, направленные на повышение уровня подготовленности пользователей и информирование их о наступлении возможных событий.</w:t>
      </w:r>
    </w:p>
    <w:p w14:paraId="55E7FEDC" w14:textId="273023AD" w:rsidR="00EF7BBB" w:rsidRPr="001F3F03" w:rsidRDefault="007614AF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рекомендовала</w:t>
      </w:r>
      <w:r w:rsidRPr="001F3F03">
        <w:rPr>
          <w:rFonts w:ascii="Arial" w:hAnsi="Arial" w:cs="Arial"/>
        </w:rPr>
        <w:t xml:space="preserve"> КЦЦЦА продолжать применение способов</w:t>
      </w:r>
      <w:r w:rsidR="001F3F03" w:rsidRPr="001F3F03">
        <w:rPr>
          <w:rFonts w:ascii="Arial" w:hAnsi="Arial" w:cs="Arial"/>
        </w:rPr>
        <w:t xml:space="preserve"> </w:t>
      </w:r>
      <w:r w:rsidRPr="001F3F03">
        <w:rPr>
          <w:rFonts w:ascii="Arial" w:hAnsi="Arial" w:cs="Arial"/>
        </w:rPr>
        <w:t xml:space="preserve">раннего предупреждения о землетрясении для повышения оперативности и совершенствования системы предупреждения о цунами в регионе Центральной Америки, а также </w:t>
      </w:r>
      <w:r w:rsidRPr="001F3F03">
        <w:rPr>
          <w:rFonts w:ascii="Arial" w:hAnsi="Arial" w:cs="Arial"/>
          <w:b/>
        </w:rPr>
        <w:t>отметила</w:t>
      </w:r>
      <w:r w:rsidRPr="001F3F03">
        <w:rPr>
          <w:rFonts w:ascii="Arial" w:hAnsi="Arial" w:cs="Arial"/>
        </w:rPr>
        <w:t>, что КЦЦЦА представил на обсуждение в ходе конгресса на тему «Города на вулканах» (11-17 февраля 2024 г., Антигуа, Гватемала) концептуальный документ об использовании системы предупреждения о цунами, связанных с вулканической деятельностью, в районе крупных озер Никарагуа.</w:t>
      </w:r>
    </w:p>
    <w:p w14:paraId="31D3AB28" w14:textId="6883134A" w:rsidR="00EF7BBB" w:rsidRPr="001F3F03" w:rsidRDefault="000151D3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приняла к сведению</w:t>
      </w:r>
      <w:r w:rsidRPr="001F3F03">
        <w:rPr>
          <w:rFonts w:ascii="Arial" w:hAnsi="Arial" w:cs="Arial"/>
        </w:rPr>
        <w:t xml:space="preserve"> трудности, с которыми КЦЦЦА столкнулся в ходе учений «Карибская волна-2024», а также намерение КЦЦЦА представить к марту 2025 г. для рассмотрения на 18-й сессии МКГ/КАРИБ-СРП обновленное руководство для пользователей.</w:t>
      </w:r>
    </w:p>
    <w:p w14:paraId="1743094A" w14:textId="251D51F3" w:rsidR="000151D3" w:rsidRPr="001F3F03" w:rsidRDefault="000151D3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рекомендовала</w:t>
      </w:r>
      <w:r w:rsidRPr="001F3F03">
        <w:rPr>
          <w:rFonts w:ascii="Arial" w:hAnsi="Arial" w:cs="Arial"/>
        </w:rPr>
        <w:t xml:space="preserve"> КЦЦЦА продолжать в полном объеме функционировать на временной основе, с тем чтобы иметь возможность оказывать поддержку национальным центрам предупреждения о цунами (НЦПЦ), координаторам по предупреждению о цунами (КПЦ) и органам-координаторам действий в чрезвычайных ситуациях стран Центральной Америки в решении возникающих вопросов, а </w:t>
      </w:r>
      <w:r w:rsidRPr="001F3F03">
        <w:rPr>
          <w:rFonts w:ascii="Arial" w:hAnsi="Arial" w:cs="Arial"/>
          <w:b/>
        </w:rPr>
        <w:t>также рекомендовала</w:t>
      </w:r>
      <w:r w:rsidRPr="001F3F03">
        <w:rPr>
          <w:rFonts w:ascii="Arial" w:hAnsi="Arial" w:cs="Arial"/>
        </w:rPr>
        <w:t xml:space="preserve"> рассмотреть на своей 18-й сессии в 2025 г. вопрос об использовании КЦЦЦА в качестве провайдера данных слежения за цунами (ПДСЦ), с тем чтобы в июне 2025 г. Ассамблея МОК могла принять окончательное решение по этому вопросу.</w:t>
      </w:r>
    </w:p>
    <w:p w14:paraId="25C2DE0F" w14:textId="60E7DC6B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 xml:space="preserve">МКГ приняла к сведению </w:t>
      </w:r>
      <w:r w:rsidRPr="001F3F03">
        <w:rPr>
          <w:rFonts w:ascii="Arial" w:hAnsi="Arial" w:cs="Arial"/>
        </w:rPr>
        <w:t>представленную Секретариатом рекомендацию ЮНЕСКО о том, чтобы проводить в очном режиме совещания, предусмотренные регламентирующими документами, а также повторяющиеся конференции только один раз в два года, соответственно один раз в два года проводить их в онлайновом режиме в целях сокращения выбросов углерода в атмосферу и снижения к 2030 г. объема выбросов на 31% в соответствии с целевыми показателями, предусмотренными в «Парижском соглашении».</w:t>
      </w:r>
    </w:p>
    <w:p w14:paraId="3FCD9EC5" w14:textId="371250AB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приняла также к сведению</w:t>
      </w:r>
      <w:r w:rsidRPr="001F3F03">
        <w:rPr>
          <w:rFonts w:ascii="Arial" w:hAnsi="Arial" w:cs="Arial"/>
        </w:rPr>
        <w:t xml:space="preserve"> несколько предстоящих 20-летних годовщин, связанных с деятельностью МКГ/КАРИБ-СРП, а именно: 20-летие создания МКГ/КАРИБ-СРП (2025</w:t>
      </w:r>
      <w:r w:rsidR="0069255D">
        <w:rPr>
          <w:rFonts w:ascii="Arial" w:hAnsi="Arial" w:cs="Arial"/>
          <w:lang w:val="en-US"/>
        </w:rPr>
        <w:t> </w:t>
      </w:r>
      <w:r w:rsidRPr="001F3F03">
        <w:rPr>
          <w:rFonts w:ascii="Arial" w:hAnsi="Arial" w:cs="Arial"/>
        </w:rPr>
        <w:t>г.), 20-летие первой сессии МКГ/КАРИБЕ-СРП (2026 г.) и юбилейная 20-я сессия МКГ/КАРИБ- СРП (2027 г.).</w:t>
      </w:r>
    </w:p>
    <w:p w14:paraId="4E50C3AE" w14:textId="29B99A96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указала</w:t>
      </w:r>
      <w:r w:rsidRPr="001F3F03">
        <w:rPr>
          <w:rFonts w:ascii="Arial" w:hAnsi="Arial" w:cs="Arial"/>
        </w:rPr>
        <w:t>, что эти годовщины уже были приняты к сведению в качестве хорошей возможности для распространения информации о достигнутых результатах и сохраняющихся трудностях в вопросах повышения устойчивости к воздействию цунами в странах Карибского бассейна и прилегающих к нему регионов в более широком контексте деятельности систем предупреждения о многофакторных опасных явлениях (СПМОЯ), а также в свете инициативы Генерального секретаря ООН «Заблаговременные предупреждения для всех» и в связи с возобновлением деятельности по обеспечению готовности к цунами в постпандемийный период.</w:t>
      </w:r>
    </w:p>
    <w:p w14:paraId="0B6FDB6E" w14:textId="4BCC9FD6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особо отметила</w:t>
      </w:r>
      <w:r w:rsidRPr="001F3F03">
        <w:rPr>
          <w:rFonts w:ascii="Arial" w:hAnsi="Arial" w:cs="Arial"/>
        </w:rPr>
        <w:t xml:space="preserve"> важность проведения очных совещаний, обеспечивающих возможности для неформального обмена мнениями вне рамок официальных заседаний с целью рассмотрения вопросов, касающихся совершенствования работы МКГ.</w:t>
      </w:r>
    </w:p>
    <w:p w14:paraId="5D41D00B" w14:textId="72FC3FB1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постановила</w:t>
      </w:r>
      <w:r w:rsidRPr="001F3F03">
        <w:rPr>
          <w:rFonts w:ascii="Arial" w:hAnsi="Arial" w:cs="Arial"/>
        </w:rPr>
        <w:t xml:space="preserve"> провести 18-ю сессию МКГ/КАРИБ-СРП в очном формате в течение недели, начинающейся 5 мая 2025 г., и рассмотреть вопрос об организации встык с 18-й сессией МКГ/КАРИБ-СРП Саммита по вопросам готовности к цунами для оценки достигнутых результатов и обобщения накопленного опыта, а также для разработки дорожной карты, которая обеспечит получение сертификатов «К цунами готов» 100% территориальных сообществ в целях повышения их устойчивости к воздействию цунами благодаря таким инициативам, как Программа сертификации готовности к цунами.</w:t>
      </w:r>
    </w:p>
    <w:p w14:paraId="40D721F8" w14:textId="5A8008E3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с признательностью приняла к сведению</w:t>
      </w:r>
      <w:r w:rsidRPr="001F3F03">
        <w:rPr>
          <w:rFonts w:ascii="Arial" w:hAnsi="Arial" w:cs="Arial"/>
        </w:rPr>
        <w:t xml:space="preserve"> соображения, высказанные Францией (Мартиника) и Панамой в отношении проведения у себя 18-й сессии МКГ/КАРИБ-СРП.</w:t>
      </w:r>
    </w:p>
    <w:p w14:paraId="183EF71F" w14:textId="2E357D7B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постановила</w:t>
      </w:r>
      <w:r w:rsidRPr="001F3F03">
        <w:rPr>
          <w:rFonts w:ascii="Arial" w:hAnsi="Arial" w:cs="Arial"/>
        </w:rPr>
        <w:t xml:space="preserve"> провести МКГ/КАРИБ-СРП-XVIII в онлайновом формате в том случае, если Франция (Мартиника), Панама или любое другое государство-член официально не проинформируют Секретариат до 9 августа 2024 г. о своей заинтересованности провести у себя 18-ю сессию МКГ/КАРИБ-СРП.</w:t>
      </w:r>
    </w:p>
    <w:p w14:paraId="429B1370" w14:textId="2BEE27B9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рекомендовала</w:t>
      </w:r>
      <w:r w:rsidRPr="001F3F03">
        <w:rPr>
          <w:rFonts w:ascii="Arial" w:hAnsi="Arial" w:cs="Arial"/>
        </w:rPr>
        <w:t xml:space="preserve"> в предварительном порядке провести 19-ю сессию МКГ/КАРИБ</w:t>
      </w:r>
      <w:r w:rsidR="00B90E5A" w:rsidRPr="00FB2E39">
        <w:rPr>
          <w:rFonts w:ascii="Arial" w:hAnsi="Arial" w:cs="Arial"/>
        </w:rPr>
        <w:noBreakHyphen/>
      </w:r>
      <w:r w:rsidRPr="001F3F03">
        <w:rPr>
          <w:rFonts w:ascii="Arial" w:hAnsi="Arial" w:cs="Arial"/>
        </w:rPr>
        <w:t>СРП в очном формате в течение недели, начинающейся 20 апреля 2026 г.</w:t>
      </w:r>
    </w:p>
    <w:p w14:paraId="52458BD9" w14:textId="0FB72501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с признательностью приняла также к сведению</w:t>
      </w:r>
      <w:r w:rsidRPr="001F3F03">
        <w:rPr>
          <w:rFonts w:ascii="Arial" w:hAnsi="Arial" w:cs="Arial"/>
        </w:rPr>
        <w:t xml:space="preserve"> предположение Барбадоса в отношении проведения у себя 19-й сессии МКГ/КАРИБ-СРП.</w:t>
      </w:r>
    </w:p>
    <w:p w14:paraId="1ACF8235" w14:textId="73FEFE0E" w:rsidR="002F1821" w:rsidRPr="001F3F03" w:rsidRDefault="002F1821" w:rsidP="008D5884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before="120" w:after="24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1F3F03">
        <w:rPr>
          <w:rFonts w:ascii="Arial" w:hAnsi="Arial" w:cs="Arial"/>
          <w:b/>
        </w:rPr>
        <w:t>МКГ постановила</w:t>
      </w:r>
      <w:r w:rsidRPr="001F3F03">
        <w:rPr>
          <w:rFonts w:ascii="Arial" w:hAnsi="Arial" w:cs="Arial"/>
        </w:rPr>
        <w:t xml:space="preserve"> рассмотреть вопрос о проведении своих будущих сессий начиная с 2026 г. в очном формате только один раз в два года: соответственно один раз в два года проводить их в онлайновом режиме.</w:t>
      </w:r>
    </w:p>
    <w:p w14:paraId="285A13C3" w14:textId="7F19978A" w:rsidR="003B6D4C" w:rsidRPr="008D5884" w:rsidRDefault="00E63ADA" w:rsidP="008D5884">
      <w:pPr>
        <w:keepNext/>
        <w:jc w:val="both"/>
        <w:rPr>
          <w:rFonts w:ascii="Arial" w:hAnsi="Arial" w:cs="Arial"/>
          <w:sz w:val="22"/>
          <w:szCs w:val="22"/>
        </w:rPr>
      </w:pPr>
      <w:hyperlink r:id="rId14" w:history="1">
        <w:r w:rsidR="00E6762B" w:rsidRPr="001F3F03">
          <w:rPr>
            <w:rStyle w:val="Hyperlink"/>
            <w:rFonts w:ascii="Arial" w:hAnsi="Arial" w:cs="Arial"/>
            <w:sz w:val="22"/>
            <w:szCs w:val="22"/>
          </w:rPr>
          <w:t>Более подробная информация содержится в Рекомендациях МКГ/КАРИБ-СРП-XVII</w:t>
        </w:r>
      </w:hyperlink>
      <w:r w:rsidR="008D5884" w:rsidRPr="008D5884">
        <w:rPr>
          <w:rStyle w:val="Hyperlink"/>
          <w:rFonts w:ascii="Arial" w:hAnsi="Arial" w:cs="Arial"/>
          <w:sz w:val="22"/>
          <w:szCs w:val="22"/>
        </w:rPr>
        <w:t>.</w:t>
      </w:r>
    </w:p>
    <w:sectPr w:rsidR="003B6D4C" w:rsidRPr="008D5884" w:rsidSect="00B96458">
      <w:headerReference w:type="even" r:id="rId15"/>
      <w:headerReference w:type="default" r:id="rId16"/>
      <w:headerReference w:type="first" r:id="rId17"/>
      <w:pgSz w:w="11907" w:h="16840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8950" w14:textId="77777777" w:rsidR="00E63ADA" w:rsidRDefault="00E63ADA">
      <w:r>
        <w:separator/>
      </w:r>
    </w:p>
  </w:endnote>
  <w:endnote w:type="continuationSeparator" w:id="0">
    <w:p w14:paraId="6B87380C" w14:textId="77777777" w:rsidR="00E63ADA" w:rsidRDefault="00E6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F85F" w14:textId="77777777" w:rsidR="00E63ADA" w:rsidRDefault="00E63ADA">
      <w:r>
        <w:separator/>
      </w:r>
    </w:p>
  </w:footnote>
  <w:footnote w:type="continuationSeparator" w:id="0">
    <w:p w14:paraId="0DB8B7C1" w14:textId="77777777" w:rsidR="00E63ADA" w:rsidRDefault="00E6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6B3B" w14:textId="682D3624" w:rsidR="0023152A" w:rsidRPr="00281529" w:rsidRDefault="0023152A" w:rsidP="0002560F">
    <w:pPr>
      <w:pStyle w:val="Header"/>
      <w:rPr>
        <w:szCs w:val="22"/>
        <w:lang w:val="en-US"/>
      </w:rPr>
    </w:pPr>
    <w:r w:rsidRPr="00281529">
      <w:rPr>
        <w:szCs w:val="22"/>
        <w:lang w:val="en-US"/>
      </w:rPr>
      <w:t xml:space="preserve">ICG/CARIBE EWS-XVII/3s – page </w:t>
    </w:r>
    <w:r w:rsidR="00D200BC" w:rsidRPr="00281529">
      <w:rPr>
        <w:szCs w:val="22"/>
      </w:rPr>
      <w:fldChar w:fldCharType="begin"/>
    </w:r>
    <w:r w:rsidR="00D200BC" w:rsidRPr="00281529">
      <w:rPr>
        <w:szCs w:val="22"/>
        <w:lang w:val="en-US"/>
      </w:rPr>
      <w:instrText>PAGE   \* MERGEFORMAT</w:instrText>
    </w:r>
    <w:r w:rsidR="00D200BC" w:rsidRPr="00281529">
      <w:rPr>
        <w:szCs w:val="22"/>
      </w:rPr>
      <w:fldChar w:fldCharType="separate"/>
    </w:r>
    <w:r w:rsidR="001024FE" w:rsidRPr="00281529">
      <w:rPr>
        <w:szCs w:val="22"/>
        <w:lang w:val="en-US"/>
      </w:rPr>
      <w:t>6</w:t>
    </w:r>
    <w:r w:rsidR="00D200BC" w:rsidRPr="00281529">
      <w:rPr>
        <w:szCs w:val="22"/>
      </w:rPr>
      <w:fldChar w:fldCharType="end"/>
    </w:r>
  </w:p>
  <w:p w14:paraId="20DC9944" w14:textId="77777777" w:rsidR="0023152A" w:rsidRDefault="0023152A" w:rsidP="007A121B">
    <w:pPr>
      <w:pStyle w:val="Header"/>
      <w:rPr>
        <w:lang w:val="en-AU"/>
      </w:rPr>
    </w:pPr>
  </w:p>
  <w:p w14:paraId="49F08F95" w14:textId="77777777" w:rsidR="0002560F" w:rsidRPr="00512CE2" w:rsidRDefault="0002560F" w:rsidP="007A121B">
    <w:pPr>
      <w:pStyle w:val="Header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54E" w14:textId="7883FC84" w:rsidR="0002560F" w:rsidRPr="00281529" w:rsidRDefault="0002560F" w:rsidP="00430C2B">
    <w:pPr>
      <w:pStyle w:val="Header"/>
      <w:ind w:left="5812"/>
      <w:jc w:val="right"/>
      <w:rPr>
        <w:szCs w:val="22"/>
        <w:lang w:val="en-US"/>
      </w:rPr>
    </w:pPr>
    <w:r w:rsidRPr="00281529">
      <w:rPr>
        <w:szCs w:val="22"/>
        <w:lang w:val="en-US"/>
      </w:rPr>
      <w:t xml:space="preserve">ICG/CARIBE EWS-XVII/3s – page </w:t>
    </w:r>
    <w:r w:rsidRPr="00281529">
      <w:rPr>
        <w:szCs w:val="22"/>
      </w:rPr>
      <w:fldChar w:fldCharType="begin"/>
    </w:r>
    <w:r w:rsidRPr="00281529">
      <w:rPr>
        <w:szCs w:val="22"/>
        <w:lang w:val="en-US"/>
      </w:rPr>
      <w:instrText>PAGE   \* MERGEFORMAT</w:instrText>
    </w:r>
    <w:r w:rsidRPr="00281529">
      <w:rPr>
        <w:szCs w:val="22"/>
      </w:rPr>
      <w:fldChar w:fldCharType="separate"/>
    </w:r>
    <w:r w:rsidR="001024FE" w:rsidRPr="00281529">
      <w:rPr>
        <w:szCs w:val="22"/>
        <w:lang w:val="en-US"/>
      </w:rPr>
      <w:t>5</w:t>
    </w:r>
    <w:r w:rsidRPr="00281529">
      <w:rPr>
        <w:szCs w:val="22"/>
      </w:rPr>
      <w:fldChar w:fldCharType="end"/>
    </w:r>
  </w:p>
  <w:p w14:paraId="09973621" w14:textId="77777777" w:rsidR="0002560F" w:rsidRDefault="0002560F" w:rsidP="00B96458">
    <w:pPr>
      <w:pStyle w:val="Header"/>
      <w:ind w:left="6663"/>
      <w:rPr>
        <w:lang w:val="en-AU"/>
      </w:rPr>
    </w:pPr>
  </w:p>
  <w:p w14:paraId="24E6ABEC" w14:textId="77777777" w:rsidR="00ED4416" w:rsidRPr="00D200BC" w:rsidRDefault="00ED4416" w:rsidP="00B96458">
    <w:pPr>
      <w:pStyle w:val="Header"/>
      <w:ind w:left="6663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2FE7" w14:textId="35E15739" w:rsidR="0002560F" w:rsidRPr="00281529" w:rsidRDefault="00292939" w:rsidP="000713B5">
    <w:pPr>
      <w:ind w:left="5670" w:right="96"/>
      <w:rPr>
        <w:rFonts w:ascii="Arial" w:eastAsia="Arial" w:hAnsi="Arial" w:cs="Arial"/>
        <w:b/>
        <w:bCs/>
        <w:sz w:val="28"/>
        <w:szCs w:val="28"/>
        <w:lang w:val="en-US"/>
      </w:rPr>
    </w:pPr>
    <w:r w:rsidRPr="00281529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4F6AA34" wp14:editId="5C81D43D">
          <wp:simplePos x="0" y="0"/>
          <wp:positionH relativeFrom="column">
            <wp:posOffset>0</wp:posOffset>
          </wp:positionH>
          <wp:positionV relativeFrom="paragraph">
            <wp:posOffset>-5605</wp:posOffset>
          </wp:positionV>
          <wp:extent cx="1578610" cy="1047115"/>
          <wp:effectExtent l="0" t="0" r="0" b="0"/>
          <wp:wrapSquare wrapText="bothSides"/>
          <wp:docPr id="6" name="Picture 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529">
      <w:rPr>
        <w:rFonts w:ascii="Arial" w:hAnsi="Arial"/>
        <w:b/>
        <w:bCs/>
        <w:sz w:val="28"/>
        <w:szCs w:val="28"/>
        <w:lang w:val="en-US"/>
      </w:rPr>
      <w:t>ICG/CARIBE EWS-XVII/3s</w:t>
    </w:r>
  </w:p>
  <w:p w14:paraId="47AEA249" w14:textId="5FB9EB00" w:rsidR="0002560F" w:rsidRPr="0082773F" w:rsidRDefault="00265795" w:rsidP="000713B5">
    <w:pPr>
      <w:tabs>
        <w:tab w:val="left" w:pos="613"/>
        <w:tab w:val="left" w:pos="5670"/>
        <w:tab w:val="right" w:pos="6247"/>
      </w:tabs>
      <w:ind w:left="5670" w:right="96"/>
      <w:rPr>
        <w:rFonts w:ascii="Arial" w:eastAsia="Arial" w:hAnsi="Arial" w:cs="Arial"/>
        <w:sz w:val="22"/>
        <w:szCs w:val="22"/>
        <w:lang w:val="en-US"/>
      </w:rPr>
    </w:pPr>
    <w:r w:rsidRPr="0082773F">
      <w:rPr>
        <w:rFonts w:ascii="Arial" w:hAnsi="Arial"/>
        <w:sz w:val="22"/>
        <w:szCs w:val="22"/>
        <w:lang w:val="en-US"/>
      </w:rPr>
      <w:t xml:space="preserve">27 </w:t>
    </w:r>
    <w:r w:rsidRPr="0082773F">
      <w:rPr>
        <w:rFonts w:ascii="Arial" w:hAnsi="Arial"/>
        <w:sz w:val="22"/>
        <w:szCs w:val="22"/>
      </w:rPr>
      <w:t>мая</w:t>
    </w:r>
    <w:r w:rsidRPr="0082773F">
      <w:rPr>
        <w:rFonts w:ascii="Arial" w:hAnsi="Arial"/>
        <w:sz w:val="22"/>
        <w:szCs w:val="22"/>
        <w:lang w:val="en-US"/>
      </w:rPr>
      <w:t xml:space="preserve"> 2024 </w:t>
    </w:r>
    <w:r w:rsidRPr="0082773F">
      <w:rPr>
        <w:rFonts w:ascii="Arial" w:hAnsi="Arial"/>
        <w:sz w:val="22"/>
        <w:szCs w:val="22"/>
      </w:rPr>
      <w:t>г</w:t>
    </w:r>
    <w:r w:rsidRPr="0082773F">
      <w:rPr>
        <w:rFonts w:ascii="Arial" w:hAnsi="Arial"/>
        <w:sz w:val="22"/>
        <w:szCs w:val="22"/>
        <w:lang w:val="en-US"/>
      </w:rPr>
      <w:t>.</w:t>
    </w:r>
  </w:p>
  <w:p w14:paraId="11949D9E" w14:textId="77777777" w:rsidR="0002560F" w:rsidRPr="0082773F" w:rsidRDefault="0002560F" w:rsidP="000713B5">
    <w:pPr>
      <w:tabs>
        <w:tab w:val="left" w:pos="5670"/>
      </w:tabs>
      <w:ind w:left="5670" w:right="426"/>
      <w:rPr>
        <w:rFonts w:ascii="Arial" w:eastAsia="Arial" w:hAnsi="Arial" w:cs="Arial"/>
        <w:sz w:val="22"/>
        <w:szCs w:val="22"/>
      </w:rPr>
    </w:pPr>
    <w:r w:rsidRPr="0082773F">
      <w:rPr>
        <w:rFonts w:ascii="Arial" w:hAnsi="Arial"/>
        <w:sz w:val="22"/>
        <w:szCs w:val="22"/>
      </w:rPr>
      <w:t>Оригинал: английский</w:t>
    </w:r>
  </w:p>
  <w:p w14:paraId="0D6F7ABD" w14:textId="77777777" w:rsidR="0002560F" w:rsidRPr="00B14399" w:rsidRDefault="0002560F" w:rsidP="0002560F">
    <w:pPr>
      <w:spacing w:before="100" w:beforeAutospacing="1"/>
      <w:ind w:left="5670" w:right="296" w:hanging="56"/>
      <w:jc w:val="right"/>
      <w:rPr>
        <w:rFonts w:ascii="Arial" w:eastAsia="Arial" w:hAnsi="Arial" w:cs="Arial"/>
      </w:rPr>
    </w:pPr>
  </w:p>
  <w:p w14:paraId="4DC3CA99" w14:textId="77777777" w:rsidR="0002560F" w:rsidRPr="00292939" w:rsidRDefault="0002560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03"/>
    <w:multiLevelType w:val="hybridMultilevel"/>
    <w:tmpl w:val="E3BC53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76259"/>
    <w:multiLevelType w:val="hybridMultilevel"/>
    <w:tmpl w:val="EF5E6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8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C5061"/>
    <w:multiLevelType w:val="hybridMultilevel"/>
    <w:tmpl w:val="8D66E700"/>
    <w:lvl w:ilvl="0" w:tplc="A34076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3D1"/>
    <w:multiLevelType w:val="hybridMultilevel"/>
    <w:tmpl w:val="90D60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1BD"/>
    <w:multiLevelType w:val="hybridMultilevel"/>
    <w:tmpl w:val="C65ADF7A"/>
    <w:lvl w:ilvl="0" w:tplc="0178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A9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EA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2C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C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A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1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04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0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DB284A"/>
    <w:multiLevelType w:val="hybridMultilevel"/>
    <w:tmpl w:val="78442958"/>
    <w:lvl w:ilvl="0" w:tplc="2708D2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5FB0"/>
    <w:multiLevelType w:val="hybridMultilevel"/>
    <w:tmpl w:val="D56C3986"/>
    <w:lvl w:ilvl="0" w:tplc="08028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B0859"/>
    <w:multiLevelType w:val="hybridMultilevel"/>
    <w:tmpl w:val="F7D08472"/>
    <w:lvl w:ilvl="0" w:tplc="A3C0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89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5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C3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66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A0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48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9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6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04703"/>
    <w:multiLevelType w:val="hybridMultilevel"/>
    <w:tmpl w:val="EB16638E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D6049"/>
    <w:multiLevelType w:val="hybridMultilevel"/>
    <w:tmpl w:val="3E20B6E0"/>
    <w:lvl w:ilvl="0" w:tplc="1320F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A3099"/>
    <w:multiLevelType w:val="hybridMultilevel"/>
    <w:tmpl w:val="1E9C9DD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1F677BD5"/>
    <w:multiLevelType w:val="hybridMultilevel"/>
    <w:tmpl w:val="DFECEE5E"/>
    <w:lvl w:ilvl="0" w:tplc="2DC09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13F2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14DBB"/>
    <w:multiLevelType w:val="hybridMultilevel"/>
    <w:tmpl w:val="38C2C72E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26AF6"/>
    <w:multiLevelType w:val="hybridMultilevel"/>
    <w:tmpl w:val="61D22A70"/>
    <w:lvl w:ilvl="0" w:tplc="921E0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8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4A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40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1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2D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45E8A"/>
    <w:multiLevelType w:val="hybridMultilevel"/>
    <w:tmpl w:val="470CF724"/>
    <w:lvl w:ilvl="0" w:tplc="921E0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4C4F9E"/>
    <w:multiLevelType w:val="hybridMultilevel"/>
    <w:tmpl w:val="723861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72DB5"/>
    <w:multiLevelType w:val="hybridMultilevel"/>
    <w:tmpl w:val="5E648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DA533E"/>
    <w:multiLevelType w:val="hybridMultilevel"/>
    <w:tmpl w:val="902C87EE"/>
    <w:lvl w:ilvl="0" w:tplc="93604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6456"/>
    <w:multiLevelType w:val="hybridMultilevel"/>
    <w:tmpl w:val="276CE808"/>
    <w:lvl w:ilvl="0" w:tplc="38E88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CB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C2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2B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7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E7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E3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01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2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17E4E"/>
    <w:multiLevelType w:val="hybridMultilevel"/>
    <w:tmpl w:val="7CE86FEE"/>
    <w:lvl w:ilvl="0" w:tplc="A1526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D8100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456978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8D21C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F486D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D3292A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2249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5E11A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F84A34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18915C9"/>
    <w:multiLevelType w:val="hybridMultilevel"/>
    <w:tmpl w:val="50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44216"/>
    <w:multiLevelType w:val="hybridMultilevel"/>
    <w:tmpl w:val="04CED530"/>
    <w:lvl w:ilvl="0" w:tplc="0D643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4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8B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48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8B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6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04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AF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2D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5251275"/>
    <w:multiLevelType w:val="hybridMultilevel"/>
    <w:tmpl w:val="78EA1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634E9"/>
    <w:multiLevelType w:val="hybridMultilevel"/>
    <w:tmpl w:val="992C9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928AC"/>
    <w:multiLevelType w:val="hybridMultilevel"/>
    <w:tmpl w:val="F31C1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D54203"/>
    <w:multiLevelType w:val="hybridMultilevel"/>
    <w:tmpl w:val="522E36F2"/>
    <w:lvl w:ilvl="0" w:tplc="485EB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B27D04"/>
    <w:multiLevelType w:val="hybridMultilevel"/>
    <w:tmpl w:val="B7A4A0B4"/>
    <w:lvl w:ilvl="0" w:tplc="C41AD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71904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D5C30"/>
    <w:multiLevelType w:val="hybridMultilevel"/>
    <w:tmpl w:val="74E27108"/>
    <w:lvl w:ilvl="0" w:tplc="ADC04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A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109BB"/>
    <w:multiLevelType w:val="hybridMultilevel"/>
    <w:tmpl w:val="9530DB58"/>
    <w:lvl w:ilvl="0" w:tplc="50A8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E6002"/>
    <w:multiLevelType w:val="multilevel"/>
    <w:tmpl w:val="E5A2257A"/>
    <w:lvl w:ilvl="0">
      <w:start w:val="1"/>
      <w:numFmt w:val="decimal"/>
      <w:pStyle w:val="Heading1"/>
      <w:suff w:val="space"/>
      <w:lvlText w:val="%1. 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6AF7E1D"/>
    <w:multiLevelType w:val="hybridMultilevel"/>
    <w:tmpl w:val="DE5A9D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67106"/>
    <w:multiLevelType w:val="hybridMultilevel"/>
    <w:tmpl w:val="A944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C42D5"/>
    <w:multiLevelType w:val="hybridMultilevel"/>
    <w:tmpl w:val="2434393E"/>
    <w:lvl w:ilvl="0" w:tplc="803CE420">
      <w:start w:val="1"/>
      <w:numFmt w:val="bullet"/>
      <w:pStyle w:val="COI"/>
      <w:lvlText w:val="•"/>
      <w:lvlJc w:val="left"/>
      <w:pPr>
        <w:ind w:left="11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4F50644F"/>
    <w:multiLevelType w:val="hybridMultilevel"/>
    <w:tmpl w:val="F92E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95947"/>
    <w:multiLevelType w:val="hybridMultilevel"/>
    <w:tmpl w:val="3DB25688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369B7"/>
    <w:multiLevelType w:val="hybridMultilevel"/>
    <w:tmpl w:val="E4543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A3B8B"/>
    <w:multiLevelType w:val="hybridMultilevel"/>
    <w:tmpl w:val="F1DAD58E"/>
    <w:lvl w:ilvl="0" w:tplc="4998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C6BF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6A6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7644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301F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7AB9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B7482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8474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DCA1E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58F62EBD"/>
    <w:multiLevelType w:val="hybridMultilevel"/>
    <w:tmpl w:val="6AA0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50AAD"/>
    <w:multiLevelType w:val="hybridMultilevel"/>
    <w:tmpl w:val="175EC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757EC"/>
    <w:multiLevelType w:val="hybridMultilevel"/>
    <w:tmpl w:val="9D5675D4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5133DA"/>
    <w:multiLevelType w:val="hybridMultilevel"/>
    <w:tmpl w:val="F79E2AC6"/>
    <w:lvl w:ilvl="0" w:tplc="51884E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60D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26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2E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A07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01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C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36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67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53F71"/>
    <w:multiLevelType w:val="hybridMultilevel"/>
    <w:tmpl w:val="175ECCA4"/>
    <w:lvl w:ilvl="0" w:tplc="5CC8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4E51B1"/>
    <w:multiLevelType w:val="hybridMultilevel"/>
    <w:tmpl w:val="85929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EB5DD6"/>
    <w:multiLevelType w:val="hybridMultilevel"/>
    <w:tmpl w:val="488EE332"/>
    <w:lvl w:ilvl="0" w:tplc="B2469C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E8C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EA6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DE06D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72D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82C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A0C2F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62A9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2F9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FA6348"/>
    <w:multiLevelType w:val="hybridMultilevel"/>
    <w:tmpl w:val="296C9FAE"/>
    <w:lvl w:ilvl="0" w:tplc="DA20B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01317"/>
    <w:multiLevelType w:val="hybridMultilevel"/>
    <w:tmpl w:val="FBE6547A"/>
    <w:lvl w:ilvl="0" w:tplc="8B68843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7D52DA3"/>
    <w:multiLevelType w:val="hybridMultilevel"/>
    <w:tmpl w:val="FD4E1E10"/>
    <w:lvl w:ilvl="0" w:tplc="1D7EE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84468"/>
    <w:multiLevelType w:val="hybridMultilevel"/>
    <w:tmpl w:val="29D065B2"/>
    <w:lvl w:ilvl="0" w:tplc="87E2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54AA6"/>
    <w:multiLevelType w:val="hybridMultilevel"/>
    <w:tmpl w:val="FC40E91E"/>
    <w:lvl w:ilvl="0" w:tplc="CD607BA0">
      <w:start w:val="1"/>
      <w:numFmt w:val="upperRoman"/>
      <w:lvlText w:val="%1."/>
      <w:lvlJc w:val="left"/>
      <w:pPr>
        <w:ind w:hanging="452"/>
      </w:pPr>
      <w:rPr>
        <w:rFonts w:ascii="Arial" w:eastAsia="Arial" w:hAnsi="Arial" w:hint="default"/>
        <w:spacing w:val="1"/>
        <w:sz w:val="22"/>
        <w:szCs w:val="22"/>
      </w:rPr>
    </w:lvl>
    <w:lvl w:ilvl="1" w:tplc="17D21920">
      <w:start w:val="1"/>
      <w:numFmt w:val="bullet"/>
      <w:lvlText w:val="•"/>
      <w:lvlJc w:val="left"/>
      <w:rPr>
        <w:rFonts w:hint="default"/>
      </w:rPr>
    </w:lvl>
    <w:lvl w:ilvl="2" w:tplc="2BBC137A">
      <w:start w:val="1"/>
      <w:numFmt w:val="bullet"/>
      <w:lvlText w:val="•"/>
      <w:lvlJc w:val="left"/>
      <w:rPr>
        <w:rFonts w:hint="default"/>
      </w:rPr>
    </w:lvl>
    <w:lvl w:ilvl="3" w:tplc="A8E859F4">
      <w:start w:val="1"/>
      <w:numFmt w:val="bullet"/>
      <w:lvlText w:val="•"/>
      <w:lvlJc w:val="left"/>
      <w:rPr>
        <w:rFonts w:hint="default"/>
      </w:rPr>
    </w:lvl>
    <w:lvl w:ilvl="4" w:tplc="71B0DC6A">
      <w:start w:val="1"/>
      <w:numFmt w:val="bullet"/>
      <w:lvlText w:val="•"/>
      <w:lvlJc w:val="left"/>
      <w:rPr>
        <w:rFonts w:hint="default"/>
      </w:rPr>
    </w:lvl>
    <w:lvl w:ilvl="5" w:tplc="5310F3E2">
      <w:start w:val="1"/>
      <w:numFmt w:val="bullet"/>
      <w:lvlText w:val="•"/>
      <w:lvlJc w:val="left"/>
      <w:rPr>
        <w:rFonts w:hint="default"/>
      </w:rPr>
    </w:lvl>
    <w:lvl w:ilvl="6" w:tplc="B6A2E900">
      <w:start w:val="1"/>
      <w:numFmt w:val="bullet"/>
      <w:lvlText w:val="•"/>
      <w:lvlJc w:val="left"/>
      <w:rPr>
        <w:rFonts w:hint="default"/>
      </w:rPr>
    </w:lvl>
    <w:lvl w:ilvl="7" w:tplc="340E534C">
      <w:start w:val="1"/>
      <w:numFmt w:val="bullet"/>
      <w:lvlText w:val="•"/>
      <w:lvlJc w:val="left"/>
      <w:rPr>
        <w:rFonts w:hint="default"/>
      </w:rPr>
    </w:lvl>
    <w:lvl w:ilvl="8" w:tplc="00A63002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EA204C4"/>
    <w:multiLevelType w:val="hybridMultilevel"/>
    <w:tmpl w:val="0E38BEEA"/>
    <w:lvl w:ilvl="0" w:tplc="347C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10762"/>
    <w:multiLevelType w:val="hybridMultilevel"/>
    <w:tmpl w:val="D8527A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2D14CF"/>
    <w:multiLevelType w:val="hybridMultilevel"/>
    <w:tmpl w:val="D652B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13D59"/>
    <w:multiLevelType w:val="hybridMultilevel"/>
    <w:tmpl w:val="5C28FF6E"/>
    <w:lvl w:ilvl="0" w:tplc="8DAEB51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4D8583B"/>
    <w:multiLevelType w:val="hybridMultilevel"/>
    <w:tmpl w:val="3C5E3AF2"/>
    <w:lvl w:ilvl="0" w:tplc="A1D2A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02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2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CD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41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E6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C2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C8E37CF"/>
    <w:multiLevelType w:val="hybridMultilevel"/>
    <w:tmpl w:val="98C401C0"/>
    <w:lvl w:ilvl="0" w:tplc="74C6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D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0E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63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8D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0A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0F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5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2E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3B47E0"/>
    <w:multiLevelType w:val="hybridMultilevel"/>
    <w:tmpl w:val="4E68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18516">
    <w:abstractNumId w:val="31"/>
  </w:num>
  <w:num w:numId="2" w16cid:durableId="19746310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78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100848">
    <w:abstractNumId w:val="24"/>
  </w:num>
  <w:num w:numId="5" w16cid:durableId="2052612742">
    <w:abstractNumId w:val="3"/>
  </w:num>
  <w:num w:numId="6" w16cid:durableId="595216857">
    <w:abstractNumId w:val="37"/>
  </w:num>
  <w:num w:numId="7" w16cid:durableId="100417334">
    <w:abstractNumId w:val="32"/>
  </w:num>
  <w:num w:numId="8" w16cid:durableId="1449932522">
    <w:abstractNumId w:val="52"/>
  </w:num>
  <w:num w:numId="9" w16cid:durableId="1706444328">
    <w:abstractNumId w:val="1"/>
  </w:num>
  <w:num w:numId="10" w16cid:durableId="1348941312">
    <w:abstractNumId w:val="44"/>
  </w:num>
  <w:num w:numId="11" w16cid:durableId="394472329">
    <w:abstractNumId w:val="29"/>
  </w:num>
  <w:num w:numId="12" w16cid:durableId="1489052447">
    <w:abstractNumId w:val="57"/>
  </w:num>
  <w:num w:numId="13" w16cid:durableId="1677616149">
    <w:abstractNumId w:val="6"/>
  </w:num>
  <w:num w:numId="14" w16cid:durableId="1293486382">
    <w:abstractNumId w:val="30"/>
  </w:num>
  <w:num w:numId="15" w16cid:durableId="703287345">
    <w:abstractNumId w:val="2"/>
  </w:num>
  <w:num w:numId="16" w16cid:durableId="467893406">
    <w:abstractNumId w:val="14"/>
  </w:num>
  <w:num w:numId="17" w16cid:durableId="2092699659">
    <w:abstractNumId w:val="56"/>
  </w:num>
  <w:num w:numId="18" w16cid:durableId="155612857">
    <w:abstractNumId w:val="22"/>
  </w:num>
  <w:num w:numId="19" w16cid:durableId="2110078715">
    <w:abstractNumId w:val="13"/>
  </w:num>
  <w:num w:numId="20" w16cid:durableId="1197422949">
    <w:abstractNumId w:val="45"/>
  </w:num>
  <w:num w:numId="21" w16cid:durableId="2112046543">
    <w:abstractNumId w:val="15"/>
  </w:num>
  <w:num w:numId="22" w16cid:durableId="302202248">
    <w:abstractNumId w:val="20"/>
  </w:num>
  <w:num w:numId="23" w16cid:durableId="1911578883">
    <w:abstractNumId w:val="43"/>
  </w:num>
  <w:num w:numId="24" w16cid:durableId="201065104">
    <w:abstractNumId w:val="41"/>
  </w:num>
  <w:num w:numId="25" w16cid:durableId="1843474051">
    <w:abstractNumId w:val="19"/>
  </w:num>
  <w:num w:numId="26" w16cid:durableId="546143688">
    <w:abstractNumId w:val="39"/>
  </w:num>
  <w:num w:numId="27" w16cid:durableId="1015611924">
    <w:abstractNumId w:val="35"/>
  </w:num>
  <w:num w:numId="28" w16cid:durableId="1985498252">
    <w:abstractNumId w:val="7"/>
  </w:num>
  <w:num w:numId="29" w16cid:durableId="191501339">
    <w:abstractNumId w:val="47"/>
  </w:num>
  <w:num w:numId="30" w16cid:durableId="350570527">
    <w:abstractNumId w:val="25"/>
  </w:num>
  <w:num w:numId="31" w16cid:durableId="138496888">
    <w:abstractNumId w:val="10"/>
  </w:num>
  <w:num w:numId="32" w16cid:durableId="1998073533">
    <w:abstractNumId w:val="33"/>
  </w:num>
  <w:num w:numId="33" w16cid:durableId="703599781">
    <w:abstractNumId w:val="23"/>
  </w:num>
  <w:num w:numId="34" w16cid:durableId="1875271092">
    <w:abstractNumId w:val="53"/>
  </w:num>
  <w:num w:numId="35" w16cid:durableId="118110078">
    <w:abstractNumId w:val="38"/>
  </w:num>
  <w:num w:numId="36" w16cid:durableId="1030106217">
    <w:abstractNumId w:val="55"/>
  </w:num>
  <w:num w:numId="37" w16cid:durableId="1732850584">
    <w:abstractNumId w:val="9"/>
  </w:num>
  <w:num w:numId="38" w16cid:durableId="1076636599">
    <w:abstractNumId w:val="42"/>
  </w:num>
  <w:num w:numId="39" w16cid:durableId="1822037376">
    <w:abstractNumId w:val="40"/>
  </w:num>
  <w:num w:numId="40" w16cid:durableId="1192183143">
    <w:abstractNumId w:val="4"/>
  </w:num>
  <w:num w:numId="41" w16cid:durableId="8341662">
    <w:abstractNumId w:val="0"/>
  </w:num>
  <w:num w:numId="42" w16cid:durableId="416874723">
    <w:abstractNumId w:val="26"/>
  </w:num>
  <w:num w:numId="43" w16cid:durableId="354158830">
    <w:abstractNumId w:val="17"/>
  </w:num>
  <w:num w:numId="44" w16cid:durableId="508833144">
    <w:abstractNumId w:val="8"/>
  </w:num>
  <w:num w:numId="45" w16cid:durableId="511992454">
    <w:abstractNumId w:val="36"/>
  </w:num>
  <w:num w:numId="46" w16cid:durableId="86314908">
    <w:abstractNumId w:val="46"/>
  </w:num>
  <w:num w:numId="47" w16cid:durableId="1105467420">
    <w:abstractNumId w:val="48"/>
  </w:num>
  <w:num w:numId="48" w16cid:durableId="644773570">
    <w:abstractNumId w:val="18"/>
  </w:num>
  <w:num w:numId="49" w16cid:durableId="953831650">
    <w:abstractNumId w:val="11"/>
  </w:num>
  <w:num w:numId="50" w16cid:durableId="1257710033">
    <w:abstractNumId w:val="51"/>
  </w:num>
  <w:num w:numId="51" w16cid:durableId="1575358676">
    <w:abstractNumId w:val="49"/>
  </w:num>
  <w:num w:numId="52" w16cid:durableId="237598647">
    <w:abstractNumId w:val="16"/>
  </w:num>
  <w:num w:numId="53" w16cid:durableId="1379432859">
    <w:abstractNumId w:val="50"/>
  </w:num>
  <w:num w:numId="54" w16cid:durableId="143668586">
    <w:abstractNumId w:val="27"/>
  </w:num>
  <w:num w:numId="55" w16cid:durableId="800920405">
    <w:abstractNumId w:val="34"/>
  </w:num>
  <w:num w:numId="56" w16cid:durableId="1864248886">
    <w:abstractNumId w:val="21"/>
  </w:num>
  <w:num w:numId="57" w16cid:durableId="958221080">
    <w:abstractNumId w:val="5"/>
  </w:num>
  <w:num w:numId="58" w16cid:durableId="983316182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B3"/>
    <w:rsid w:val="000028AE"/>
    <w:rsid w:val="00007232"/>
    <w:rsid w:val="000151D3"/>
    <w:rsid w:val="00016195"/>
    <w:rsid w:val="0002013A"/>
    <w:rsid w:val="00021DD8"/>
    <w:rsid w:val="000222C5"/>
    <w:rsid w:val="0002560F"/>
    <w:rsid w:val="000345BF"/>
    <w:rsid w:val="00040660"/>
    <w:rsid w:val="000415AB"/>
    <w:rsid w:val="000455A8"/>
    <w:rsid w:val="00046F60"/>
    <w:rsid w:val="0005367E"/>
    <w:rsid w:val="0006143E"/>
    <w:rsid w:val="00062B7B"/>
    <w:rsid w:val="000662ED"/>
    <w:rsid w:val="00067EF8"/>
    <w:rsid w:val="000713B5"/>
    <w:rsid w:val="00071D44"/>
    <w:rsid w:val="000769BE"/>
    <w:rsid w:val="00081C99"/>
    <w:rsid w:val="00084FB7"/>
    <w:rsid w:val="00087416"/>
    <w:rsid w:val="00091AD2"/>
    <w:rsid w:val="000928F9"/>
    <w:rsid w:val="000964B2"/>
    <w:rsid w:val="00097219"/>
    <w:rsid w:val="000A095C"/>
    <w:rsid w:val="000A58AE"/>
    <w:rsid w:val="000B6EC4"/>
    <w:rsid w:val="000C0B00"/>
    <w:rsid w:val="000C394B"/>
    <w:rsid w:val="000D1159"/>
    <w:rsid w:val="000D3316"/>
    <w:rsid w:val="000D5816"/>
    <w:rsid w:val="000E00EE"/>
    <w:rsid w:val="000E110D"/>
    <w:rsid w:val="000E178F"/>
    <w:rsid w:val="000E2837"/>
    <w:rsid w:val="000E33B9"/>
    <w:rsid w:val="000E4926"/>
    <w:rsid w:val="000E6E09"/>
    <w:rsid w:val="000E736D"/>
    <w:rsid w:val="000F0CEB"/>
    <w:rsid w:val="000F5757"/>
    <w:rsid w:val="000F6011"/>
    <w:rsid w:val="000F6655"/>
    <w:rsid w:val="000F7B1C"/>
    <w:rsid w:val="001024FE"/>
    <w:rsid w:val="001048BE"/>
    <w:rsid w:val="001100EC"/>
    <w:rsid w:val="00113688"/>
    <w:rsid w:val="00123440"/>
    <w:rsid w:val="00131950"/>
    <w:rsid w:val="001322DE"/>
    <w:rsid w:val="001362F4"/>
    <w:rsid w:val="0014434D"/>
    <w:rsid w:val="001474EE"/>
    <w:rsid w:val="00151636"/>
    <w:rsid w:val="00152ECA"/>
    <w:rsid w:val="00153F37"/>
    <w:rsid w:val="001577ED"/>
    <w:rsid w:val="001616E0"/>
    <w:rsid w:val="0016230E"/>
    <w:rsid w:val="00167CAA"/>
    <w:rsid w:val="001740DD"/>
    <w:rsid w:val="0017491B"/>
    <w:rsid w:val="00175A1B"/>
    <w:rsid w:val="001834E7"/>
    <w:rsid w:val="00190E87"/>
    <w:rsid w:val="0019533D"/>
    <w:rsid w:val="001978CF"/>
    <w:rsid w:val="001A1018"/>
    <w:rsid w:val="001A14AB"/>
    <w:rsid w:val="001A2DDC"/>
    <w:rsid w:val="001A42A2"/>
    <w:rsid w:val="001C1F35"/>
    <w:rsid w:val="001C768E"/>
    <w:rsid w:val="001C7DE3"/>
    <w:rsid w:val="001D19EF"/>
    <w:rsid w:val="001D25A9"/>
    <w:rsid w:val="001D3C3F"/>
    <w:rsid w:val="001E2484"/>
    <w:rsid w:val="001E4830"/>
    <w:rsid w:val="001F3F03"/>
    <w:rsid w:val="001F501B"/>
    <w:rsid w:val="00206629"/>
    <w:rsid w:val="00210904"/>
    <w:rsid w:val="00212C6C"/>
    <w:rsid w:val="00214108"/>
    <w:rsid w:val="00216C2A"/>
    <w:rsid w:val="00223225"/>
    <w:rsid w:val="002244DB"/>
    <w:rsid w:val="00227240"/>
    <w:rsid w:val="00227DFA"/>
    <w:rsid w:val="00230469"/>
    <w:rsid w:val="0023152A"/>
    <w:rsid w:val="00232D7A"/>
    <w:rsid w:val="00233C55"/>
    <w:rsid w:val="002346CE"/>
    <w:rsid w:val="00237A9B"/>
    <w:rsid w:val="00243DCA"/>
    <w:rsid w:val="00244EBD"/>
    <w:rsid w:val="002501B1"/>
    <w:rsid w:val="00250383"/>
    <w:rsid w:val="00252C9D"/>
    <w:rsid w:val="00254BA9"/>
    <w:rsid w:val="00256CB1"/>
    <w:rsid w:val="0025760B"/>
    <w:rsid w:val="00260F52"/>
    <w:rsid w:val="00264DD3"/>
    <w:rsid w:val="00265795"/>
    <w:rsid w:val="002670ED"/>
    <w:rsid w:val="002708F3"/>
    <w:rsid w:val="0027267C"/>
    <w:rsid w:val="0027336F"/>
    <w:rsid w:val="00274670"/>
    <w:rsid w:val="00276065"/>
    <w:rsid w:val="00280EAF"/>
    <w:rsid w:val="00281529"/>
    <w:rsid w:val="00284862"/>
    <w:rsid w:val="00284BE6"/>
    <w:rsid w:val="002863E9"/>
    <w:rsid w:val="002864B0"/>
    <w:rsid w:val="00286681"/>
    <w:rsid w:val="002870A2"/>
    <w:rsid w:val="00292939"/>
    <w:rsid w:val="0029483A"/>
    <w:rsid w:val="002963C2"/>
    <w:rsid w:val="00296433"/>
    <w:rsid w:val="00297910"/>
    <w:rsid w:val="002A105C"/>
    <w:rsid w:val="002A7FE1"/>
    <w:rsid w:val="002B0CF1"/>
    <w:rsid w:val="002B1D7A"/>
    <w:rsid w:val="002B2067"/>
    <w:rsid w:val="002B7356"/>
    <w:rsid w:val="002B75A8"/>
    <w:rsid w:val="002C20F3"/>
    <w:rsid w:val="002C2D92"/>
    <w:rsid w:val="002C2E8E"/>
    <w:rsid w:val="002C3FE3"/>
    <w:rsid w:val="002C4A1C"/>
    <w:rsid w:val="002C7B1D"/>
    <w:rsid w:val="002D1E01"/>
    <w:rsid w:val="002D32E2"/>
    <w:rsid w:val="002E0C6C"/>
    <w:rsid w:val="002E2128"/>
    <w:rsid w:val="002E3B4A"/>
    <w:rsid w:val="002E60A1"/>
    <w:rsid w:val="002E74C2"/>
    <w:rsid w:val="002E7DE0"/>
    <w:rsid w:val="002F154A"/>
    <w:rsid w:val="002F1821"/>
    <w:rsid w:val="002F4A9F"/>
    <w:rsid w:val="003111CC"/>
    <w:rsid w:val="00313177"/>
    <w:rsid w:val="00313C0D"/>
    <w:rsid w:val="0031493E"/>
    <w:rsid w:val="0031587A"/>
    <w:rsid w:val="003224D8"/>
    <w:rsid w:val="00322FB4"/>
    <w:rsid w:val="003248B5"/>
    <w:rsid w:val="0032738A"/>
    <w:rsid w:val="0032782B"/>
    <w:rsid w:val="00330C5B"/>
    <w:rsid w:val="00334B80"/>
    <w:rsid w:val="00337957"/>
    <w:rsid w:val="00337F52"/>
    <w:rsid w:val="00340541"/>
    <w:rsid w:val="003422D1"/>
    <w:rsid w:val="00343536"/>
    <w:rsid w:val="0034357A"/>
    <w:rsid w:val="00343C94"/>
    <w:rsid w:val="003468FB"/>
    <w:rsid w:val="00346F3E"/>
    <w:rsid w:val="003500D9"/>
    <w:rsid w:val="00352F6A"/>
    <w:rsid w:val="00354A21"/>
    <w:rsid w:val="003603E8"/>
    <w:rsid w:val="00360686"/>
    <w:rsid w:val="00360AE3"/>
    <w:rsid w:val="003635C5"/>
    <w:rsid w:val="003667F8"/>
    <w:rsid w:val="00372CED"/>
    <w:rsid w:val="00375F45"/>
    <w:rsid w:val="00382ABE"/>
    <w:rsid w:val="0038382E"/>
    <w:rsid w:val="00383CFC"/>
    <w:rsid w:val="0039106E"/>
    <w:rsid w:val="00391F90"/>
    <w:rsid w:val="00392BD5"/>
    <w:rsid w:val="00397BC3"/>
    <w:rsid w:val="003A7CB5"/>
    <w:rsid w:val="003B0792"/>
    <w:rsid w:val="003B6421"/>
    <w:rsid w:val="003B6D4C"/>
    <w:rsid w:val="003B7C02"/>
    <w:rsid w:val="003C3EA4"/>
    <w:rsid w:val="003C6F53"/>
    <w:rsid w:val="003D0094"/>
    <w:rsid w:val="003D212E"/>
    <w:rsid w:val="003D2D60"/>
    <w:rsid w:val="003D36F0"/>
    <w:rsid w:val="003D508C"/>
    <w:rsid w:val="003D5EF6"/>
    <w:rsid w:val="003E34BF"/>
    <w:rsid w:val="003E5544"/>
    <w:rsid w:val="003F1803"/>
    <w:rsid w:val="003F5B1B"/>
    <w:rsid w:val="003F73CA"/>
    <w:rsid w:val="003F7690"/>
    <w:rsid w:val="00400BB2"/>
    <w:rsid w:val="00405BC4"/>
    <w:rsid w:val="00405DBE"/>
    <w:rsid w:val="00406AAC"/>
    <w:rsid w:val="00406E17"/>
    <w:rsid w:val="00413B75"/>
    <w:rsid w:val="004179D1"/>
    <w:rsid w:val="00417D4A"/>
    <w:rsid w:val="00420D08"/>
    <w:rsid w:val="00426AC3"/>
    <w:rsid w:val="00430C2B"/>
    <w:rsid w:val="00430EC6"/>
    <w:rsid w:val="00432256"/>
    <w:rsid w:val="004350D0"/>
    <w:rsid w:val="0043558D"/>
    <w:rsid w:val="004362C1"/>
    <w:rsid w:val="00440E04"/>
    <w:rsid w:val="00445B95"/>
    <w:rsid w:val="00446F2D"/>
    <w:rsid w:val="004470D7"/>
    <w:rsid w:val="00447A37"/>
    <w:rsid w:val="00451926"/>
    <w:rsid w:val="004526D0"/>
    <w:rsid w:val="00454419"/>
    <w:rsid w:val="004557F6"/>
    <w:rsid w:val="00456AA4"/>
    <w:rsid w:val="00457198"/>
    <w:rsid w:val="00464281"/>
    <w:rsid w:val="00465938"/>
    <w:rsid w:val="004661E9"/>
    <w:rsid w:val="004667BD"/>
    <w:rsid w:val="00467ED9"/>
    <w:rsid w:val="004738A2"/>
    <w:rsid w:val="00473EC8"/>
    <w:rsid w:val="004752CC"/>
    <w:rsid w:val="004774D6"/>
    <w:rsid w:val="00480216"/>
    <w:rsid w:val="004857D3"/>
    <w:rsid w:val="00490467"/>
    <w:rsid w:val="00491656"/>
    <w:rsid w:val="00495B14"/>
    <w:rsid w:val="00495DFE"/>
    <w:rsid w:val="00495FDD"/>
    <w:rsid w:val="00496E4E"/>
    <w:rsid w:val="004A0297"/>
    <w:rsid w:val="004A227E"/>
    <w:rsid w:val="004A5C43"/>
    <w:rsid w:val="004A6E34"/>
    <w:rsid w:val="004B25EE"/>
    <w:rsid w:val="004C0701"/>
    <w:rsid w:val="004C43B3"/>
    <w:rsid w:val="004C5E24"/>
    <w:rsid w:val="004C7706"/>
    <w:rsid w:val="004D6AA1"/>
    <w:rsid w:val="004D79DE"/>
    <w:rsid w:val="004E30F7"/>
    <w:rsid w:val="004E4907"/>
    <w:rsid w:val="004E6AED"/>
    <w:rsid w:val="004E6C7B"/>
    <w:rsid w:val="004F3918"/>
    <w:rsid w:val="004F57BF"/>
    <w:rsid w:val="004F6404"/>
    <w:rsid w:val="004F717A"/>
    <w:rsid w:val="005003A3"/>
    <w:rsid w:val="00500675"/>
    <w:rsid w:val="00501540"/>
    <w:rsid w:val="00502140"/>
    <w:rsid w:val="005027F0"/>
    <w:rsid w:val="00504212"/>
    <w:rsid w:val="005108ED"/>
    <w:rsid w:val="00512CE2"/>
    <w:rsid w:val="005131F6"/>
    <w:rsid w:val="00513812"/>
    <w:rsid w:val="00513920"/>
    <w:rsid w:val="005170CF"/>
    <w:rsid w:val="00517DCE"/>
    <w:rsid w:val="00521DD9"/>
    <w:rsid w:val="005234CB"/>
    <w:rsid w:val="00531D0A"/>
    <w:rsid w:val="005328C7"/>
    <w:rsid w:val="00534168"/>
    <w:rsid w:val="005366C4"/>
    <w:rsid w:val="00544E7F"/>
    <w:rsid w:val="00552A5F"/>
    <w:rsid w:val="00555060"/>
    <w:rsid w:val="00557F6B"/>
    <w:rsid w:val="005657CD"/>
    <w:rsid w:val="00573759"/>
    <w:rsid w:val="00574792"/>
    <w:rsid w:val="005826D6"/>
    <w:rsid w:val="00584F71"/>
    <w:rsid w:val="00587E35"/>
    <w:rsid w:val="005925C2"/>
    <w:rsid w:val="00593B35"/>
    <w:rsid w:val="0059603A"/>
    <w:rsid w:val="005A17BC"/>
    <w:rsid w:val="005A2557"/>
    <w:rsid w:val="005A36A5"/>
    <w:rsid w:val="005A47AE"/>
    <w:rsid w:val="005A580E"/>
    <w:rsid w:val="005A6545"/>
    <w:rsid w:val="005A72D3"/>
    <w:rsid w:val="005A7FCF"/>
    <w:rsid w:val="005B7CF1"/>
    <w:rsid w:val="005C2F5E"/>
    <w:rsid w:val="005C3618"/>
    <w:rsid w:val="005C3E0A"/>
    <w:rsid w:val="005C7187"/>
    <w:rsid w:val="005D2CEB"/>
    <w:rsid w:val="005D3F66"/>
    <w:rsid w:val="005D4281"/>
    <w:rsid w:val="005D6A06"/>
    <w:rsid w:val="005E17FB"/>
    <w:rsid w:val="005E4DA5"/>
    <w:rsid w:val="005E502D"/>
    <w:rsid w:val="0060629F"/>
    <w:rsid w:val="00611CCF"/>
    <w:rsid w:val="00613CA3"/>
    <w:rsid w:val="0061626A"/>
    <w:rsid w:val="006162A8"/>
    <w:rsid w:val="00620C97"/>
    <w:rsid w:val="006223BC"/>
    <w:rsid w:val="00622F24"/>
    <w:rsid w:val="00624056"/>
    <w:rsid w:val="00624592"/>
    <w:rsid w:val="00630731"/>
    <w:rsid w:val="00633693"/>
    <w:rsid w:val="00634FDF"/>
    <w:rsid w:val="006379A1"/>
    <w:rsid w:val="006428A4"/>
    <w:rsid w:val="00642C2D"/>
    <w:rsid w:val="00644FB8"/>
    <w:rsid w:val="0064557C"/>
    <w:rsid w:val="00655444"/>
    <w:rsid w:val="00667EEC"/>
    <w:rsid w:val="006700B1"/>
    <w:rsid w:val="00672545"/>
    <w:rsid w:val="00675589"/>
    <w:rsid w:val="00677032"/>
    <w:rsid w:val="0068183F"/>
    <w:rsid w:val="00681C8D"/>
    <w:rsid w:val="00683F75"/>
    <w:rsid w:val="006903A1"/>
    <w:rsid w:val="00691B4F"/>
    <w:rsid w:val="0069255D"/>
    <w:rsid w:val="00692754"/>
    <w:rsid w:val="00692EAF"/>
    <w:rsid w:val="00695921"/>
    <w:rsid w:val="00697EAB"/>
    <w:rsid w:val="006A083A"/>
    <w:rsid w:val="006A2045"/>
    <w:rsid w:val="006A3FAA"/>
    <w:rsid w:val="006A5012"/>
    <w:rsid w:val="006B0977"/>
    <w:rsid w:val="006B410C"/>
    <w:rsid w:val="006B6117"/>
    <w:rsid w:val="006B6591"/>
    <w:rsid w:val="006C0682"/>
    <w:rsid w:val="006C094C"/>
    <w:rsid w:val="006C5D0B"/>
    <w:rsid w:val="006C71E7"/>
    <w:rsid w:val="006E3204"/>
    <w:rsid w:val="006E4934"/>
    <w:rsid w:val="006F2184"/>
    <w:rsid w:val="006F5380"/>
    <w:rsid w:val="007017E5"/>
    <w:rsid w:val="00701A5F"/>
    <w:rsid w:val="0070487B"/>
    <w:rsid w:val="00705E7C"/>
    <w:rsid w:val="00706404"/>
    <w:rsid w:val="00706651"/>
    <w:rsid w:val="007067FD"/>
    <w:rsid w:val="00710047"/>
    <w:rsid w:val="00712B56"/>
    <w:rsid w:val="00713ED1"/>
    <w:rsid w:val="007147F7"/>
    <w:rsid w:val="007207BC"/>
    <w:rsid w:val="007220D5"/>
    <w:rsid w:val="00723888"/>
    <w:rsid w:val="00735A9C"/>
    <w:rsid w:val="007367A9"/>
    <w:rsid w:val="00742174"/>
    <w:rsid w:val="007426D7"/>
    <w:rsid w:val="0075069A"/>
    <w:rsid w:val="00753398"/>
    <w:rsid w:val="007614AF"/>
    <w:rsid w:val="00766995"/>
    <w:rsid w:val="007706E0"/>
    <w:rsid w:val="00771BB0"/>
    <w:rsid w:val="00772DE2"/>
    <w:rsid w:val="00775376"/>
    <w:rsid w:val="007757FF"/>
    <w:rsid w:val="00780354"/>
    <w:rsid w:val="00780A7E"/>
    <w:rsid w:val="00780C67"/>
    <w:rsid w:val="0078168E"/>
    <w:rsid w:val="0078470A"/>
    <w:rsid w:val="007869DA"/>
    <w:rsid w:val="00787067"/>
    <w:rsid w:val="0079106A"/>
    <w:rsid w:val="00791B4E"/>
    <w:rsid w:val="0079589F"/>
    <w:rsid w:val="00797688"/>
    <w:rsid w:val="007A121B"/>
    <w:rsid w:val="007A31A5"/>
    <w:rsid w:val="007A4F17"/>
    <w:rsid w:val="007A7CD2"/>
    <w:rsid w:val="007B0703"/>
    <w:rsid w:val="007B096B"/>
    <w:rsid w:val="007B1CB3"/>
    <w:rsid w:val="007B7B8C"/>
    <w:rsid w:val="007C6513"/>
    <w:rsid w:val="007C6B88"/>
    <w:rsid w:val="007E1425"/>
    <w:rsid w:val="007E3326"/>
    <w:rsid w:val="007E33FA"/>
    <w:rsid w:val="007F3093"/>
    <w:rsid w:val="007F3C5B"/>
    <w:rsid w:val="007F421D"/>
    <w:rsid w:val="007F5B10"/>
    <w:rsid w:val="007F70C2"/>
    <w:rsid w:val="00800CAE"/>
    <w:rsid w:val="00803403"/>
    <w:rsid w:val="0080426C"/>
    <w:rsid w:val="00807F42"/>
    <w:rsid w:val="00810D2B"/>
    <w:rsid w:val="008112A5"/>
    <w:rsid w:val="00825326"/>
    <w:rsid w:val="00825AC2"/>
    <w:rsid w:val="008271DC"/>
    <w:rsid w:val="0082773F"/>
    <w:rsid w:val="00827F94"/>
    <w:rsid w:val="00830877"/>
    <w:rsid w:val="00831742"/>
    <w:rsid w:val="008447C2"/>
    <w:rsid w:val="00845B89"/>
    <w:rsid w:val="00845D67"/>
    <w:rsid w:val="00845EF2"/>
    <w:rsid w:val="008608DA"/>
    <w:rsid w:val="00862177"/>
    <w:rsid w:val="00863201"/>
    <w:rsid w:val="0086480C"/>
    <w:rsid w:val="00864D3F"/>
    <w:rsid w:val="00865E10"/>
    <w:rsid w:val="00875477"/>
    <w:rsid w:val="00876D39"/>
    <w:rsid w:val="00882C34"/>
    <w:rsid w:val="00891153"/>
    <w:rsid w:val="00892174"/>
    <w:rsid w:val="008925A1"/>
    <w:rsid w:val="0089672B"/>
    <w:rsid w:val="008A0BA8"/>
    <w:rsid w:val="008A0CD0"/>
    <w:rsid w:val="008A2E82"/>
    <w:rsid w:val="008A35AC"/>
    <w:rsid w:val="008A5293"/>
    <w:rsid w:val="008A52B5"/>
    <w:rsid w:val="008A56CD"/>
    <w:rsid w:val="008B226E"/>
    <w:rsid w:val="008B2A26"/>
    <w:rsid w:val="008B2BD3"/>
    <w:rsid w:val="008B3BA1"/>
    <w:rsid w:val="008B41EE"/>
    <w:rsid w:val="008B4593"/>
    <w:rsid w:val="008B4F45"/>
    <w:rsid w:val="008B5BA9"/>
    <w:rsid w:val="008C68D5"/>
    <w:rsid w:val="008D1AC4"/>
    <w:rsid w:val="008D23A7"/>
    <w:rsid w:val="008D3B5D"/>
    <w:rsid w:val="008D4127"/>
    <w:rsid w:val="008D5884"/>
    <w:rsid w:val="008D6203"/>
    <w:rsid w:val="008D7692"/>
    <w:rsid w:val="008E00AF"/>
    <w:rsid w:val="008E031B"/>
    <w:rsid w:val="008E0E79"/>
    <w:rsid w:val="008E1331"/>
    <w:rsid w:val="008E7EE4"/>
    <w:rsid w:val="008F1E7D"/>
    <w:rsid w:val="008F636F"/>
    <w:rsid w:val="008F6998"/>
    <w:rsid w:val="008F7410"/>
    <w:rsid w:val="0090097F"/>
    <w:rsid w:val="009012FB"/>
    <w:rsid w:val="0090637E"/>
    <w:rsid w:val="00906C32"/>
    <w:rsid w:val="00910D40"/>
    <w:rsid w:val="0091329A"/>
    <w:rsid w:val="00914D1B"/>
    <w:rsid w:val="00926F56"/>
    <w:rsid w:val="009328C6"/>
    <w:rsid w:val="00934BC2"/>
    <w:rsid w:val="00935F43"/>
    <w:rsid w:val="0094074C"/>
    <w:rsid w:val="00945D82"/>
    <w:rsid w:val="00946C06"/>
    <w:rsid w:val="0095457D"/>
    <w:rsid w:val="00956D94"/>
    <w:rsid w:val="00961A04"/>
    <w:rsid w:val="00961CBC"/>
    <w:rsid w:val="00965D35"/>
    <w:rsid w:val="00967FB1"/>
    <w:rsid w:val="00973394"/>
    <w:rsid w:val="00974348"/>
    <w:rsid w:val="00980298"/>
    <w:rsid w:val="00982E9A"/>
    <w:rsid w:val="0098300C"/>
    <w:rsid w:val="00985E91"/>
    <w:rsid w:val="00986B09"/>
    <w:rsid w:val="00990B2E"/>
    <w:rsid w:val="0099773E"/>
    <w:rsid w:val="009A16EB"/>
    <w:rsid w:val="009A2421"/>
    <w:rsid w:val="009A5EF3"/>
    <w:rsid w:val="009B40C0"/>
    <w:rsid w:val="009B4F5E"/>
    <w:rsid w:val="009B6F5D"/>
    <w:rsid w:val="009B6FED"/>
    <w:rsid w:val="009B7735"/>
    <w:rsid w:val="009C3259"/>
    <w:rsid w:val="009C7258"/>
    <w:rsid w:val="009D00E1"/>
    <w:rsid w:val="009D1A97"/>
    <w:rsid w:val="009D2284"/>
    <w:rsid w:val="009D383D"/>
    <w:rsid w:val="009D6D3B"/>
    <w:rsid w:val="009D728B"/>
    <w:rsid w:val="009D7586"/>
    <w:rsid w:val="009D795A"/>
    <w:rsid w:val="009E38F6"/>
    <w:rsid w:val="009E40ED"/>
    <w:rsid w:val="009E66B7"/>
    <w:rsid w:val="009E7609"/>
    <w:rsid w:val="009F2DB1"/>
    <w:rsid w:val="009F358B"/>
    <w:rsid w:val="00A01196"/>
    <w:rsid w:val="00A11EAA"/>
    <w:rsid w:val="00A131F3"/>
    <w:rsid w:val="00A15F51"/>
    <w:rsid w:val="00A16F2E"/>
    <w:rsid w:val="00A1767B"/>
    <w:rsid w:val="00A22A5D"/>
    <w:rsid w:val="00A2593A"/>
    <w:rsid w:val="00A312AE"/>
    <w:rsid w:val="00A35B4B"/>
    <w:rsid w:val="00A36557"/>
    <w:rsid w:val="00A4296D"/>
    <w:rsid w:val="00A650E7"/>
    <w:rsid w:val="00A67A5A"/>
    <w:rsid w:val="00A72DEB"/>
    <w:rsid w:val="00A72F48"/>
    <w:rsid w:val="00A7384A"/>
    <w:rsid w:val="00A73909"/>
    <w:rsid w:val="00A7523E"/>
    <w:rsid w:val="00A77034"/>
    <w:rsid w:val="00A80062"/>
    <w:rsid w:val="00A84C0A"/>
    <w:rsid w:val="00A87789"/>
    <w:rsid w:val="00A87E73"/>
    <w:rsid w:val="00A9166D"/>
    <w:rsid w:val="00A9248B"/>
    <w:rsid w:val="00A9582C"/>
    <w:rsid w:val="00AA5D69"/>
    <w:rsid w:val="00AA5F8E"/>
    <w:rsid w:val="00AA79CA"/>
    <w:rsid w:val="00AB0B28"/>
    <w:rsid w:val="00AB4A4C"/>
    <w:rsid w:val="00AB5D77"/>
    <w:rsid w:val="00AC23D0"/>
    <w:rsid w:val="00AC26F5"/>
    <w:rsid w:val="00AC62E5"/>
    <w:rsid w:val="00AC774E"/>
    <w:rsid w:val="00AD0754"/>
    <w:rsid w:val="00AD3217"/>
    <w:rsid w:val="00AD32DA"/>
    <w:rsid w:val="00AD514D"/>
    <w:rsid w:val="00AD5EF1"/>
    <w:rsid w:val="00AD69EB"/>
    <w:rsid w:val="00AD7B70"/>
    <w:rsid w:val="00AE4CA8"/>
    <w:rsid w:val="00AE59C0"/>
    <w:rsid w:val="00AE5E89"/>
    <w:rsid w:val="00AF1361"/>
    <w:rsid w:val="00AF630E"/>
    <w:rsid w:val="00B01FD3"/>
    <w:rsid w:val="00B03C9D"/>
    <w:rsid w:val="00B04E29"/>
    <w:rsid w:val="00B06E1C"/>
    <w:rsid w:val="00B15367"/>
    <w:rsid w:val="00B16D90"/>
    <w:rsid w:val="00B24E37"/>
    <w:rsid w:val="00B278E7"/>
    <w:rsid w:val="00B30BA8"/>
    <w:rsid w:val="00B35B9C"/>
    <w:rsid w:val="00B37B66"/>
    <w:rsid w:val="00B4120C"/>
    <w:rsid w:val="00B440F6"/>
    <w:rsid w:val="00B4553A"/>
    <w:rsid w:val="00B4665F"/>
    <w:rsid w:val="00B531EE"/>
    <w:rsid w:val="00B53212"/>
    <w:rsid w:val="00B53726"/>
    <w:rsid w:val="00B5424F"/>
    <w:rsid w:val="00B653B0"/>
    <w:rsid w:val="00B753AD"/>
    <w:rsid w:val="00B82A4B"/>
    <w:rsid w:val="00B83266"/>
    <w:rsid w:val="00B87FAB"/>
    <w:rsid w:val="00B907B7"/>
    <w:rsid w:val="00B90E5A"/>
    <w:rsid w:val="00B93AF3"/>
    <w:rsid w:val="00B93D7F"/>
    <w:rsid w:val="00B96458"/>
    <w:rsid w:val="00BA03C2"/>
    <w:rsid w:val="00BA04FB"/>
    <w:rsid w:val="00BA5892"/>
    <w:rsid w:val="00BB0A6B"/>
    <w:rsid w:val="00BB0D11"/>
    <w:rsid w:val="00BB463C"/>
    <w:rsid w:val="00BB6328"/>
    <w:rsid w:val="00BC1FDA"/>
    <w:rsid w:val="00BC2FD1"/>
    <w:rsid w:val="00BC5A53"/>
    <w:rsid w:val="00BC71C4"/>
    <w:rsid w:val="00BD3991"/>
    <w:rsid w:val="00BD5436"/>
    <w:rsid w:val="00BD77DB"/>
    <w:rsid w:val="00BE3304"/>
    <w:rsid w:val="00BE4116"/>
    <w:rsid w:val="00BE49DF"/>
    <w:rsid w:val="00BE4EC7"/>
    <w:rsid w:val="00BE548F"/>
    <w:rsid w:val="00BF0539"/>
    <w:rsid w:val="00BF1047"/>
    <w:rsid w:val="00BF29E7"/>
    <w:rsid w:val="00BF5E0E"/>
    <w:rsid w:val="00C01EA7"/>
    <w:rsid w:val="00C05C91"/>
    <w:rsid w:val="00C075DE"/>
    <w:rsid w:val="00C07FB6"/>
    <w:rsid w:val="00C101A5"/>
    <w:rsid w:val="00C11792"/>
    <w:rsid w:val="00C12B73"/>
    <w:rsid w:val="00C17591"/>
    <w:rsid w:val="00C20B6E"/>
    <w:rsid w:val="00C20C1D"/>
    <w:rsid w:val="00C21D4A"/>
    <w:rsid w:val="00C2267C"/>
    <w:rsid w:val="00C252E8"/>
    <w:rsid w:val="00C26E6F"/>
    <w:rsid w:val="00C30A50"/>
    <w:rsid w:val="00C37AA2"/>
    <w:rsid w:val="00C44B9E"/>
    <w:rsid w:val="00C451DA"/>
    <w:rsid w:val="00C45CE4"/>
    <w:rsid w:val="00C473B1"/>
    <w:rsid w:val="00C540AA"/>
    <w:rsid w:val="00C55101"/>
    <w:rsid w:val="00C55AD9"/>
    <w:rsid w:val="00C56440"/>
    <w:rsid w:val="00C567B1"/>
    <w:rsid w:val="00C609E6"/>
    <w:rsid w:val="00C62833"/>
    <w:rsid w:val="00C6421B"/>
    <w:rsid w:val="00C64F5D"/>
    <w:rsid w:val="00C66FBE"/>
    <w:rsid w:val="00C75B2E"/>
    <w:rsid w:val="00C91A9D"/>
    <w:rsid w:val="00C91C36"/>
    <w:rsid w:val="00C93B82"/>
    <w:rsid w:val="00CA04F9"/>
    <w:rsid w:val="00CA25E2"/>
    <w:rsid w:val="00CA6637"/>
    <w:rsid w:val="00CB2996"/>
    <w:rsid w:val="00CB47C8"/>
    <w:rsid w:val="00CC1617"/>
    <w:rsid w:val="00CC1C7E"/>
    <w:rsid w:val="00CC1DEE"/>
    <w:rsid w:val="00CD0E4A"/>
    <w:rsid w:val="00CD170E"/>
    <w:rsid w:val="00CD5999"/>
    <w:rsid w:val="00CD6930"/>
    <w:rsid w:val="00CD6DEB"/>
    <w:rsid w:val="00CE043C"/>
    <w:rsid w:val="00CE1201"/>
    <w:rsid w:val="00CE20ED"/>
    <w:rsid w:val="00CE3E74"/>
    <w:rsid w:val="00CE7A15"/>
    <w:rsid w:val="00CE7C81"/>
    <w:rsid w:val="00CF0CBB"/>
    <w:rsid w:val="00CF1773"/>
    <w:rsid w:val="00D021EB"/>
    <w:rsid w:val="00D0618C"/>
    <w:rsid w:val="00D105B3"/>
    <w:rsid w:val="00D1724B"/>
    <w:rsid w:val="00D200BC"/>
    <w:rsid w:val="00D21A30"/>
    <w:rsid w:val="00D23D69"/>
    <w:rsid w:val="00D24AF1"/>
    <w:rsid w:val="00D314D7"/>
    <w:rsid w:val="00D325A4"/>
    <w:rsid w:val="00D3492F"/>
    <w:rsid w:val="00D34FB6"/>
    <w:rsid w:val="00D35E41"/>
    <w:rsid w:val="00D3638C"/>
    <w:rsid w:val="00D363B0"/>
    <w:rsid w:val="00D37991"/>
    <w:rsid w:val="00D42CDE"/>
    <w:rsid w:val="00D44B26"/>
    <w:rsid w:val="00D46F18"/>
    <w:rsid w:val="00D46FF6"/>
    <w:rsid w:val="00D47C62"/>
    <w:rsid w:val="00D53D36"/>
    <w:rsid w:val="00D56E2F"/>
    <w:rsid w:val="00D63BB5"/>
    <w:rsid w:val="00D64521"/>
    <w:rsid w:val="00D646E1"/>
    <w:rsid w:val="00D6533E"/>
    <w:rsid w:val="00D656BF"/>
    <w:rsid w:val="00D679ED"/>
    <w:rsid w:val="00D703FF"/>
    <w:rsid w:val="00D727B3"/>
    <w:rsid w:val="00D7677F"/>
    <w:rsid w:val="00D812F3"/>
    <w:rsid w:val="00D814EB"/>
    <w:rsid w:val="00D83CFB"/>
    <w:rsid w:val="00D8762F"/>
    <w:rsid w:val="00D92195"/>
    <w:rsid w:val="00D924F7"/>
    <w:rsid w:val="00D92505"/>
    <w:rsid w:val="00D92BC4"/>
    <w:rsid w:val="00D93951"/>
    <w:rsid w:val="00D93E88"/>
    <w:rsid w:val="00D94B20"/>
    <w:rsid w:val="00DB2841"/>
    <w:rsid w:val="00DB33DB"/>
    <w:rsid w:val="00DB595F"/>
    <w:rsid w:val="00DB7FDE"/>
    <w:rsid w:val="00DC3293"/>
    <w:rsid w:val="00DC6AD4"/>
    <w:rsid w:val="00DD21B5"/>
    <w:rsid w:val="00DD5C67"/>
    <w:rsid w:val="00DD634E"/>
    <w:rsid w:val="00DE36C4"/>
    <w:rsid w:val="00DE3758"/>
    <w:rsid w:val="00DE6D07"/>
    <w:rsid w:val="00DF11DE"/>
    <w:rsid w:val="00DF4111"/>
    <w:rsid w:val="00DF7C2F"/>
    <w:rsid w:val="00E04A98"/>
    <w:rsid w:val="00E07A98"/>
    <w:rsid w:val="00E123A4"/>
    <w:rsid w:val="00E12E4B"/>
    <w:rsid w:val="00E152DE"/>
    <w:rsid w:val="00E24AA2"/>
    <w:rsid w:val="00E25A01"/>
    <w:rsid w:val="00E3020D"/>
    <w:rsid w:val="00E40BA2"/>
    <w:rsid w:val="00E43611"/>
    <w:rsid w:val="00E4633C"/>
    <w:rsid w:val="00E507A8"/>
    <w:rsid w:val="00E52DBC"/>
    <w:rsid w:val="00E60136"/>
    <w:rsid w:val="00E63ADA"/>
    <w:rsid w:val="00E66912"/>
    <w:rsid w:val="00E66B93"/>
    <w:rsid w:val="00E6762B"/>
    <w:rsid w:val="00E70B0C"/>
    <w:rsid w:val="00E73F98"/>
    <w:rsid w:val="00E74D27"/>
    <w:rsid w:val="00E750B3"/>
    <w:rsid w:val="00E830E6"/>
    <w:rsid w:val="00E83C62"/>
    <w:rsid w:val="00E87446"/>
    <w:rsid w:val="00E9087D"/>
    <w:rsid w:val="00E97785"/>
    <w:rsid w:val="00EA06F9"/>
    <w:rsid w:val="00EB5A1B"/>
    <w:rsid w:val="00EB77D3"/>
    <w:rsid w:val="00EC0733"/>
    <w:rsid w:val="00EC3D7D"/>
    <w:rsid w:val="00EC3E66"/>
    <w:rsid w:val="00EC51BC"/>
    <w:rsid w:val="00EC7990"/>
    <w:rsid w:val="00ED06DF"/>
    <w:rsid w:val="00ED1E3F"/>
    <w:rsid w:val="00ED25B6"/>
    <w:rsid w:val="00ED386B"/>
    <w:rsid w:val="00ED4416"/>
    <w:rsid w:val="00ED59AF"/>
    <w:rsid w:val="00ED743D"/>
    <w:rsid w:val="00EE2BB9"/>
    <w:rsid w:val="00EE415A"/>
    <w:rsid w:val="00EF07EB"/>
    <w:rsid w:val="00EF0831"/>
    <w:rsid w:val="00EF43CF"/>
    <w:rsid w:val="00EF7631"/>
    <w:rsid w:val="00EF7BBB"/>
    <w:rsid w:val="00F0149C"/>
    <w:rsid w:val="00F04D60"/>
    <w:rsid w:val="00F05B77"/>
    <w:rsid w:val="00F05BF2"/>
    <w:rsid w:val="00F06E82"/>
    <w:rsid w:val="00F10511"/>
    <w:rsid w:val="00F10B6C"/>
    <w:rsid w:val="00F1126D"/>
    <w:rsid w:val="00F15DCF"/>
    <w:rsid w:val="00F26183"/>
    <w:rsid w:val="00F3046C"/>
    <w:rsid w:val="00F31EBF"/>
    <w:rsid w:val="00F33935"/>
    <w:rsid w:val="00F35EE4"/>
    <w:rsid w:val="00F35FCF"/>
    <w:rsid w:val="00F36C9A"/>
    <w:rsid w:val="00F371EF"/>
    <w:rsid w:val="00F37BE0"/>
    <w:rsid w:val="00F4194C"/>
    <w:rsid w:val="00F44251"/>
    <w:rsid w:val="00F50B5E"/>
    <w:rsid w:val="00F5113F"/>
    <w:rsid w:val="00F5174F"/>
    <w:rsid w:val="00F51C44"/>
    <w:rsid w:val="00F546F1"/>
    <w:rsid w:val="00F56928"/>
    <w:rsid w:val="00F62F46"/>
    <w:rsid w:val="00F631D6"/>
    <w:rsid w:val="00F652F1"/>
    <w:rsid w:val="00F65D16"/>
    <w:rsid w:val="00F726C9"/>
    <w:rsid w:val="00F74D25"/>
    <w:rsid w:val="00F74EFD"/>
    <w:rsid w:val="00F755B8"/>
    <w:rsid w:val="00F76A55"/>
    <w:rsid w:val="00F85BC7"/>
    <w:rsid w:val="00F85F10"/>
    <w:rsid w:val="00F8662B"/>
    <w:rsid w:val="00F8743F"/>
    <w:rsid w:val="00F90A7B"/>
    <w:rsid w:val="00F90DC3"/>
    <w:rsid w:val="00F934FD"/>
    <w:rsid w:val="00F96A18"/>
    <w:rsid w:val="00F96A9C"/>
    <w:rsid w:val="00FA2AA5"/>
    <w:rsid w:val="00FA4BF2"/>
    <w:rsid w:val="00FB0B3A"/>
    <w:rsid w:val="00FB0B78"/>
    <w:rsid w:val="00FB2E39"/>
    <w:rsid w:val="00FB3B0A"/>
    <w:rsid w:val="00FB4A6C"/>
    <w:rsid w:val="00FB752D"/>
    <w:rsid w:val="00FC10D6"/>
    <w:rsid w:val="00FC5B72"/>
    <w:rsid w:val="00FD05FF"/>
    <w:rsid w:val="00FD08B8"/>
    <w:rsid w:val="00FD156D"/>
    <w:rsid w:val="00FD6224"/>
    <w:rsid w:val="00FD7626"/>
    <w:rsid w:val="00FE0583"/>
    <w:rsid w:val="00FE0C99"/>
    <w:rsid w:val="00FE2A67"/>
    <w:rsid w:val="00FF11E8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E922B"/>
  <w15:chartTrackingRefBased/>
  <w15:docId w15:val="{DDC6A4B2-E1A7-4CB7-A029-9C166F64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Times New Roman Bold" w:hAnsi="Times New Roman Bold" w:cs="Arial"/>
      <w:bCs/>
      <w:caps/>
      <w:kern w:val="32"/>
    </w:rPr>
  </w:style>
  <w:style w:type="paragraph" w:styleId="Heading2">
    <w:name w:val="heading 2"/>
    <w:basedOn w:val="Normal"/>
    <w:next w:val="Normal"/>
    <w:qFormat/>
    <w:rsid w:val="00C473B1"/>
    <w:pPr>
      <w:numPr>
        <w:ilvl w:val="1"/>
        <w:numId w:val="1"/>
      </w:numPr>
      <w:spacing w:before="240" w:after="60"/>
      <w:ind w:left="0" w:firstLine="0"/>
      <w:outlineLvl w:val="1"/>
    </w:pPr>
    <w:rPr>
      <w:rFonts w:hAnsi="Times New Roman Bold" w:cs="Arial"/>
      <w:bCs/>
      <w:iCs/>
      <w: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3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3A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3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3A7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8D23A7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napToGrid w:val="0"/>
      <w:jc w:val="center"/>
      <w:outlineLvl w:val="8"/>
    </w:pPr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D34FB6"/>
    <w:rPr>
      <w:color w:val="0000FF"/>
      <w:u w:val="single"/>
    </w:rPr>
  </w:style>
  <w:style w:type="character" w:styleId="CommentReference">
    <w:name w:val="annotation reference"/>
    <w:uiPriority w:val="99"/>
    <w:semiHidden/>
    <w:rsid w:val="00BA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3C2"/>
    <w:rPr>
      <w:b/>
      <w:bCs/>
    </w:rPr>
  </w:style>
  <w:style w:type="paragraph" w:styleId="Header">
    <w:name w:val="header"/>
    <w:basedOn w:val="Normal"/>
    <w:link w:val="HeaderChar"/>
    <w:uiPriority w:val="99"/>
    <w:rsid w:val="00D47C62"/>
    <w:pPr>
      <w:tabs>
        <w:tab w:val="left" w:pos="567"/>
        <w:tab w:val="center" w:pos="4153"/>
        <w:tab w:val="right" w:pos="8306"/>
      </w:tabs>
      <w:snapToGrid w:val="0"/>
    </w:pPr>
    <w:rPr>
      <w:rFonts w:ascii="Arial" w:hAnsi="Arial"/>
      <w:snapToGrid w:val="0"/>
      <w:sz w:val="22"/>
    </w:rPr>
  </w:style>
  <w:style w:type="paragraph" w:customStyle="1" w:styleId="Marge">
    <w:name w:val="Marge"/>
    <w:basedOn w:val="Normal"/>
    <w:rsid w:val="00D47C6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85F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8D23A7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8D23A7"/>
    <w:pPr>
      <w:ind w:left="7200"/>
    </w:pPr>
    <w:rPr>
      <w:sz w:val="22"/>
    </w:rPr>
  </w:style>
  <w:style w:type="paragraph" w:customStyle="1" w:styleId="COI">
    <w:name w:val="COI"/>
    <w:basedOn w:val="Marge"/>
    <w:autoRedefine/>
    <w:rsid w:val="005A47AE"/>
    <w:pPr>
      <w:numPr>
        <w:numId w:val="55"/>
      </w:numPr>
      <w:tabs>
        <w:tab w:val="clear" w:pos="567"/>
      </w:tabs>
      <w:spacing w:line="240" w:lineRule="atLeast"/>
      <w:ind w:hanging="431"/>
    </w:pPr>
    <w:rPr>
      <w:rFonts w:eastAsia="Arial Unicode MS" w:cs="Arial"/>
    </w:rPr>
  </w:style>
  <w:style w:type="paragraph" w:customStyle="1" w:styleId="Default">
    <w:name w:val="Default"/>
    <w:rsid w:val="008D23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AU"/>
    </w:rPr>
  </w:style>
  <w:style w:type="paragraph" w:customStyle="1" w:styleId="WW-Default">
    <w:name w:val="WW-Default"/>
    <w:rsid w:val="008D23A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PageNumber">
    <w:name w:val="page number"/>
    <w:basedOn w:val="DefaultParagraphFont"/>
    <w:rsid w:val="007A121B"/>
  </w:style>
  <w:style w:type="table" w:styleId="TableGrid">
    <w:name w:val="Table Grid"/>
    <w:basedOn w:val="TableNormal"/>
    <w:rsid w:val="006062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D814EB"/>
    <w:rPr>
      <w:rFonts w:ascii="Times New Roman Bold" w:hAnsi="Times New Roman Bold" w:cs="Arial"/>
      <w:bCs/>
      <w:caps/>
      <w:kern w:val="32"/>
      <w:sz w:val="24"/>
      <w:szCs w:val="24"/>
      <w:lang w:val="ru-RU" w:eastAsia="en-US"/>
    </w:rPr>
  </w:style>
  <w:style w:type="character" w:customStyle="1" w:styleId="CharChar">
    <w:name w:val="Char Char"/>
    <w:locked/>
    <w:rsid w:val="007B1CB3"/>
    <w:rPr>
      <w:rFonts w:ascii="Times New Roman Bold" w:hAnsi="Times New Roman Bold" w:cs="Arial"/>
      <w:bCs/>
      <w:caps/>
      <w:kern w:val="32"/>
      <w:sz w:val="24"/>
      <w:szCs w:val="24"/>
      <w:lang w:val="ru-RU" w:eastAsia="en-US" w:bidi="ar-SA"/>
    </w:rPr>
  </w:style>
  <w:style w:type="paragraph" w:styleId="FootnoteText">
    <w:name w:val="footnote text"/>
    <w:basedOn w:val="Normal"/>
    <w:semiHidden/>
    <w:rsid w:val="009C7258"/>
    <w:rPr>
      <w:sz w:val="20"/>
      <w:szCs w:val="20"/>
    </w:rPr>
  </w:style>
  <w:style w:type="character" w:styleId="FootnoteReference">
    <w:name w:val="footnote reference"/>
    <w:semiHidden/>
    <w:rsid w:val="009C7258"/>
    <w:rPr>
      <w:vertAlign w:val="superscript"/>
    </w:rPr>
  </w:style>
  <w:style w:type="paragraph" w:styleId="NoSpacing">
    <w:name w:val="No Spacing"/>
    <w:uiPriority w:val="1"/>
    <w:qFormat/>
    <w:rsid w:val="00244EBD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WB Para,List 100s"/>
    <w:basedOn w:val="Normal"/>
    <w:uiPriority w:val="1"/>
    <w:qFormat/>
    <w:rsid w:val="00244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007232"/>
  </w:style>
  <w:style w:type="character" w:customStyle="1" w:styleId="preferred">
    <w:name w:val="preferred"/>
    <w:rsid w:val="002D1E01"/>
  </w:style>
  <w:style w:type="character" w:styleId="FollowedHyperlink">
    <w:name w:val="FollowedHyperlink"/>
    <w:rsid w:val="00DD5C67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D200BC"/>
    <w:rPr>
      <w:rFonts w:ascii="Arial" w:hAnsi="Arial"/>
      <w:snapToGrid w:val="0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6F60"/>
    <w:pPr>
      <w:spacing w:before="100" w:beforeAutospacing="1" w:after="100" w:afterAutospacing="1"/>
    </w:pPr>
    <w:rPr>
      <w:lang w:eastAsia="zh-CN"/>
    </w:rPr>
  </w:style>
  <w:style w:type="paragraph" w:customStyle="1" w:styleId="ydp5ce225aamsolistparagraph">
    <w:name w:val="ydp5ce225aamsolistparagraph"/>
    <w:basedOn w:val="Normal"/>
    <w:rsid w:val="00040660"/>
    <w:pPr>
      <w:spacing w:before="100" w:beforeAutospacing="1" w:after="100" w:afterAutospacing="1"/>
    </w:pPr>
    <w:rPr>
      <w:rFonts w:ascii="Calibri" w:eastAsia="DengXian" w:hAnsi="Calibri" w:cs="Calibri"/>
      <w:sz w:val="22"/>
      <w:szCs w:val="22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9A5E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8AE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3B7C02"/>
    <w:pPr>
      <w:spacing w:after="120"/>
    </w:pPr>
  </w:style>
  <w:style w:type="character" w:customStyle="1" w:styleId="BodyTextChar">
    <w:name w:val="Body Text Char"/>
    <w:link w:val="BodyText"/>
    <w:rsid w:val="003B7C02"/>
    <w:rPr>
      <w:sz w:val="24"/>
      <w:szCs w:val="24"/>
      <w:lang w:val="ru-RU" w:eastAsia="en-US"/>
    </w:rPr>
  </w:style>
  <w:style w:type="character" w:customStyle="1" w:styleId="Aucun">
    <w:name w:val="Aucun"/>
    <w:rsid w:val="00EC7990"/>
    <w:rPr>
      <w:lang w:val="ru-RU"/>
    </w:rPr>
  </w:style>
  <w:style w:type="paragraph" w:customStyle="1" w:styleId="Corps">
    <w:name w:val="Corps"/>
    <w:rsid w:val="00EC7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D3"/>
    <w:rPr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5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76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1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7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865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96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761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34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0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48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70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680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89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485">
          <w:marLeft w:val="720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1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0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9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5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19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7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5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1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969">
          <w:marLeft w:val="446"/>
          <w:marRight w:val="58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84">
          <w:marLeft w:val="446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763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62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sdoc.unesco.org/ark:/48223/pf0000380540_spa.locale=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ceanexpert.org/event/408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eanexpert.org/event/408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ceanexpert.org/document/3449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6eab3-7e79-4a6c-9299-b0d67a87b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AA4DCB672843B9D3A23330FAD3FA" ma:contentTypeVersion="13" ma:contentTypeDescription="Create a new document." ma:contentTypeScope="" ma:versionID="54c9b0a2b689ef2da8e0a4cbcaf69984">
  <xsd:schema xmlns:xsd="http://www.w3.org/2001/XMLSchema" xmlns:xs="http://www.w3.org/2001/XMLSchema" xmlns:p="http://schemas.microsoft.com/office/2006/metadata/properties" xmlns:ns3="de86eab3-7e79-4a6c-9299-b0d67a87b48e" xmlns:ns4="ad7c873b-b406-4c8b-ac2c-9c1e4433ca36" targetNamespace="http://schemas.microsoft.com/office/2006/metadata/properties" ma:root="true" ma:fieldsID="d97c04faa73e9881abb96865bf0b4abc" ns3:_="" ns4:_="">
    <xsd:import namespace="de86eab3-7e79-4a6c-9299-b0d67a87b48e"/>
    <xsd:import namespace="ad7c873b-b406-4c8b-ac2c-9c1e4433ca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6eab3-7e79-4a6c-9299-b0d67a87b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c873b-b406-4c8b-ac2c-9c1e4433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69D7-DF91-478F-975C-764F1FA7E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D7F4-036F-470C-B0EC-21210DC32E62}">
  <ds:schemaRefs>
    <ds:schemaRef ds:uri="http://schemas.microsoft.com/office/2006/metadata/properties"/>
    <ds:schemaRef ds:uri="http://schemas.microsoft.com/office/infopath/2007/PartnerControls"/>
    <ds:schemaRef ds:uri="de86eab3-7e79-4a6c-9299-b0d67a87b48e"/>
  </ds:schemaRefs>
</ds:datastoreItem>
</file>

<file path=customXml/itemProps3.xml><?xml version="1.0" encoding="utf-8"?>
<ds:datastoreItem xmlns:ds="http://schemas.openxmlformats.org/officeDocument/2006/customXml" ds:itemID="{D4DA886E-9634-4B2E-B743-E0DB5AEA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6eab3-7e79-4a6c-9299-b0d67a87b48e"/>
    <ds:schemaRef ds:uri="ad7c873b-b406-4c8b-ac2c-9c1e4433c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53ACD-921B-4FCD-86BC-7068CEC44E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2992</Words>
  <Characters>20377</Characters>
  <Application>Microsoft Office Word</Application>
  <DocSecurity>0</DocSecurity>
  <Lines>334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IOC</Company>
  <LinksUpToDate>false</LinksUpToDate>
  <CharactersWithSpaces>23290</CharactersWithSpaces>
  <SharedDoc>false</SharedDoc>
  <HLinks>
    <vt:vector size="6" baseType="variant"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https://oceanexpert.org/event/3861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Семнадцатая сессия Межправительственной координационной группы по системе предупреждения о цунами и других опасных природных явлениях в прибрежных районах Карибского бассейна и прилегающих регионов</dc:title>
  <dc:subject>ICG/CARIBE EWS-XVII/3s</dc:subject>
  <dc:creator>bille</dc:creator>
  <cp:keywords/>
  <dc:description/>
  <cp:lastModifiedBy>Mourachova, Alla</cp:lastModifiedBy>
  <cp:revision>15</cp:revision>
  <cp:lastPrinted>2024-05-27T13:24:00Z</cp:lastPrinted>
  <dcterms:created xsi:type="dcterms:W3CDTF">2024-05-30T07:40:00Z</dcterms:created>
  <dcterms:modified xsi:type="dcterms:W3CDTF">2024-05-30T10:42:00Z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0x0101003F19AA4DCB672843B9D3A23330FAD3FA</vt:lpwstr>
  </property>
  <property fmtid="{D5CDD505-2E9C-101B-9397-08002B2CF9AE}" pid="3" name="JobDCPMS">
    <vt:lpwstr>2402820</vt:lpwstr>
  </property>
  <property fmtid="{D5CDD505-2E9C-101B-9397-08002B2CF9AE}" pid="4" name="Language">
    <vt:lpwstr>R</vt:lpwstr>
  </property>
</Properties>
</file>