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8359" w:type="dxa"/>
        <w:jc w:val="center"/>
        <w:tblLook w:val="04A0" w:firstRow="1" w:lastRow="0" w:firstColumn="1" w:lastColumn="0" w:noHBand="0" w:noVBand="1"/>
      </w:tblPr>
      <w:tblGrid>
        <w:gridCol w:w="8359"/>
      </w:tblGrid>
      <w:tr w:rsidR="00FA68D9" w14:paraId="1709CCC6" w14:textId="77777777" w:rsidTr="00FB10B3">
        <w:trPr>
          <w:trHeight w:val="5617"/>
          <w:jc w:val="center"/>
        </w:trPr>
        <w:tc>
          <w:tcPr>
            <w:tcW w:w="8359" w:type="dxa"/>
          </w:tcPr>
          <w:p w14:paraId="33D8523D" w14:textId="2EFF265F" w:rsidR="001B5075" w:rsidRPr="001B5075" w:rsidRDefault="001B5075" w:rsidP="00141A44">
            <w:pPr>
              <w:tabs>
                <w:tab w:val="clear" w:pos="567"/>
              </w:tabs>
              <w:snapToGrid/>
              <w:spacing w:before="120"/>
              <w:jc w:val="center"/>
              <w:rPr>
                <w:rFonts w:ascii="Arial" w:hAnsi="Arial" w:cs="Arial"/>
                <w:bCs/>
                <w:sz w:val="22"/>
                <w:szCs w:val="22"/>
                <w:u w:val="single"/>
              </w:rPr>
            </w:pPr>
            <w:r w:rsidRPr="001B5075">
              <w:rPr>
                <w:rFonts w:ascii="Arial" w:hAnsi="Arial" w:cs="Arial"/>
                <w:bCs/>
                <w:sz w:val="22"/>
                <w:szCs w:val="22"/>
                <w:u w:val="single"/>
              </w:rPr>
              <w:t>Summary</w:t>
            </w:r>
          </w:p>
          <w:p w14:paraId="0D6FC64F" w14:textId="77777777" w:rsidR="001B5075" w:rsidRPr="001B5075" w:rsidRDefault="001B5075">
            <w:pPr>
              <w:tabs>
                <w:tab w:val="clear" w:pos="567"/>
              </w:tabs>
              <w:snapToGrid/>
              <w:rPr>
                <w:rFonts w:ascii="Arial" w:hAnsi="Arial" w:cs="Arial"/>
                <w:bCs/>
                <w:sz w:val="22"/>
                <w:szCs w:val="22"/>
              </w:rPr>
            </w:pPr>
          </w:p>
          <w:p w14:paraId="562E8283" w14:textId="6DFAA128" w:rsidR="00FA68D9" w:rsidRPr="00FA68D9" w:rsidRDefault="00FA68D9" w:rsidP="00FA68D9">
            <w:pPr>
              <w:tabs>
                <w:tab w:val="clear" w:pos="567"/>
              </w:tabs>
              <w:snapToGrid/>
              <w:spacing w:after="200"/>
              <w:jc w:val="both"/>
              <w:rPr>
                <w:rFonts w:ascii="Arial" w:eastAsia="Times New Roman" w:hAnsi="Arial" w:cs="Arial"/>
                <w:sz w:val="22"/>
                <w:szCs w:val="22"/>
                <w:lang w:eastAsia="en-US"/>
              </w:rPr>
            </w:pPr>
            <w:r w:rsidRPr="00FA68D9">
              <w:rPr>
                <w:rFonts w:ascii="Arial" w:eastAsia="Times New Roman" w:hAnsi="Arial" w:cs="Arial"/>
                <w:sz w:val="22"/>
                <w:szCs w:val="22"/>
                <w:lang w:eastAsia="en-US"/>
              </w:rPr>
              <w:t xml:space="preserve">The report starts with </w:t>
            </w:r>
            <w:r w:rsidR="0048289E">
              <w:rPr>
                <w:rFonts w:ascii="Arial" w:eastAsia="Times New Roman" w:hAnsi="Arial" w:cs="Arial"/>
                <w:sz w:val="22"/>
                <w:szCs w:val="22"/>
                <w:lang w:eastAsia="en-US"/>
              </w:rPr>
              <w:t>an introduction b</w:t>
            </w:r>
            <w:r w:rsidRPr="00FA68D9">
              <w:rPr>
                <w:rFonts w:ascii="Arial" w:eastAsia="Times New Roman" w:hAnsi="Arial" w:cs="Arial"/>
                <w:sz w:val="22"/>
                <w:szCs w:val="22"/>
                <w:lang w:eastAsia="en-US"/>
              </w:rPr>
              <w:t xml:space="preserve">y the </w:t>
            </w:r>
            <w:r w:rsidR="0048289E">
              <w:rPr>
                <w:rFonts w:ascii="Arial" w:eastAsia="Times New Roman" w:hAnsi="Arial" w:cs="Arial"/>
                <w:sz w:val="22"/>
                <w:szCs w:val="22"/>
                <w:lang w:eastAsia="en-US"/>
              </w:rPr>
              <w:t xml:space="preserve">IOC </w:t>
            </w:r>
            <w:r w:rsidRPr="00FA68D9">
              <w:rPr>
                <w:rFonts w:ascii="Arial" w:eastAsia="Times New Roman" w:hAnsi="Arial" w:cs="Arial"/>
                <w:sz w:val="22"/>
                <w:szCs w:val="22"/>
                <w:lang w:eastAsia="en-US"/>
              </w:rPr>
              <w:t>Executive Secretary</w:t>
            </w:r>
            <w:r w:rsidRPr="00B24A6D">
              <w:rPr>
                <w:rFonts w:ascii="Arial" w:eastAsia="Times New Roman" w:hAnsi="Arial" w:cs="Arial"/>
                <w:sz w:val="22"/>
                <w:szCs w:val="22"/>
                <w:lang w:eastAsia="en-US"/>
              </w:rPr>
              <w:t>.</w:t>
            </w:r>
            <w:r w:rsidRPr="00FA68D9">
              <w:rPr>
                <w:rFonts w:ascii="Arial" w:eastAsia="Times New Roman" w:hAnsi="Arial" w:cs="Arial"/>
                <w:sz w:val="22"/>
                <w:szCs w:val="22"/>
                <w:lang w:eastAsia="en-US"/>
              </w:rPr>
              <w:t xml:space="preserve"> </w:t>
            </w:r>
          </w:p>
          <w:p w14:paraId="0CB7C22B" w14:textId="04C400FA" w:rsidR="001B5075" w:rsidRDefault="007C4C1D" w:rsidP="001B4D2C">
            <w:pPr>
              <w:tabs>
                <w:tab w:val="clear" w:pos="567"/>
              </w:tabs>
              <w:snapToGrid/>
              <w:spacing w:after="200"/>
              <w:jc w:val="both"/>
            </w:pPr>
            <w:r>
              <w:rPr>
                <w:rFonts w:ascii="Arial" w:eastAsia="Times New Roman" w:hAnsi="Arial" w:cs="Arial"/>
                <w:sz w:val="22"/>
                <w:szCs w:val="22"/>
                <w:lang w:eastAsia="en-US"/>
              </w:rPr>
              <w:t xml:space="preserve">It is followed by </w:t>
            </w:r>
            <w:r w:rsidR="004768E8">
              <w:rPr>
                <w:rFonts w:ascii="Arial" w:eastAsia="Times New Roman" w:hAnsi="Arial" w:cs="Arial"/>
                <w:sz w:val="22"/>
                <w:szCs w:val="22"/>
                <w:lang w:eastAsia="en-US"/>
              </w:rPr>
              <w:t xml:space="preserve">the </w:t>
            </w:r>
            <w:r w:rsidR="00DA1523">
              <w:rPr>
                <w:rFonts w:ascii="Arial" w:eastAsia="Times New Roman" w:hAnsi="Arial" w:cs="Arial"/>
                <w:sz w:val="22"/>
                <w:szCs w:val="22"/>
                <w:lang w:eastAsia="en-US"/>
              </w:rPr>
              <w:t xml:space="preserve">highlights of programme implementation and the </w:t>
            </w:r>
            <w:r w:rsidR="001B4D2C">
              <w:rPr>
                <w:rFonts w:ascii="Arial" w:eastAsia="Times New Roman" w:hAnsi="Arial" w:cs="Arial"/>
                <w:sz w:val="22"/>
                <w:szCs w:val="22"/>
                <w:lang w:eastAsia="en-US"/>
              </w:rPr>
              <w:t>assessment of progress under the IOC results framework for 2022</w:t>
            </w:r>
            <w:r w:rsidR="00B24A6D">
              <w:rPr>
                <w:rFonts w:ascii="Arial" w:eastAsia="Times New Roman" w:hAnsi="Arial" w:cs="Arial"/>
                <w:sz w:val="22"/>
                <w:szCs w:val="22"/>
                <w:lang w:eastAsia="en-US"/>
              </w:rPr>
              <w:t>–</w:t>
            </w:r>
            <w:r w:rsidR="001B4D2C">
              <w:rPr>
                <w:rFonts w:ascii="Arial" w:eastAsia="Times New Roman" w:hAnsi="Arial" w:cs="Arial"/>
                <w:sz w:val="22"/>
                <w:szCs w:val="22"/>
                <w:lang w:eastAsia="en-US"/>
              </w:rPr>
              <w:t xml:space="preserve">2023 against approved performance indicators and targets. </w:t>
            </w:r>
          </w:p>
          <w:p w14:paraId="39C2A891" w14:textId="624E8608" w:rsidR="007C4C1D" w:rsidRPr="007C4C1D" w:rsidRDefault="00E67743" w:rsidP="007C4C1D">
            <w:pPr>
              <w:tabs>
                <w:tab w:val="clear" w:pos="567"/>
              </w:tabs>
              <w:snapToGrid/>
              <w:spacing w:after="200"/>
              <w:jc w:val="both"/>
              <w:rPr>
                <w:rFonts w:ascii="Arial" w:eastAsia="Times New Roman" w:hAnsi="Arial" w:cs="Arial"/>
                <w:sz w:val="22"/>
                <w:szCs w:val="22"/>
                <w:lang w:eastAsia="en-US"/>
              </w:rPr>
            </w:pPr>
            <w:r>
              <w:rPr>
                <w:rFonts w:ascii="Arial" w:eastAsia="Times New Roman" w:hAnsi="Arial" w:cs="Arial"/>
                <w:sz w:val="22"/>
                <w:szCs w:val="22"/>
                <w:lang w:eastAsia="en-US"/>
              </w:rPr>
              <w:t>A separate’</w:t>
            </w:r>
            <w:r w:rsidR="007C4C1D" w:rsidRPr="007C4C1D">
              <w:rPr>
                <w:rFonts w:ascii="Arial" w:eastAsia="Times New Roman" w:hAnsi="Arial" w:cs="Arial"/>
                <w:sz w:val="22"/>
                <w:szCs w:val="22"/>
                <w:lang w:eastAsia="en-US"/>
              </w:rPr>
              <w:t xml:space="preserve"> Addendum to this document provides a detailed update of the work accomplished over the period </w:t>
            </w:r>
            <w:r w:rsidR="00705F29">
              <w:rPr>
                <w:rFonts w:ascii="Arial" w:eastAsia="Times New Roman" w:hAnsi="Arial" w:cs="Arial"/>
                <w:sz w:val="22"/>
                <w:szCs w:val="22"/>
                <w:lang w:eastAsia="en-US"/>
              </w:rPr>
              <w:t xml:space="preserve">from </w:t>
            </w:r>
            <w:r w:rsidR="007C4C1D" w:rsidRPr="007C4C1D">
              <w:rPr>
                <w:rFonts w:ascii="Arial" w:eastAsia="Times New Roman" w:hAnsi="Arial" w:cs="Arial"/>
                <w:sz w:val="22"/>
                <w:szCs w:val="22"/>
                <w:lang w:eastAsia="en-US"/>
              </w:rPr>
              <w:t>June 202</w:t>
            </w:r>
            <w:r w:rsidR="001B4D2C">
              <w:rPr>
                <w:rFonts w:ascii="Arial" w:eastAsia="Times New Roman" w:hAnsi="Arial" w:cs="Arial"/>
                <w:sz w:val="22"/>
                <w:szCs w:val="22"/>
                <w:lang w:eastAsia="en-US"/>
              </w:rPr>
              <w:t>3</w:t>
            </w:r>
            <w:r w:rsidR="007C4C1D" w:rsidRPr="007C4C1D">
              <w:rPr>
                <w:rFonts w:ascii="Arial" w:eastAsia="Times New Roman" w:hAnsi="Arial" w:cs="Arial"/>
                <w:sz w:val="22"/>
                <w:szCs w:val="22"/>
                <w:lang w:eastAsia="en-US"/>
              </w:rPr>
              <w:t xml:space="preserve"> to May 202</w:t>
            </w:r>
            <w:r w:rsidR="001B4D2C">
              <w:rPr>
                <w:rFonts w:ascii="Arial" w:eastAsia="Times New Roman" w:hAnsi="Arial" w:cs="Arial"/>
                <w:sz w:val="22"/>
                <w:szCs w:val="22"/>
                <w:lang w:eastAsia="en-US"/>
              </w:rPr>
              <w:t>4</w:t>
            </w:r>
            <w:r w:rsidR="007C4C1D" w:rsidRPr="007C4C1D">
              <w:rPr>
                <w:rFonts w:ascii="Arial" w:eastAsia="Times New Roman" w:hAnsi="Arial" w:cs="Arial"/>
                <w:sz w:val="22"/>
                <w:szCs w:val="22"/>
                <w:lang w:eastAsia="en-US"/>
              </w:rPr>
              <w:t xml:space="preserve"> by IOC functions and in English only. </w:t>
            </w:r>
          </w:p>
          <w:p w14:paraId="10E6030E" w14:textId="628AFF18" w:rsidR="00FA68D9" w:rsidRPr="00FA68D9" w:rsidRDefault="00FA68D9" w:rsidP="00FA68D9">
            <w:pPr>
              <w:tabs>
                <w:tab w:val="clear" w:pos="567"/>
              </w:tabs>
              <w:snapToGrid/>
              <w:spacing w:after="200"/>
              <w:jc w:val="both"/>
              <w:rPr>
                <w:rFonts w:ascii="Arial" w:eastAsia="Times New Roman" w:hAnsi="Arial" w:cs="Arial"/>
                <w:sz w:val="22"/>
                <w:szCs w:val="22"/>
                <w:lang w:eastAsia="en-US"/>
              </w:rPr>
            </w:pPr>
            <w:r w:rsidRPr="00FA68D9">
              <w:rPr>
                <w:rFonts w:ascii="Arial" w:eastAsia="Times New Roman" w:hAnsi="Arial" w:cs="Arial"/>
                <w:sz w:val="22"/>
                <w:szCs w:val="22"/>
                <w:lang w:eastAsia="en-US"/>
              </w:rPr>
              <w:t>In addition, the ‘Report on 202</w:t>
            </w:r>
            <w:r w:rsidR="001B4D2C">
              <w:rPr>
                <w:rFonts w:ascii="Arial" w:eastAsia="Times New Roman" w:hAnsi="Arial" w:cs="Arial"/>
                <w:sz w:val="22"/>
                <w:szCs w:val="22"/>
                <w:lang w:eastAsia="en-US"/>
              </w:rPr>
              <w:t>2</w:t>
            </w:r>
            <w:r w:rsidRPr="00FA68D9">
              <w:rPr>
                <w:rFonts w:ascii="Arial" w:eastAsia="Times New Roman" w:hAnsi="Arial" w:cs="Arial"/>
                <w:sz w:val="22"/>
                <w:szCs w:val="22"/>
                <w:lang w:eastAsia="en-US"/>
              </w:rPr>
              <w:t>–202</w:t>
            </w:r>
            <w:r w:rsidR="001B4D2C">
              <w:rPr>
                <w:rFonts w:ascii="Arial" w:eastAsia="Times New Roman" w:hAnsi="Arial" w:cs="Arial"/>
                <w:sz w:val="22"/>
                <w:szCs w:val="22"/>
                <w:lang w:eastAsia="en-US"/>
              </w:rPr>
              <w:t>3</w:t>
            </w:r>
            <w:r w:rsidRPr="00FA68D9">
              <w:rPr>
                <w:rFonts w:ascii="Arial" w:eastAsia="Times New Roman" w:hAnsi="Arial" w:cs="Arial"/>
                <w:sz w:val="22"/>
                <w:szCs w:val="22"/>
                <w:lang w:eastAsia="en-US"/>
              </w:rPr>
              <w:t xml:space="preserve"> (4</w:t>
            </w:r>
            <w:r w:rsidR="001B4D2C">
              <w:rPr>
                <w:rFonts w:ascii="Arial" w:eastAsia="Times New Roman" w:hAnsi="Arial" w:cs="Arial"/>
                <w:sz w:val="22"/>
                <w:szCs w:val="22"/>
                <w:lang w:eastAsia="en-US"/>
              </w:rPr>
              <w:t>1</w:t>
            </w:r>
            <w:r w:rsidR="00705F29">
              <w:rPr>
                <w:rFonts w:ascii="Arial" w:eastAsia="Times New Roman" w:hAnsi="Arial" w:cs="Arial"/>
                <w:sz w:val="22"/>
                <w:szCs w:val="22"/>
                <w:lang w:eastAsia="en-US"/>
              </w:rPr>
              <w:t> </w:t>
            </w:r>
            <w:r w:rsidRPr="00FA68D9">
              <w:rPr>
                <w:rFonts w:ascii="Arial" w:eastAsia="Times New Roman" w:hAnsi="Arial" w:cs="Arial"/>
                <w:sz w:val="22"/>
                <w:szCs w:val="22"/>
                <w:lang w:eastAsia="en-US"/>
              </w:rPr>
              <w:t>C/5) Budget Implementation as at 31 December 202</w:t>
            </w:r>
            <w:r w:rsidR="001B4D2C">
              <w:rPr>
                <w:rFonts w:ascii="Arial" w:eastAsia="Times New Roman" w:hAnsi="Arial" w:cs="Arial"/>
                <w:sz w:val="22"/>
                <w:szCs w:val="22"/>
                <w:lang w:eastAsia="en-US"/>
              </w:rPr>
              <w:t>3</w:t>
            </w:r>
            <w:r w:rsidRPr="00FA68D9">
              <w:rPr>
                <w:rFonts w:ascii="Arial" w:eastAsia="Times New Roman" w:hAnsi="Arial" w:cs="Arial"/>
                <w:sz w:val="22"/>
                <w:szCs w:val="22"/>
                <w:lang w:eastAsia="en-US"/>
              </w:rPr>
              <w:t>’ (IOC/</w:t>
            </w:r>
            <w:r w:rsidR="00E232D1">
              <w:rPr>
                <w:rFonts w:ascii="Arial" w:eastAsia="Times New Roman" w:hAnsi="Arial" w:cs="Arial"/>
                <w:sz w:val="22"/>
                <w:szCs w:val="22"/>
                <w:lang w:eastAsia="en-US"/>
              </w:rPr>
              <w:t>EC-5</w:t>
            </w:r>
            <w:r w:rsidR="001B4D2C">
              <w:rPr>
                <w:rFonts w:ascii="Arial" w:eastAsia="Times New Roman" w:hAnsi="Arial" w:cs="Arial"/>
                <w:sz w:val="22"/>
                <w:szCs w:val="22"/>
                <w:lang w:eastAsia="en-US"/>
              </w:rPr>
              <w:t>7</w:t>
            </w:r>
            <w:r w:rsidR="00E232D1">
              <w:rPr>
                <w:rFonts w:ascii="Arial" w:eastAsia="Times New Roman" w:hAnsi="Arial" w:cs="Arial"/>
                <w:sz w:val="22"/>
                <w:szCs w:val="22"/>
                <w:lang w:eastAsia="en-US"/>
              </w:rPr>
              <w:t>/</w:t>
            </w:r>
            <w:r w:rsidRPr="00FA68D9">
              <w:rPr>
                <w:rFonts w:ascii="Arial" w:eastAsia="Times New Roman" w:hAnsi="Arial" w:cs="Arial"/>
                <w:sz w:val="22"/>
                <w:szCs w:val="22"/>
                <w:lang w:eastAsia="en-US"/>
              </w:rPr>
              <w:t>3.</w:t>
            </w:r>
            <w:r w:rsidR="00E232D1">
              <w:rPr>
                <w:rFonts w:ascii="Arial" w:eastAsia="Times New Roman" w:hAnsi="Arial" w:cs="Arial"/>
                <w:sz w:val="22"/>
                <w:szCs w:val="22"/>
                <w:lang w:eastAsia="en-US"/>
              </w:rPr>
              <w:t>1</w:t>
            </w:r>
            <w:r w:rsidRPr="00FA68D9">
              <w:rPr>
                <w:rFonts w:ascii="Arial" w:eastAsia="Times New Roman" w:hAnsi="Arial" w:cs="Arial"/>
                <w:sz w:val="22"/>
                <w:szCs w:val="22"/>
                <w:lang w:eastAsia="en-US"/>
              </w:rPr>
              <w:t>.Doc(2)) and the ‘Report on the Financial Situation of the IOC Special Account at year end 202</w:t>
            </w:r>
            <w:r w:rsidR="001B4D2C">
              <w:rPr>
                <w:rFonts w:ascii="Arial" w:eastAsia="Times New Roman" w:hAnsi="Arial" w:cs="Arial"/>
                <w:sz w:val="22"/>
                <w:szCs w:val="22"/>
                <w:lang w:eastAsia="en-US"/>
              </w:rPr>
              <w:t>3</w:t>
            </w:r>
            <w:r w:rsidRPr="00FA68D9">
              <w:rPr>
                <w:rFonts w:ascii="Arial" w:eastAsia="Times New Roman" w:hAnsi="Arial" w:cs="Arial"/>
                <w:sz w:val="22"/>
                <w:szCs w:val="22"/>
                <w:lang w:eastAsia="en-US"/>
              </w:rPr>
              <w:t xml:space="preserve"> and forecast for 202</w:t>
            </w:r>
            <w:r w:rsidR="001B4D2C">
              <w:rPr>
                <w:rFonts w:ascii="Arial" w:eastAsia="Times New Roman" w:hAnsi="Arial" w:cs="Arial"/>
                <w:sz w:val="22"/>
                <w:szCs w:val="22"/>
                <w:lang w:eastAsia="en-US"/>
              </w:rPr>
              <w:t>4</w:t>
            </w:r>
            <w:r w:rsidR="00B24A6D">
              <w:rPr>
                <w:rFonts w:ascii="Arial" w:eastAsia="Times New Roman" w:hAnsi="Arial" w:cs="Arial"/>
                <w:sz w:val="22"/>
                <w:szCs w:val="22"/>
                <w:lang w:eastAsia="en-US"/>
              </w:rPr>
              <w:t>–</w:t>
            </w:r>
            <w:r w:rsidR="001B4D2C">
              <w:rPr>
                <w:rFonts w:ascii="Arial" w:eastAsia="Times New Roman" w:hAnsi="Arial" w:cs="Arial"/>
                <w:sz w:val="22"/>
                <w:szCs w:val="22"/>
                <w:lang w:eastAsia="en-US"/>
              </w:rPr>
              <w:t>2025</w:t>
            </w:r>
            <w:r w:rsidRPr="00FA68D9">
              <w:rPr>
                <w:rFonts w:ascii="Arial" w:eastAsia="Times New Roman" w:hAnsi="Arial" w:cs="Arial"/>
                <w:sz w:val="22"/>
                <w:szCs w:val="22"/>
                <w:lang w:eastAsia="en-US"/>
              </w:rPr>
              <w:t>’ (IOC/</w:t>
            </w:r>
            <w:r w:rsidR="00E232D1">
              <w:rPr>
                <w:rFonts w:ascii="Arial" w:eastAsia="Times New Roman" w:hAnsi="Arial" w:cs="Arial"/>
                <w:sz w:val="22"/>
                <w:szCs w:val="22"/>
                <w:lang w:eastAsia="en-US"/>
              </w:rPr>
              <w:t>EC-5</w:t>
            </w:r>
            <w:r w:rsidR="001B4D2C">
              <w:rPr>
                <w:rFonts w:ascii="Arial" w:eastAsia="Times New Roman" w:hAnsi="Arial" w:cs="Arial"/>
                <w:sz w:val="22"/>
                <w:szCs w:val="22"/>
                <w:lang w:eastAsia="en-US"/>
              </w:rPr>
              <w:t>7</w:t>
            </w:r>
            <w:r w:rsidRPr="00FA68D9">
              <w:rPr>
                <w:rFonts w:ascii="Arial" w:eastAsia="Times New Roman" w:hAnsi="Arial" w:cs="Arial"/>
                <w:sz w:val="22"/>
                <w:szCs w:val="22"/>
                <w:lang w:eastAsia="en-US"/>
              </w:rPr>
              <w:t>/3.</w:t>
            </w:r>
            <w:r w:rsidR="00E232D1">
              <w:rPr>
                <w:rFonts w:ascii="Arial" w:eastAsia="Times New Roman" w:hAnsi="Arial" w:cs="Arial"/>
                <w:sz w:val="22"/>
                <w:szCs w:val="22"/>
                <w:lang w:eastAsia="en-US"/>
              </w:rPr>
              <w:t>1</w:t>
            </w:r>
            <w:r w:rsidRPr="00FA68D9">
              <w:rPr>
                <w:rFonts w:ascii="Arial" w:eastAsia="Times New Roman" w:hAnsi="Arial" w:cs="Arial"/>
                <w:sz w:val="22"/>
                <w:szCs w:val="22"/>
                <w:lang w:eastAsia="en-US"/>
              </w:rPr>
              <w:t xml:space="preserve">.Doc(3)) complete the documentation in support of the oral presentation of the Executive Secretary to the plenary session of the </w:t>
            </w:r>
            <w:r w:rsidR="00E232D1">
              <w:rPr>
                <w:rFonts w:ascii="Arial" w:eastAsia="Times New Roman" w:hAnsi="Arial" w:cs="Arial"/>
                <w:sz w:val="22"/>
                <w:szCs w:val="22"/>
                <w:lang w:eastAsia="en-US"/>
              </w:rPr>
              <w:t>Executive Council</w:t>
            </w:r>
            <w:r w:rsidRPr="00FA68D9">
              <w:rPr>
                <w:rFonts w:ascii="Arial" w:eastAsia="Times New Roman" w:hAnsi="Arial" w:cs="Arial"/>
                <w:sz w:val="22"/>
                <w:szCs w:val="22"/>
                <w:lang w:eastAsia="en-US"/>
              </w:rPr>
              <w:t xml:space="preserve">. </w:t>
            </w:r>
          </w:p>
          <w:p w14:paraId="6C050125" w14:textId="262C38A4" w:rsidR="00FA68D9" w:rsidRDefault="00FA68D9" w:rsidP="00141A44">
            <w:pPr>
              <w:tabs>
                <w:tab w:val="clear" w:pos="567"/>
              </w:tabs>
              <w:snapToGrid/>
              <w:spacing w:after="120"/>
              <w:rPr>
                <w:rFonts w:ascii="Arial" w:hAnsi="Arial" w:cs="Arial"/>
                <w:b/>
                <w:bCs/>
                <w:sz w:val="22"/>
                <w:szCs w:val="22"/>
              </w:rPr>
            </w:pPr>
            <w:r w:rsidRPr="00FA68D9">
              <w:rPr>
                <w:rFonts w:ascii="Arial" w:eastAsia="Times New Roman" w:hAnsi="Arial" w:cs="Arial"/>
                <w:sz w:val="22"/>
                <w:szCs w:val="22"/>
                <w:u w:val="single"/>
                <w:lang w:eastAsia="en-US"/>
              </w:rPr>
              <w:t>Decision proposed</w:t>
            </w:r>
            <w:r w:rsidRPr="00FA68D9">
              <w:rPr>
                <w:rFonts w:ascii="Arial" w:eastAsia="Times New Roman" w:hAnsi="Arial" w:cs="Arial"/>
                <w:sz w:val="22"/>
                <w:szCs w:val="22"/>
                <w:lang w:eastAsia="en-US"/>
              </w:rPr>
              <w:t>: The</w:t>
            </w:r>
            <w:r w:rsidR="00E232D1">
              <w:rPr>
                <w:rFonts w:ascii="Arial" w:eastAsia="Times New Roman" w:hAnsi="Arial" w:cs="Arial"/>
                <w:sz w:val="22"/>
                <w:szCs w:val="22"/>
                <w:lang w:eastAsia="en-US"/>
              </w:rPr>
              <w:t xml:space="preserve"> Executive Council</w:t>
            </w:r>
            <w:r w:rsidRPr="00FA68D9">
              <w:rPr>
                <w:rFonts w:ascii="Arial" w:eastAsia="Times New Roman" w:hAnsi="Arial" w:cs="Arial"/>
                <w:sz w:val="22"/>
                <w:szCs w:val="22"/>
                <w:lang w:eastAsia="en-US"/>
              </w:rPr>
              <w:t xml:space="preserve"> is invited to take note of this report and consider the draft decision referenced as Dec. </w:t>
            </w:r>
            <w:r w:rsidR="00E232D1">
              <w:rPr>
                <w:rFonts w:ascii="Arial" w:eastAsia="Times New Roman" w:hAnsi="Arial" w:cs="Arial"/>
                <w:sz w:val="22"/>
                <w:szCs w:val="22"/>
                <w:lang w:eastAsia="en-US"/>
              </w:rPr>
              <w:t>EC</w:t>
            </w:r>
            <w:r w:rsidRPr="00FA68D9">
              <w:rPr>
                <w:rFonts w:ascii="Arial" w:eastAsia="Times New Roman" w:hAnsi="Arial" w:cs="Arial"/>
                <w:sz w:val="22"/>
                <w:szCs w:val="22"/>
                <w:lang w:eastAsia="en-US"/>
              </w:rPr>
              <w:t>-</w:t>
            </w:r>
            <w:r w:rsidR="00E232D1">
              <w:rPr>
                <w:rFonts w:ascii="Arial" w:eastAsia="Times New Roman" w:hAnsi="Arial" w:cs="Arial"/>
                <w:sz w:val="22"/>
                <w:szCs w:val="22"/>
                <w:lang w:eastAsia="en-US"/>
              </w:rPr>
              <w:t>5</w:t>
            </w:r>
            <w:r w:rsidR="00FB10B3">
              <w:rPr>
                <w:rFonts w:ascii="Arial" w:eastAsia="Times New Roman" w:hAnsi="Arial" w:cs="Arial"/>
                <w:sz w:val="22"/>
                <w:szCs w:val="22"/>
                <w:lang w:eastAsia="en-US"/>
              </w:rPr>
              <w:t>7</w:t>
            </w:r>
            <w:r w:rsidRPr="00FA68D9">
              <w:rPr>
                <w:rFonts w:ascii="Arial" w:eastAsia="Times New Roman" w:hAnsi="Arial" w:cs="Arial"/>
                <w:sz w:val="22"/>
                <w:szCs w:val="22"/>
                <w:lang w:eastAsia="en-US"/>
              </w:rPr>
              <w:t>/3.</w:t>
            </w:r>
            <w:r w:rsidR="00E232D1">
              <w:rPr>
                <w:rFonts w:ascii="Arial" w:eastAsia="Times New Roman" w:hAnsi="Arial" w:cs="Arial"/>
                <w:sz w:val="22"/>
                <w:szCs w:val="22"/>
                <w:lang w:eastAsia="en-US"/>
              </w:rPr>
              <w:t>1</w:t>
            </w:r>
            <w:r w:rsidRPr="00FA68D9">
              <w:rPr>
                <w:rFonts w:ascii="Arial" w:eastAsia="Times New Roman" w:hAnsi="Arial" w:cs="Arial"/>
                <w:sz w:val="22"/>
                <w:szCs w:val="22"/>
                <w:lang w:eastAsia="en-US"/>
              </w:rPr>
              <w:t xml:space="preserve"> in the Provisional Action Paper (document IOC/</w:t>
            </w:r>
            <w:r w:rsidR="00E232D1">
              <w:rPr>
                <w:rFonts w:ascii="Arial" w:eastAsia="Times New Roman" w:hAnsi="Arial" w:cs="Arial"/>
                <w:sz w:val="22"/>
                <w:szCs w:val="22"/>
                <w:lang w:eastAsia="en-US"/>
              </w:rPr>
              <w:t>EC-5</w:t>
            </w:r>
            <w:r w:rsidR="00FB10B3">
              <w:rPr>
                <w:rFonts w:ascii="Arial" w:eastAsia="Times New Roman" w:hAnsi="Arial" w:cs="Arial"/>
                <w:sz w:val="22"/>
                <w:szCs w:val="22"/>
                <w:lang w:eastAsia="en-US"/>
              </w:rPr>
              <w:t>7</w:t>
            </w:r>
            <w:r w:rsidR="00E232D1">
              <w:rPr>
                <w:rFonts w:ascii="Arial" w:eastAsia="Times New Roman" w:hAnsi="Arial" w:cs="Arial"/>
                <w:sz w:val="22"/>
                <w:szCs w:val="22"/>
                <w:lang w:eastAsia="en-US"/>
              </w:rPr>
              <w:t>/</w:t>
            </w:r>
            <w:r w:rsidRPr="00FA68D9">
              <w:rPr>
                <w:rFonts w:ascii="Arial" w:eastAsia="Times New Roman" w:hAnsi="Arial" w:cs="Arial"/>
                <w:sz w:val="22"/>
                <w:szCs w:val="22"/>
                <w:lang w:eastAsia="en-US"/>
              </w:rPr>
              <w:t>AP).</w:t>
            </w:r>
          </w:p>
        </w:tc>
      </w:tr>
    </w:tbl>
    <w:p w14:paraId="1E543DEA" w14:textId="4D9DF3BA" w:rsidR="00FA68D9" w:rsidRDefault="00FA68D9">
      <w:pPr>
        <w:tabs>
          <w:tab w:val="clear" w:pos="567"/>
        </w:tabs>
        <w:snapToGrid/>
        <w:rPr>
          <w:rFonts w:ascii="Arial" w:hAnsi="Arial" w:cs="Arial"/>
          <w:b/>
          <w:bCs/>
          <w:sz w:val="22"/>
          <w:szCs w:val="22"/>
        </w:rPr>
      </w:pPr>
      <w:r>
        <w:rPr>
          <w:rFonts w:ascii="Arial" w:hAnsi="Arial" w:cs="Arial"/>
          <w:b/>
          <w:bCs/>
          <w:sz w:val="22"/>
          <w:szCs w:val="22"/>
        </w:rPr>
        <w:br w:type="page"/>
      </w:r>
    </w:p>
    <w:p w14:paraId="7E71C7D7" w14:textId="72BF6BB3" w:rsidR="00025A88" w:rsidRPr="00025A88" w:rsidRDefault="00E67743" w:rsidP="00025A88">
      <w:pPr>
        <w:keepNext/>
        <w:keepLines/>
        <w:widowControl w:val="0"/>
        <w:adjustRightInd w:val="0"/>
        <w:ind w:left="567" w:hanging="567"/>
        <w:jc w:val="both"/>
        <w:textAlignment w:val="baseline"/>
        <w:outlineLvl w:val="1"/>
        <w:rPr>
          <w:rFonts w:ascii="Arial" w:eastAsia="Times New Roman" w:hAnsi="Arial" w:cs="Arial"/>
          <w:b/>
          <w:bCs/>
          <w:caps/>
          <w:sz w:val="22"/>
          <w:szCs w:val="22"/>
          <w:lang w:eastAsia="en-US"/>
        </w:rPr>
      </w:pPr>
      <w:r w:rsidRPr="00025A88">
        <w:rPr>
          <w:rFonts w:ascii="Arial" w:eastAsia="Times New Roman" w:hAnsi="Arial" w:cs="Arial"/>
          <w:b/>
          <w:bCs/>
          <w:sz w:val="22"/>
          <w:szCs w:val="22"/>
          <w:lang w:eastAsia="en-US"/>
        </w:rPr>
        <w:lastRenderedPageBreak/>
        <w:t>Introduction by the IOC Executive Secretary</w:t>
      </w:r>
    </w:p>
    <w:p w14:paraId="6E0C8A6C" w14:textId="77777777" w:rsidR="00025A88" w:rsidRPr="00025A88" w:rsidRDefault="00025A88" w:rsidP="00025A88">
      <w:pPr>
        <w:widowControl w:val="0"/>
        <w:adjustRightInd w:val="0"/>
        <w:jc w:val="both"/>
        <w:textAlignment w:val="baseline"/>
        <w:rPr>
          <w:rFonts w:ascii="Arial" w:eastAsia="Times New Roman" w:hAnsi="Arial"/>
          <w:sz w:val="22"/>
          <w:lang w:eastAsia="en-US"/>
        </w:rPr>
      </w:pPr>
      <w:r w:rsidRPr="00025A88">
        <w:rPr>
          <w:rFonts w:ascii="Arial" w:eastAsia="Times New Roman" w:hAnsi="Arial"/>
          <w:noProof/>
          <w:snapToGrid/>
          <w:sz w:val="22"/>
          <w:lang w:val="fr-FR" w:eastAsia="fr-FR"/>
        </w:rPr>
        <mc:AlternateContent>
          <mc:Choice Requires="wps">
            <w:drawing>
              <wp:anchor distT="0" distB="0" distL="114300" distR="114300" simplePos="0" relativeHeight="251656704" behindDoc="0" locked="0" layoutInCell="1" allowOverlap="1" wp14:anchorId="7227533B" wp14:editId="69B10454">
                <wp:simplePos x="0" y="0"/>
                <wp:positionH relativeFrom="column">
                  <wp:posOffset>12700</wp:posOffset>
                </wp:positionH>
                <wp:positionV relativeFrom="paragraph">
                  <wp:posOffset>6889</wp:posOffset>
                </wp:positionV>
                <wp:extent cx="6181725" cy="1905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181725" cy="19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D055561" id="Straight Connector 6" o:spid="_x0000_s1026" style="position:absolute;flip:y;z-index:251656704;visibility:visible;mso-wrap-style:square;mso-wrap-distance-left:9pt;mso-wrap-distance-top:0;mso-wrap-distance-right:9pt;mso-wrap-distance-bottom:0;mso-position-horizontal:absolute;mso-position-horizontal-relative:text;mso-position-vertical:absolute;mso-position-vertical-relative:text" from="1pt,.55pt" to="487.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" strokecolor="#4a7ebb"/>
            </w:pict>
          </mc:Fallback>
        </mc:AlternateContent>
      </w:r>
    </w:p>
    <w:p w14:paraId="10497C0B" w14:textId="614A7AEE" w:rsidR="00192AAB" w:rsidRPr="00B24A6D" w:rsidRDefault="00192AAB" w:rsidP="00B24A6D">
      <w:pPr>
        <w:pStyle w:val="Paragraphedeliste"/>
        <w:numPr>
          <w:ilvl w:val="0"/>
          <w:numId w:val="27"/>
        </w:numPr>
        <w:tabs>
          <w:tab w:val="clear" w:pos="567"/>
          <w:tab w:val="left" w:pos="709"/>
        </w:tabs>
        <w:spacing w:after="240"/>
        <w:ind w:left="0" w:firstLine="0"/>
        <w:contextualSpacing w:val="0"/>
        <w:jc w:val="both"/>
        <w:rPr>
          <w:rFonts w:asciiTheme="minorBidi" w:hAnsiTheme="minorBidi" w:cstheme="minorBidi"/>
          <w:color w:val="000000"/>
          <w:sz w:val="22"/>
          <w:szCs w:val="22"/>
        </w:rPr>
      </w:pPr>
      <w:r w:rsidRPr="00B24A6D">
        <w:rPr>
          <w:rFonts w:asciiTheme="minorBidi" w:hAnsiTheme="minorBidi" w:cstheme="minorBidi"/>
          <w:sz w:val="22"/>
          <w:szCs w:val="22"/>
        </w:rPr>
        <w:t xml:space="preserve">Year 2024 opens a new chapter for our Commission. </w:t>
      </w:r>
      <w:r w:rsidR="00D81B40" w:rsidRPr="00B24A6D">
        <w:rPr>
          <w:rFonts w:asciiTheme="minorBidi" w:hAnsiTheme="minorBidi" w:cstheme="minorBidi"/>
          <w:sz w:val="22"/>
          <w:szCs w:val="22"/>
        </w:rPr>
        <w:t xml:space="preserve">IOC programmes will be able to step up delivery across all functions and value chains, with particular focus on long-term sustained observations and data and information management, </w:t>
      </w:r>
      <w:r w:rsidR="00D81B40" w:rsidRPr="00B24A6D">
        <w:rPr>
          <w:rFonts w:asciiTheme="minorBidi" w:hAnsiTheme="minorBidi" w:cstheme="minorBidi"/>
          <w:color w:val="000000"/>
          <w:sz w:val="22"/>
          <w:szCs w:val="22"/>
        </w:rPr>
        <w:t>as well as regional subsidiary bodies and activities and Member States’ capacity building. This is a result of</w:t>
      </w:r>
      <w:r w:rsidRPr="00B24A6D">
        <w:rPr>
          <w:rFonts w:asciiTheme="minorBidi" w:hAnsiTheme="minorBidi" w:cstheme="minorBidi"/>
          <w:sz w:val="22"/>
          <w:szCs w:val="22"/>
        </w:rPr>
        <w:t xml:space="preserve"> the increased budget for 2024</w:t>
      </w:r>
      <w:r w:rsidR="00B24A6D">
        <w:rPr>
          <w:rFonts w:asciiTheme="minorBidi" w:hAnsiTheme="minorBidi" w:cstheme="minorBidi"/>
          <w:sz w:val="22"/>
          <w:szCs w:val="22"/>
        </w:rPr>
        <w:t>–</w:t>
      </w:r>
      <w:r w:rsidRPr="00B24A6D">
        <w:rPr>
          <w:rFonts w:asciiTheme="minorBidi" w:hAnsiTheme="minorBidi" w:cstheme="minorBidi"/>
          <w:sz w:val="22"/>
          <w:szCs w:val="22"/>
        </w:rPr>
        <w:t>2025 approved thanks to IOC Member States’s ownership and support</w:t>
      </w:r>
      <w:r w:rsidR="00D81B40" w:rsidRPr="00B24A6D">
        <w:rPr>
          <w:rFonts w:asciiTheme="minorBidi" w:hAnsiTheme="minorBidi" w:cstheme="minorBidi"/>
          <w:sz w:val="22"/>
          <w:szCs w:val="22"/>
        </w:rPr>
        <w:t xml:space="preserve">. </w:t>
      </w:r>
    </w:p>
    <w:p w14:paraId="76734B9D" w14:textId="0D64B151" w:rsidR="00D81B40" w:rsidRPr="00240B92" w:rsidRDefault="00D81B40" w:rsidP="00B24A6D">
      <w:pPr>
        <w:pStyle w:val="Paragraphedeliste"/>
        <w:numPr>
          <w:ilvl w:val="0"/>
          <w:numId w:val="27"/>
        </w:numPr>
        <w:tabs>
          <w:tab w:val="clear" w:pos="567"/>
          <w:tab w:val="left" w:pos="709"/>
        </w:tabs>
        <w:spacing w:after="240"/>
        <w:ind w:left="0" w:firstLine="0"/>
        <w:contextualSpacing w:val="0"/>
        <w:jc w:val="both"/>
        <w:rPr>
          <w:rFonts w:asciiTheme="minorBidi" w:hAnsiTheme="minorBidi" w:cstheme="minorBidi"/>
          <w:color w:val="000000"/>
          <w:sz w:val="22"/>
          <w:szCs w:val="22"/>
          <w:lang w:val="en-US"/>
        </w:rPr>
      </w:pPr>
      <w:r>
        <w:rPr>
          <w:rFonts w:asciiTheme="minorBidi" w:hAnsiTheme="minorBidi" w:cstheme="minorBidi"/>
          <w:color w:val="000000"/>
          <w:sz w:val="22"/>
          <w:szCs w:val="22"/>
        </w:rPr>
        <w:t xml:space="preserve">This progress notwithstanding, much remains </w:t>
      </w:r>
      <w:r w:rsidR="00240B92">
        <w:rPr>
          <w:rFonts w:asciiTheme="minorBidi" w:hAnsiTheme="minorBidi" w:cstheme="minorBidi"/>
          <w:color w:val="000000"/>
          <w:sz w:val="22"/>
          <w:szCs w:val="22"/>
        </w:rPr>
        <w:t xml:space="preserve">to be done </w:t>
      </w:r>
      <w:r>
        <w:rPr>
          <w:rFonts w:asciiTheme="minorBidi" w:hAnsiTheme="minorBidi" w:cstheme="minorBidi"/>
          <w:color w:val="000000"/>
          <w:sz w:val="22"/>
          <w:szCs w:val="22"/>
        </w:rPr>
        <w:t>to fill our collective knowledge gaps about the ocean</w:t>
      </w:r>
      <w:r w:rsidR="00B24A6D">
        <w:rPr>
          <w:rFonts w:asciiTheme="minorBidi" w:hAnsiTheme="minorBidi" w:cstheme="minorBidi"/>
          <w:color w:val="000000"/>
          <w:sz w:val="22"/>
          <w:szCs w:val="22"/>
        </w:rPr>
        <w:t>—</w:t>
      </w:r>
      <w:r>
        <w:rPr>
          <w:rFonts w:asciiTheme="minorBidi" w:hAnsiTheme="minorBidi" w:cstheme="minorBidi"/>
          <w:color w:val="000000"/>
          <w:sz w:val="22"/>
          <w:szCs w:val="22"/>
          <w:lang w:val="en-US"/>
        </w:rPr>
        <w:t xml:space="preserve">both in terms of </w:t>
      </w:r>
      <w:r w:rsidRPr="00B24A6D">
        <w:rPr>
          <w:rFonts w:asciiTheme="minorBidi" w:hAnsiTheme="minorBidi" w:cstheme="minorBidi"/>
          <w:sz w:val="22"/>
          <w:szCs w:val="22"/>
        </w:rPr>
        <w:t>the</w:t>
      </w:r>
      <w:r>
        <w:rPr>
          <w:rFonts w:asciiTheme="minorBidi" w:hAnsiTheme="minorBidi" w:cstheme="minorBidi"/>
          <w:color w:val="000000"/>
          <w:sz w:val="22"/>
          <w:szCs w:val="22"/>
          <w:lang w:val="en-US"/>
        </w:rPr>
        <w:t xml:space="preserve"> knowledge we have never had, and in terms of the new knowledge needed </w:t>
      </w:r>
      <w:proofErr w:type="gramStart"/>
      <w:r>
        <w:rPr>
          <w:rFonts w:asciiTheme="minorBidi" w:hAnsiTheme="minorBidi" w:cstheme="minorBidi"/>
          <w:color w:val="000000"/>
          <w:sz w:val="22"/>
          <w:szCs w:val="22"/>
          <w:lang w:val="en-US"/>
        </w:rPr>
        <w:t>as a result of</w:t>
      </w:r>
      <w:proofErr w:type="gramEnd"/>
      <w:r>
        <w:rPr>
          <w:rFonts w:asciiTheme="minorBidi" w:hAnsiTheme="minorBidi" w:cstheme="minorBidi"/>
          <w:color w:val="000000"/>
          <w:sz w:val="22"/>
          <w:szCs w:val="22"/>
          <w:lang w:val="en-US"/>
        </w:rPr>
        <w:t xml:space="preserve"> the dramatic changes unfolding in ocean ecosystems. There is a need to build, expand and sustain the infrastructure </w:t>
      </w:r>
      <w:r w:rsidR="003E08F0">
        <w:rPr>
          <w:rFonts w:asciiTheme="minorBidi" w:hAnsiTheme="minorBidi" w:cstheme="minorBidi"/>
          <w:color w:val="000000"/>
          <w:sz w:val="22"/>
          <w:szCs w:val="22"/>
          <w:lang w:val="en-US"/>
        </w:rPr>
        <w:t xml:space="preserve">for ocean observations and data, and for structural and systemic changes to the way we finance it. This will be key to sustainable ocean management at national level and for </w:t>
      </w:r>
      <w:r w:rsidR="00251980">
        <w:rPr>
          <w:rFonts w:asciiTheme="minorBidi" w:hAnsiTheme="minorBidi" w:cstheme="minorBidi"/>
          <w:color w:val="000000"/>
          <w:sz w:val="22"/>
          <w:szCs w:val="22"/>
          <w:lang w:val="en-US"/>
        </w:rPr>
        <w:t xml:space="preserve">effective implementation of international agreements such as the BBNJ treaty. </w:t>
      </w:r>
      <w:r w:rsidR="003E08F0">
        <w:rPr>
          <w:rFonts w:asciiTheme="minorBidi" w:hAnsiTheme="minorBidi" w:cstheme="minorBidi"/>
          <w:color w:val="000000"/>
          <w:sz w:val="22"/>
          <w:szCs w:val="22"/>
          <w:lang w:val="en-US"/>
        </w:rPr>
        <w:t xml:space="preserve">Given the </w:t>
      </w:r>
      <w:r w:rsidR="00251980">
        <w:rPr>
          <w:rFonts w:asciiTheme="minorBidi" w:hAnsiTheme="minorBidi" w:cstheme="minorBidi"/>
          <w:color w:val="000000"/>
          <w:sz w:val="22"/>
          <w:szCs w:val="22"/>
          <w:lang w:val="en-US"/>
        </w:rPr>
        <w:t>significance</w:t>
      </w:r>
      <w:r w:rsidR="003E08F0">
        <w:rPr>
          <w:rFonts w:asciiTheme="minorBidi" w:hAnsiTheme="minorBidi" w:cstheme="minorBidi"/>
          <w:color w:val="000000"/>
          <w:sz w:val="22"/>
          <w:szCs w:val="22"/>
          <w:lang w:val="en-US"/>
        </w:rPr>
        <w:t xml:space="preserve"> of the ocean in economic</w:t>
      </w:r>
      <w:r w:rsidR="00251980">
        <w:rPr>
          <w:rFonts w:asciiTheme="minorBidi" w:hAnsiTheme="minorBidi" w:cstheme="minorBidi"/>
          <w:color w:val="000000"/>
          <w:sz w:val="22"/>
          <w:szCs w:val="22"/>
          <w:lang w:val="en-US"/>
        </w:rPr>
        <w:t xml:space="preserve"> and </w:t>
      </w:r>
      <w:r w:rsidR="003E08F0">
        <w:rPr>
          <w:rFonts w:asciiTheme="minorBidi" w:hAnsiTheme="minorBidi" w:cstheme="minorBidi"/>
          <w:color w:val="000000"/>
          <w:sz w:val="22"/>
          <w:szCs w:val="22"/>
          <w:lang w:val="en-US"/>
        </w:rPr>
        <w:t xml:space="preserve">societal terms, as well as the implications at planetary scale of the changes rapidly unfolding in the ocean, ocean observations and data should be considered on </w:t>
      </w:r>
      <w:r w:rsidR="00B24A6D">
        <w:rPr>
          <w:rFonts w:asciiTheme="minorBidi" w:hAnsiTheme="minorBidi" w:cstheme="minorBidi"/>
          <w:color w:val="000000"/>
          <w:sz w:val="22"/>
          <w:szCs w:val="22"/>
          <w:lang w:val="en-US"/>
        </w:rPr>
        <w:t xml:space="preserve">a </w:t>
      </w:r>
      <w:r w:rsidR="003E08F0">
        <w:rPr>
          <w:rFonts w:asciiTheme="minorBidi" w:hAnsiTheme="minorBidi" w:cstheme="minorBidi"/>
          <w:color w:val="000000"/>
          <w:sz w:val="22"/>
          <w:szCs w:val="22"/>
          <w:lang w:val="en-US"/>
        </w:rPr>
        <w:t xml:space="preserve">par with critical infrastructure. </w:t>
      </w:r>
    </w:p>
    <w:p w14:paraId="6E286F5C" w14:textId="38D70A86" w:rsidR="00192AAB" w:rsidRPr="00192AAB" w:rsidRDefault="003E08F0" w:rsidP="00B24A6D">
      <w:pPr>
        <w:pStyle w:val="Paragraphedeliste"/>
        <w:numPr>
          <w:ilvl w:val="0"/>
          <w:numId w:val="27"/>
        </w:numPr>
        <w:tabs>
          <w:tab w:val="clear" w:pos="567"/>
          <w:tab w:val="left" w:pos="709"/>
        </w:tabs>
        <w:spacing w:after="240"/>
        <w:ind w:left="0" w:firstLine="0"/>
        <w:contextualSpacing w:val="0"/>
        <w:jc w:val="both"/>
        <w:rPr>
          <w:rFonts w:asciiTheme="minorBidi" w:hAnsiTheme="minorBidi" w:cstheme="minorBidi"/>
          <w:sz w:val="22"/>
          <w:szCs w:val="22"/>
        </w:rPr>
      </w:pPr>
      <w:r>
        <w:rPr>
          <w:rFonts w:asciiTheme="minorBidi" w:hAnsiTheme="minorBidi" w:cstheme="minorBidi"/>
          <w:sz w:val="22"/>
          <w:szCs w:val="22"/>
        </w:rPr>
        <w:t>This was one of the key takeaways from deliberations at the</w:t>
      </w:r>
      <w:r w:rsidR="00192AAB" w:rsidRPr="00192AAB">
        <w:rPr>
          <w:rFonts w:asciiTheme="minorBidi" w:hAnsiTheme="minorBidi" w:cstheme="minorBidi"/>
          <w:sz w:val="22"/>
          <w:szCs w:val="22"/>
        </w:rPr>
        <w:t xml:space="preserve"> 2024 Ocean Decade Conference in Barcelona (10</w:t>
      </w:r>
      <w:r w:rsidR="00B24A6D">
        <w:rPr>
          <w:rFonts w:asciiTheme="minorBidi" w:hAnsiTheme="minorBidi" w:cstheme="minorBidi"/>
          <w:sz w:val="22"/>
          <w:szCs w:val="22"/>
        </w:rPr>
        <w:t>–</w:t>
      </w:r>
      <w:r w:rsidR="00192AAB" w:rsidRPr="00192AAB">
        <w:rPr>
          <w:rFonts w:asciiTheme="minorBidi" w:hAnsiTheme="minorBidi" w:cstheme="minorBidi"/>
          <w:sz w:val="22"/>
          <w:szCs w:val="22"/>
        </w:rPr>
        <w:t>12 April)</w:t>
      </w:r>
      <w:r>
        <w:rPr>
          <w:rFonts w:asciiTheme="minorBidi" w:hAnsiTheme="minorBidi" w:cstheme="minorBidi"/>
          <w:sz w:val="22"/>
          <w:szCs w:val="22"/>
        </w:rPr>
        <w:t>. The conference</w:t>
      </w:r>
      <w:r w:rsidR="00192AAB" w:rsidRPr="00192AAB">
        <w:rPr>
          <w:rFonts w:asciiTheme="minorBidi" w:hAnsiTheme="minorBidi" w:cstheme="minorBidi"/>
          <w:sz w:val="22"/>
          <w:szCs w:val="22"/>
        </w:rPr>
        <w:t xml:space="preserve"> brought together the global ocean community to present achievements made over the last three years, take </w:t>
      </w:r>
      <w:proofErr w:type="gramStart"/>
      <w:r w:rsidR="00192AAB" w:rsidRPr="00192AAB">
        <w:rPr>
          <w:rFonts w:asciiTheme="minorBidi" w:hAnsiTheme="minorBidi" w:cstheme="minorBidi"/>
          <w:sz w:val="22"/>
          <w:szCs w:val="22"/>
        </w:rPr>
        <w:t>stock</w:t>
      </w:r>
      <w:proofErr w:type="gramEnd"/>
      <w:r w:rsidR="00192AAB" w:rsidRPr="00192AAB">
        <w:rPr>
          <w:rFonts w:asciiTheme="minorBidi" w:hAnsiTheme="minorBidi" w:cstheme="minorBidi"/>
          <w:sz w:val="22"/>
          <w:szCs w:val="22"/>
        </w:rPr>
        <w:t xml:space="preserve"> and set a collective vision towards 2030. </w:t>
      </w:r>
      <w:r w:rsidR="00AD3E6C">
        <w:rPr>
          <w:rFonts w:asciiTheme="minorBidi" w:hAnsiTheme="minorBidi" w:cstheme="minorBidi"/>
          <w:sz w:val="22"/>
          <w:szCs w:val="22"/>
        </w:rPr>
        <w:t>Over 1</w:t>
      </w:r>
      <w:r w:rsidR="00B24A6D">
        <w:rPr>
          <w:rFonts w:asciiTheme="minorBidi" w:hAnsiTheme="minorBidi" w:cstheme="minorBidi"/>
          <w:sz w:val="22"/>
          <w:szCs w:val="22"/>
        </w:rPr>
        <w:t>,</w:t>
      </w:r>
      <w:r w:rsidR="00AD3E6C">
        <w:rPr>
          <w:rFonts w:asciiTheme="minorBidi" w:hAnsiTheme="minorBidi" w:cstheme="minorBidi"/>
          <w:sz w:val="22"/>
          <w:szCs w:val="22"/>
        </w:rPr>
        <w:t>500 in-person participants from 124 countries and over 3</w:t>
      </w:r>
      <w:r w:rsidR="00B24A6D">
        <w:rPr>
          <w:rFonts w:asciiTheme="minorBidi" w:hAnsiTheme="minorBidi" w:cstheme="minorBidi"/>
          <w:sz w:val="22"/>
          <w:szCs w:val="22"/>
        </w:rPr>
        <w:t>,</w:t>
      </w:r>
      <w:r w:rsidR="00AD3E6C">
        <w:rPr>
          <w:rFonts w:asciiTheme="minorBidi" w:hAnsiTheme="minorBidi" w:cstheme="minorBidi"/>
          <w:sz w:val="22"/>
          <w:szCs w:val="22"/>
        </w:rPr>
        <w:t xml:space="preserve">000 virtual participants participated in this milestone event </w:t>
      </w:r>
      <w:r w:rsidR="00730172">
        <w:rPr>
          <w:rFonts w:asciiTheme="minorBidi" w:hAnsiTheme="minorBidi" w:cstheme="minorBidi"/>
          <w:sz w:val="22"/>
          <w:szCs w:val="22"/>
        </w:rPr>
        <w:t>and</w:t>
      </w:r>
      <w:r w:rsidR="00AD3E6C">
        <w:rPr>
          <w:rFonts w:asciiTheme="minorBidi" w:hAnsiTheme="minorBidi" w:cstheme="minorBidi"/>
          <w:sz w:val="22"/>
          <w:szCs w:val="22"/>
        </w:rPr>
        <w:t xml:space="preserve"> </w:t>
      </w:r>
      <w:r w:rsidR="00730172">
        <w:rPr>
          <w:rFonts w:asciiTheme="minorBidi" w:hAnsiTheme="minorBidi" w:cstheme="minorBidi"/>
          <w:sz w:val="22"/>
          <w:szCs w:val="22"/>
        </w:rPr>
        <w:t xml:space="preserve">identified priorities for the Ocean Decade in coming years that are documented in </w:t>
      </w:r>
      <w:hyperlink r:id="rId8" w:history="1">
        <w:r w:rsidR="00730172" w:rsidRPr="00B24A6D">
          <w:rPr>
            <w:rStyle w:val="Lienhypertexte"/>
            <w:rFonts w:asciiTheme="minorBidi" w:hAnsiTheme="minorBidi" w:cstheme="minorBidi"/>
            <w:i/>
            <w:iCs/>
            <w:sz w:val="22"/>
            <w:szCs w:val="22"/>
          </w:rPr>
          <w:t>The B</w:t>
        </w:r>
        <w:r w:rsidR="00730172" w:rsidRPr="00B24A6D">
          <w:rPr>
            <w:rStyle w:val="Lienhypertexte"/>
            <w:rFonts w:asciiTheme="minorBidi" w:hAnsiTheme="minorBidi" w:cstheme="minorBidi"/>
            <w:i/>
            <w:iCs/>
            <w:sz w:val="22"/>
            <w:szCs w:val="22"/>
          </w:rPr>
          <w:t>a</w:t>
        </w:r>
        <w:r w:rsidR="00730172" w:rsidRPr="00B24A6D">
          <w:rPr>
            <w:rStyle w:val="Lienhypertexte"/>
            <w:rFonts w:asciiTheme="minorBidi" w:hAnsiTheme="minorBidi" w:cstheme="minorBidi"/>
            <w:i/>
            <w:iCs/>
            <w:sz w:val="22"/>
            <w:szCs w:val="22"/>
          </w:rPr>
          <w:t>rcelona Statement</w:t>
        </w:r>
      </w:hyperlink>
      <w:r w:rsidR="00730172">
        <w:rPr>
          <w:rFonts w:asciiTheme="minorBidi" w:hAnsiTheme="minorBidi" w:cstheme="minorBidi"/>
          <w:sz w:val="22"/>
          <w:szCs w:val="22"/>
        </w:rPr>
        <w:t xml:space="preserve">. </w:t>
      </w:r>
    </w:p>
    <w:p w14:paraId="150C2799" w14:textId="01F2957B" w:rsidR="00192AAB" w:rsidRDefault="00192AAB" w:rsidP="00B24A6D">
      <w:pPr>
        <w:pStyle w:val="Paragraphedeliste"/>
        <w:numPr>
          <w:ilvl w:val="0"/>
          <w:numId w:val="27"/>
        </w:numPr>
        <w:tabs>
          <w:tab w:val="clear" w:pos="567"/>
          <w:tab w:val="left" w:pos="709"/>
        </w:tabs>
        <w:spacing w:after="240"/>
        <w:ind w:left="0" w:firstLine="0"/>
        <w:contextualSpacing w:val="0"/>
        <w:jc w:val="both"/>
        <w:rPr>
          <w:rFonts w:asciiTheme="minorBidi" w:hAnsiTheme="minorBidi" w:cstheme="minorBidi"/>
          <w:sz w:val="22"/>
          <w:szCs w:val="22"/>
        </w:rPr>
      </w:pPr>
      <w:r w:rsidRPr="00192AAB">
        <w:rPr>
          <w:rFonts w:asciiTheme="minorBidi" w:hAnsiTheme="minorBidi" w:cstheme="minorBidi"/>
          <w:sz w:val="22"/>
          <w:szCs w:val="22"/>
        </w:rPr>
        <w:t>These new directions for the</w:t>
      </w:r>
      <w:r w:rsidR="00240B92">
        <w:rPr>
          <w:rFonts w:asciiTheme="minorBidi" w:hAnsiTheme="minorBidi" w:cstheme="minorBidi"/>
          <w:sz w:val="22"/>
          <w:szCs w:val="22"/>
        </w:rPr>
        <w:t xml:space="preserve"> Ocean </w:t>
      </w:r>
      <w:r w:rsidRPr="00192AAB">
        <w:rPr>
          <w:rFonts w:asciiTheme="minorBidi" w:hAnsiTheme="minorBidi" w:cstheme="minorBidi"/>
          <w:sz w:val="22"/>
          <w:szCs w:val="22"/>
        </w:rPr>
        <w:t>Decade will provide a major contribution for the 2025 UN Ocean Conference, hosted by France and Costa Rica, and will highlight where further national and international efforts will be required to achieve SDG14.</w:t>
      </w:r>
    </w:p>
    <w:p w14:paraId="52FA78A7" w14:textId="03B16382" w:rsidR="00C67243" w:rsidRDefault="00251980" w:rsidP="00B24A6D">
      <w:pPr>
        <w:pStyle w:val="Paragraphedeliste"/>
        <w:numPr>
          <w:ilvl w:val="0"/>
          <w:numId w:val="27"/>
        </w:numPr>
        <w:tabs>
          <w:tab w:val="clear" w:pos="567"/>
          <w:tab w:val="left" w:pos="709"/>
        </w:tabs>
        <w:spacing w:after="240"/>
        <w:ind w:left="0" w:firstLine="0"/>
        <w:contextualSpacing w:val="0"/>
        <w:jc w:val="both"/>
        <w:rPr>
          <w:rFonts w:asciiTheme="minorBidi" w:hAnsiTheme="minorBidi" w:cstheme="minorBidi"/>
          <w:sz w:val="22"/>
          <w:szCs w:val="22"/>
        </w:rPr>
      </w:pPr>
      <w:r>
        <w:rPr>
          <w:rFonts w:asciiTheme="minorBidi" w:hAnsiTheme="minorBidi" w:cstheme="minorBidi"/>
          <w:sz w:val="22"/>
          <w:szCs w:val="22"/>
        </w:rPr>
        <w:t xml:space="preserve">The Barcelona </w:t>
      </w:r>
      <w:r w:rsidR="00B24A6D">
        <w:rPr>
          <w:rFonts w:asciiTheme="minorBidi" w:hAnsiTheme="minorBidi" w:cstheme="minorBidi"/>
          <w:sz w:val="22"/>
          <w:szCs w:val="22"/>
        </w:rPr>
        <w:t xml:space="preserve">Conference </w:t>
      </w:r>
      <w:r>
        <w:rPr>
          <w:rFonts w:asciiTheme="minorBidi" w:hAnsiTheme="minorBidi" w:cstheme="minorBidi"/>
          <w:sz w:val="22"/>
          <w:szCs w:val="22"/>
        </w:rPr>
        <w:t>demonstrated how the Ocean Decade, with its purpose of supporting sustainable development and its mobilisation</w:t>
      </w:r>
      <w:r w:rsidR="00BC1D30">
        <w:rPr>
          <w:rFonts w:asciiTheme="minorBidi" w:hAnsiTheme="minorBidi" w:cstheme="minorBidi"/>
          <w:sz w:val="22"/>
          <w:szCs w:val="22"/>
        </w:rPr>
        <w:t xml:space="preserve"> of actors</w:t>
      </w:r>
      <w:r>
        <w:rPr>
          <w:rFonts w:asciiTheme="minorBidi" w:hAnsiTheme="minorBidi" w:cstheme="minorBidi"/>
          <w:sz w:val="22"/>
          <w:szCs w:val="22"/>
        </w:rPr>
        <w:t xml:space="preserve"> across science, </w:t>
      </w:r>
      <w:r w:rsidR="00BC1D30">
        <w:rPr>
          <w:rFonts w:asciiTheme="minorBidi" w:hAnsiTheme="minorBidi" w:cstheme="minorBidi"/>
          <w:sz w:val="22"/>
          <w:szCs w:val="22"/>
        </w:rPr>
        <w:t xml:space="preserve">government, </w:t>
      </w:r>
      <w:r w:rsidR="00240B92">
        <w:rPr>
          <w:rFonts w:asciiTheme="minorBidi" w:hAnsiTheme="minorBidi" w:cstheme="minorBidi"/>
          <w:sz w:val="22"/>
          <w:szCs w:val="22"/>
        </w:rPr>
        <w:t>industry,</w:t>
      </w:r>
      <w:r w:rsidR="00BC1D30">
        <w:rPr>
          <w:rFonts w:asciiTheme="minorBidi" w:hAnsiTheme="minorBidi" w:cstheme="minorBidi"/>
          <w:sz w:val="22"/>
          <w:szCs w:val="22"/>
        </w:rPr>
        <w:t xml:space="preserve"> and philanthropy</w:t>
      </w:r>
      <w:r>
        <w:rPr>
          <w:rFonts w:asciiTheme="minorBidi" w:hAnsiTheme="minorBidi" w:cstheme="minorBidi"/>
          <w:sz w:val="22"/>
          <w:szCs w:val="22"/>
        </w:rPr>
        <w:t xml:space="preserve">, can inspire efforts to strengthen the IOC’s ability long term to deliver on its full purpose, including the application of knowledge to improving management, sustainable development, the protection of the marine environment </w:t>
      </w:r>
      <w:r w:rsidR="00196759">
        <w:rPr>
          <w:rFonts w:asciiTheme="minorBidi" w:hAnsiTheme="minorBidi" w:cstheme="minorBidi"/>
          <w:sz w:val="22"/>
          <w:szCs w:val="22"/>
        </w:rPr>
        <w:t>and decision-making processes.</w:t>
      </w:r>
      <w:r>
        <w:rPr>
          <w:rFonts w:asciiTheme="minorBidi" w:hAnsiTheme="minorBidi" w:cstheme="minorBidi"/>
          <w:sz w:val="22"/>
          <w:szCs w:val="22"/>
        </w:rPr>
        <w:t xml:space="preserve"> </w:t>
      </w:r>
      <w:r w:rsidR="00196759">
        <w:rPr>
          <w:rFonts w:asciiTheme="minorBidi" w:hAnsiTheme="minorBidi" w:cstheme="minorBidi"/>
          <w:sz w:val="22"/>
          <w:szCs w:val="22"/>
        </w:rPr>
        <w:t xml:space="preserve">In this context, the </w:t>
      </w:r>
      <w:r w:rsidR="00BC1D30">
        <w:rPr>
          <w:rFonts w:asciiTheme="minorBidi" w:hAnsiTheme="minorBidi" w:cstheme="minorBidi"/>
          <w:sz w:val="22"/>
          <w:szCs w:val="22"/>
        </w:rPr>
        <w:t xml:space="preserve">timely </w:t>
      </w:r>
      <w:r w:rsidR="00196759">
        <w:rPr>
          <w:rFonts w:asciiTheme="minorBidi" w:hAnsiTheme="minorBidi" w:cstheme="minorBidi"/>
          <w:sz w:val="22"/>
          <w:szCs w:val="22"/>
        </w:rPr>
        <w:t xml:space="preserve">decision made by the Assembly last year to </w:t>
      </w:r>
      <w:r w:rsidR="0099223E">
        <w:rPr>
          <w:rFonts w:asciiTheme="minorBidi" w:hAnsiTheme="minorBidi" w:cstheme="minorBidi"/>
          <w:sz w:val="22"/>
          <w:szCs w:val="22"/>
        </w:rPr>
        <w:t xml:space="preserve">begin the new phase of </w:t>
      </w:r>
      <w:r w:rsidR="00C11112">
        <w:rPr>
          <w:rFonts w:asciiTheme="minorBidi" w:hAnsiTheme="minorBidi" w:cstheme="minorBidi"/>
          <w:sz w:val="22"/>
          <w:szCs w:val="22"/>
        </w:rPr>
        <w:t>the</w:t>
      </w:r>
      <w:r w:rsidR="00196759">
        <w:rPr>
          <w:rFonts w:asciiTheme="minorBidi" w:hAnsiTheme="minorBidi" w:cstheme="minorBidi"/>
          <w:sz w:val="22"/>
          <w:szCs w:val="22"/>
        </w:rPr>
        <w:t xml:space="preserve"> </w:t>
      </w:r>
      <w:r w:rsidR="00B24A6D">
        <w:rPr>
          <w:rFonts w:asciiTheme="minorBidi" w:hAnsiTheme="minorBidi" w:cstheme="minorBidi"/>
          <w:sz w:val="22"/>
          <w:szCs w:val="22"/>
        </w:rPr>
        <w:t>‘</w:t>
      </w:r>
      <w:r w:rsidR="00196759">
        <w:rPr>
          <w:rFonts w:asciiTheme="minorBidi" w:hAnsiTheme="minorBidi" w:cstheme="minorBidi"/>
          <w:sz w:val="22"/>
          <w:szCs w:val="22"/>
        </w:rPr>
        <w:t>IOC and the Future of the Ocean</w:t>
      </w:r>
      <w:r w:rsidR="00B24A6D">
        <w:rPr>
          <w:rFonts w:asciiTheme="minorBidi" w:hAnsiTheme="minorBidi" w:cstheme="minorBidi"/>
          <w:sz w:val="22"/>
          <w:szCs w:val="22"/>
        </w:rPr>
        <w:t>’</w:t>
      </w:r>
      <w:r w:rsidR="00BC1D30">
        <w:rPr>
          <w:rFonts w:asciiTheme="minorBidi" w:hAnsiTheme="minorBidi" w:cstheme="minorBidi"/>
          <w:sz w:val="22"/>
          <w:szCs w:val="22"/>
        </w:rPr>
        <w:t xml:space="preserve"> </w:t>
      </w:r>
      <w:r w:rsidR="00C11112">
        <w:rPr>
          <w:rFonts w:asciiTheme="minorBidi" w:hAnsiTheme="minorBidi" w:cstheme="minorBidi"/>
          <w:sz w:val="22"/>
          <w:szCs w:val="22"/>
        </w:rPr>
        <w:t xml:space="preserve">consultation process </w:t>
      </w:r>
      <w:r w:rsidR="00BC1D30">
        <w:rPr>
          <w:rFonts w:asciiTheme="minorBidi" w:hAnsiTheme="minorBidi" w:cstheme="minorBidi"/>
          <w:sz w:val="22"/>
          <w:szCs w:val="22"/>
        </w:rPr>
        <w:t xml:space="preserve">will be an important exercise to be properly launched at the Executive Council. </w:t>
      </w:r>
    </w:p>
    <w:p w14:paraId="317F7819" w14:textId="2647900B" w:rsidR="00C67243" w:rsidRDefault="00C67243" w:rsidP="00B24A6D">
      <w:pPr>
        <w:pStyle w:val="Paragraphedeliste"/>
        <w:numPr>
          <w:ilvl w:val="0"/>
          <w:numId w:val="27"/>
        </w:numPr>
        <w:tabs>
          <w:tab w:val="clear" w:pos="567"/>
          <w:tab w:val="left" w:pos="709"/>
        </w:tabs>
        <w:spacing w:after="240"/>
        <w:ind w:left="0" w:firstLine="0"/>
        <w:contextualSpacing w:val="0"/>
        <w:jc w:val="both"/>
        <w:rPr>
          <w:rFonts w:asciiTheme="minorBidi" w:hAnsiTheme="minorBidi" w:cstheme="minorBidi"/>
          <w:sz w:val="22"/>
          <w:szCs w:val="22"/>
          <w:lang w:val="en-US"/>
        </w:rPr>
      </w:pPr>
      <w:r w:rsidRPr="00C67243">
        <w:rPr>
          <w:rFonts w:asciiTheme="minorBidi" w:hAnsiTheme="minorBidi" w:cstheme="minorBidi"/>
          <w:sz w:val="22"/>
          <w:szCs w:val="22"/>
          <w:lang w:val="en-US"/>
        </w:rPr>
        <w:t>Document IOC-EC/57.3.</w:t>
      </w:r>
      <w:proofErr w:type="gramStart"/>
      <w:r w:rsidRPr="00C67243">
        <w:rPr>
          <w:rFonts w:asciiTheme="minorBidi" w:hAnsiTheme="minorBidi" w:cstheme="minorBidi"/>
          <w:sz w:val="22"/>
          <w:szCs w:val="22"/>
          <w:lang w:val="en-US"/>
        </w:rPr>
        <w:t>1.Doc</w:t>
      </w:r>
      <w:proofErr w:type="gramEnd"/>
      <w:r w:rsidRPr="00C67243">
        <w:rPr>
          <w:rFonts w:asciiTheme="minorBidi" w:hAnsiTheme="minorBidi" w:cstheme="minorBidi"/>
          <w:sz w:val="22"/>
          <w:szCs w:val="22"/>
          <w:lang w:val="en-US"/>
        </w:rPr>
        <w:t>(4)</w:t>
      </w:r>
      <w:r w:rsidR="00B24A6D">
        <w:rPr>
          <w:rFonts w:asciiTheme="minorBidi" w:hAnsiTheme="minorBidi" w:cstheme="minorBidi"/>
          <w:sz w:val="22"/>
          <w:szCs w:val="22"/>
          <w:lang w:val="en-US"/>
        </w:rPr>
        <w:t>,</w:t>
      </w:r>
      <w:r w:rsidRPr="00C67243">
        <w:rPr>
          <w:rFonts w:asciiTheme="minorBidi" w:hAnsiTheme="minorBidi" w:cstheme="minorBidi"/>
          <w:sz w:val="22"/>
          <w:szCs w:val="22"/>
          <w:lang w:val="en-US"/>
        </w:rPr>
        <w:t xml:space="preserve"> presented to</w:t>
      </w:r>
      <w:r>
        <w:rPr>
          <w:rFonts w:asciiTheme="minorBidi" w:hAnsiTheme="minorBidi" w:cstheme="minorBidi"/>
          <w:sz w:val="22"/>
          <w:szCs w:val="22"/>
          <w:lang w:val="en-US"/>
        </w:rPr>
        <w:t xml:space="preserve"> the Executive Council</w:t>
      </w:r>
      <w:r w:rsidR="00B24A6D">
        <w:rPr>
          <w:rFonts w:asciiTheme="minorBidi" w:hAnsiTheme="minorBidi" w:cstheme="minorBidi"/>
          <w:sz w:val="22"/>
          <w:szCs w:val="22"/>
          <w:lang w:val="en-US"/>
        </w:rPr>
        <w:t>,</w:t>
      </w:r>
      <w:r>
        <w:rPr>
          <w:rFonts w:asciiTheme="minorBidi" w:hAnsiTheme="minorBidi" w:cstheme="minorBidi"/>
          <w:sz w:val="22"/>
          <w:szCs w:val="22"/>
          <w:lang w:val="en-US"/>
        </w:rPr>
        <w:t xml:space="preserve"> </w:t>
      </w:r>
      <w:r w:rsidR="00801A83">
        <w:rPr>
          <w:rFonts w:asciiTheme="minorBidi" w:hAnsiTheme="minorBidi" w:cstheme="minorBidi"/>
          <w:sz w:val="22"/>
          <w:szCs w:val="22"/>
          <w:lang w:val="en-US"/>
        </w:rPr>
        <w:t>outlines</w:t>
      </w:r>
      <w:r w:rsidR="002854CA">
        <w:rPr>
          <w:rFonts w:asciiTheme="minorBidi" w:hAnsiTheme="minorBidi" w:cstheme="minorBidi"/>
          <w:sz w:val="22"/>
          <w:szCs w:val="22"/>
          <w:lang w:val="en-US"/>
        </w:rPr>
        <w:t xml:space="preserve"> the proposed three</w:t>
      </w:r>
      <w:r w:rsidR="00B24A6D">
        <w:rPr>
          <w:rFonts w:asciiTheme="minorBidi" w:hAnsiTheme="minorBidi" w:cstheme="minorBidi"/>
          <w:sz w:val="22"/>
          <w:szCs w:val="22"/>
          <w:lang w:val="en-US"/>
        </w:rPr>
        <w:t>-</w:t>
      </w:r>
      <w:r w:rsidR="002854CA">
        <w:rPr>
          <w:rFonts w:asciiTheme="minorBidi" w:hAnsiTheme="minorBidi" w:cstheme="minorBidi"/>
          <w:sz w:val="22"/>
          <w:szCs w:val="22"/>
          <w:lang w:val="en-US"/>
        </w:rPr>
        <w:t xml:space="preserve">step consultation </w:t>
      </w:r>
      <w:r w:rsidR="002854CA" w:rsidRPr="00B24A6D">
        <w:rPr>
          <w:rFonts w:asciiTheme="minorBidi" w:hAnsiTheme="minorBidi" w:cstheme="minorBidi"/>
          <w:sz w:val="22"/>
          <w:szCs w:val="22"/>
        </w:rPr>
        <w:t>process</w:t>
      </w:r>
      <w:r w:rsidR="002854CA">
        <w:rPr>
          <w:rFonts w:asciiTheme="minorBidi" w:hAnsiTheme="minorBidi" w:cstheme="minorBidi"/>
          <w:sz w:val="22"/>
          <w:szCs w:val="22"/>
          <w:lang w:val="en-US"/>
        </w:rPr>
        <w:t xml:space="preserve">. With a wide thematic scope and covering national, regional and global levels, it will </w:t>
      </w:r>
      <w:r w:rsidR="001B2228">
        <w:rPr>
          <w:rFonts w:asciiTheme="minorBidi" w:hAnsiTheme="minorBidi" w:cstheme="minorBidi"/>
          <w:sz w:val="22"/>
          <w:szCs w:val="22"/>
          <w:lang w:val="en-US"/>
        </w:rPr>
        <w:t>allo</w:t>
      </w:r>
      <w:r w:rsidR="00C47D39">
        <w:rPr>
          <w:rFonts w:asciiTheme="minorBidi" w:hAnsiTheme="minorBidi" w:cstheme="minorBidi"/>
          <w:sz w:val="22"/>
          <w:szCs w:val="22"/>
          <w:lang w:val="en-US"/>
        </w:rPr>
        <w:t xml:space="preserve">w for in-depth and broad engagement of Member State stakeholders, including by systematically taking advantage of regional and global gatherings for </w:t>
      </w:r>
      <w:r w:rsidR="00067605">
        <w:rPr>
          <w:rFonts w:asciiTheme="minorBidi" w:hAnsiTheme="minorBidi" w:cstheme="minorBidi"/>
          <w:sz w:val="22"/>
          <w:szCs w:val="22"/>
          <w:lang w:val="en-US"/>
        </w:rPr>
        <w:t xml:space="preserve">the organization of consultation meetings. </w:t>
      </w:r>
    </w:p>
    <w:p w14:paraId="0E57D979" w14:textId="69BCB70F" w:rsidR="00192AAB" w:rsidRDefault="00067605" w:rsidP="00B24A6D">
      <w:pPr>
        <w:pStyle w:val="Paragraphedeliste"/>
        <w:numPr>
          <w:ilvl w:val="0"/>
          <w:numId w:val="27"/>
        </w:numPr>
        <w:tabs>
          <w:tab w:val="clear" w:pos="567"/>
          <w:tab w:val="left" w:pos="709"/>
        </w:tabs>
        <w:spacing w:after="240"/>
        <w:ind w:left="0" w:firstLine="0"/>
        <w:contextualSpacing w:val="0"/>
        <w:jc w:val="both"/>
        <w:rPr>
          <w:rFonts w:asciiTheme="minorBidi" w:hAnsiTheme="minorBidi" w:cstheme="minorBidi"/>
          <w:sz w:val="22"/>
          <w:szCs w:val="22"/>
        </w:rPr>
      </w:pPr>
      <w:r>
        <w:rPr>
          <w:rFonts w:asciiTheme="minorBidi" w:hAnsiTheme="minorBidi" w:cstheme="minorBidi"/>
          <w:color w:val="000000"/>
          <w:sz w:val="22"/>
          <w:szCs w:val="22"/>
        </w:rPr>
        <w:t xml:space="preserve">The consultation process will ultimately prepare the basis for the decisions at the </w:t>
      </w:r>
      <w:r w:rsidR="005E0A00">
        <w:rPr>
          <w:rFonts w:asciiTheme="minorBidi" w:hAnsiTheme="minorBidi" w:cstheme="minorBidi"/>
          <w:color w:val="000000"/>
          <w:sz w:val="22"/>
          <w:szCs w:val="22"/>
        </w:rPr>
        <w:t>IOC Assembly in 2025 and 2027</w:t>
      </w:r>
      <w:r w:rsidR="00337F0B">
        <w:rPr>
          <w:rFonts w:asciiTheme="minorBidi" w:hAnsiTheme="minorBidi" w:cstheme="minorBidi"/>
          <w:color w:val="000000"/>
          <w:sz w:val="22"/>
          <w:szCs w:val="22"/>
        </w:rPr>
        <w:t xml:space="preserve">, as well as Executive Council’s </w:t>
      </w:r>
      <w:r w:rsidR="00D42366">
        <w:rPr>
          <w:rFonts w:asciiTheme="minorBidi" w:hAnsiTheme="minorBidi" w:cstheme="minorBidi"/>
          <w:color w:val="000000"/>
          <w:sz w:val="22"/>
          <w:szCs w:val="22"/>
        </w:rPr>
        <w:t xml:space="preserve">guidance in the intervening years. </w:t>
      </w:r>
      <w:r w:rsidR="00192AAB" w:rsidRPr="00192AAB">
        <w:rPr>
          <w:rFonts w:asciiTheme="minorBidi" w:hAnsiTheme="minorBidi" w:cstheme="minorBidi"/>
          <w:color w:val="000000"/>
          <w:sz w:val="22"/>
          <w:szCs w:val="22"/>
        </w:rPr>
        <w:t>Ending just before the Ocean Decade and the SDG 2030 finishing line, our next four-year programme 2026</w:t>
      </w:r>
      <w:r w:rsidR="00B24A6D">
        <w:rPr>
          <w:rFonts w:asciiTheme="minorBidi" w:hAnsiTheme="minorBidi" w:cstheme="minorBidi"/>
          <w:color w:val="000000"/>
          <w:sz w:val="22"/>
          <w:szCs w:val="22"/>
        </w:rPr>
        <w:t>–</w:t>
      </w:r>
      <w:r w:rsidR="00192AAB" w:rsidRPr="00192AAB">
        <w:rPr>
          <w:rFonts w:asciiTheme="minorBidi" w:hAnsiTheme="minorBidi" w:cstheme="minorBidi"/>
          <w:color w:val="000000"/>
          <w:sz w:val="22"/>
          <w:szCs w:val="22"/>
        </w:rPr>
        <w:t xml:space="preserve">2029 will need to be co-designed </w:t>
      </w:r>
      <w:r w:rsidR="00192AAB" w:rsidRPr="00192AAB">
        <w:rPr>
          <w:rFonts w:asciiTheme="minorBidi" w:hAnsiTheme="minorBidi" w:cstheme="minorBidi"/>
          <w:sz w:val="22"/>
          <w:szCs w:val="22"/>
        </w:rPr>
        <w:t>with clear programmatic focus and solid monitoring and evaluation mechanism and lay the foundations of our next Medium-Term Strategy for 2030 onwards.</w:t>
      </w:r>
    </w:p>
    <w:p w14:paraId="061C81EC" w14:textId="77777777" w:rsidR="00192AAB" w:rsidRDefault="00192AAB" w:rsidP="00192AAB">
      <w:pPr>
        <w:jc w:val="both"/>
        <w:rPr>
          <w:rFonts w:asciiTheme="minorBidi" w:hAnsiTheme="minorBidi" w:cstheme="minorBidi"/>
          <w:sz w:val="22"/>
          <w:szCs w:val="22"/>
        </w:rPr>
      </w:pPr>
    </w:p>
    <w:p w14:paraId="3B59051D" w14:textId="77777777" w:rsidR="00FC2A2B" w:rsidRDefault="00FC2A2B">
      <w:pPr>
        <w:tabs>
          <w:tab w:val="clear" w:pos="567"/>
        </w:tabs>
        <w:snapToGrid/>
        <w:rPr>
          <w:rFonts w:asciiTheme="minorBidi" w:hAnsiTheme="minorBidi" w:cstheme="minorBidi"/>
          <w:snapToGrid/>
          <w:color w:val="000000"/>
          <w:sz w:val="22"/>
          <w:szCs w:val="22"/>
          <w:lang w:val="en-US"/>
        </w:rPr>
      </w:pPr>
      <w:r>
        <w:rPr>
          <w:rFonts w:asciiTheme="minorBidi" w:hAnsiTheme="minorBidi" w:cstheme="minorBidi"/>
          <w:snapToGrid/>
          <w:color w:val="000000"/>
          <w:sz w:val="22"/>
          <w:szCs w:val="22"/>
          <w:lang w:val="en-US"/>
        </w:rPr>
        <w:br w:type="page"/>
      </w:r>
    </w:p>
    <w:p w14:paraId="2E6C35D7" w14:textId="7693B0EA" w:rsidR="00F54E57" w:rsidRPr="00F54E57" w:rsidRDefault="00E67743" w:rsidP="00FC2A2B">
      <w:pPr>
        <w:jc w:val="both"/>
        <w:rPr>
          <w:rFonts w:asciiTheme="minorBidi" w:hAnsiTheme="minorBidi" w:cstheme="minorBidi"/>
          <w:b/>
          <w:bCs/>
          <w:sz w:val="22"/>
          <w:szCs w:val="22"/>
          <w:lang w:val="en-US"/>
        </w:rPr>
      </w:pPr>
      <w:r w:rsidRPr="00F54E57">
        <w:rPr>
          <w:rFonts w:asciiTheme="minorBidi" w:hAnsiTheme="minorBidi" w:cstheme="minorBidi"/>
          <w:b/>
          <w:bCs/>
          <w:sz w:val="22"/>
          <w:szCs w:val="22"/>
          <w:lang w:val="en-US"/>
        </w:rPr>
        <w:lastRenderedPageBreak/>
        <w:t xml:space="preserve">Highlights of </w:t>
      </w:r>
      <w:proofErr w:type="spellStart"/>
      <w:r w:rsidRPr="00F54E57">
        <w:rPr>
          <w:rFonts w:asciiTheme="minorBidi" w:hAnsiTheme="minorBidi" w:cstheme="minorBidi"/>
          <w:b/>
          <w:bCs/>
          <w:sz w:val="22"/>
          <w:szCs w:val="22"/>
          <w:lang w:val="en-US"/>
        </w:rPr>
        <w:t>Programme</w:t>
      </w:r>
      <w:proofErr w:type="spellEnd"/>
      <w:r w:rsidRPr="00F54E57">
        <w:rPr>
          <w:rFonts w:asciiTheme="minorBidi" w:hAnsiTheme="minorBidi" w:cstheme="minorBidi"/>
          <w:b/>
          <w:bCs/>
          <w:sz w:val="22"/>
          <w:szCs w:val="22"/>
          <w:lang w:val="en-US"/>
        </w:rPr>
        <w:t xml:space="preserve"> Implementation</w:t>
      </w:r>
      <w:r>
        <w:rPr>
          <w:rFonts w:asciiTheme="minorBidi" w:hAnsiTheme="minorBidi" w:cstheme="minorBidi"/>
          <w:b/>
          <w:bCs/>
          <w:sz w:val="22"/>
          <w:szCs w:val="22"/>
          <w:lang w:val="en-US"/>
        </w:rPr>
        <w:t xml:space="preserve"> </w:t>
      </w:r>
      <w:r w:rsidR="00847517">
        <w:rPr>
          <w:rFonts w:asciiTheme="minorBidi" w:hAnsiTheme="minorBidi" w:cstheme="minorBidi"/>
          <w:b/>
          <w:bCs/>
          <w:sz w:val="22"/>
          <w:szCs w:val="22"/>
          <w:lang w:val="en-US"/>
        </w:rPr>
        <w:t>(June 2023–May 2024)</w:t>
      </w:r>
    </w:p>
    <w:p w14:paraId="0C29FFB8" w14:textId="190B2674" w:rsidR="00F54E57" w:rsidRDefault="00F54E57" w:rsidP="00FC2A2B">
      <w:pPr>
        <w:jc w:val="both"/>
        <w:rPr>
          <w:rFonts w:asciiTheme="minorBidi" w:hAnsiTheme="minorBidi" w:cstheme="minorBidi"/>
          <w:sz w:val="22"/>
          <w:szCs w:val="22"/>
          <w:lang w:val="en-US"/>
        </w:rPr>
      </w:pPr>
      <w:r w:rsidRPr="00025A88">
        <w:rPr>
          <w:rFonts w:ascii="Arial" w:eastAsia="Times New Roman" w:hAnsi="Arial"/>
          <w:noProof/>
          <w:snapToGrid/>
          <w:sz w:val="22"/>
          <w:lang w:val="fr-FR" w:eastAsia="fr-FR"/>
        </w:rPr>
        <mc:AlternateContent>
          <mc:Choice Requires="wps">
            <w:drawing>
              <wp:anchor distT="0" distB="0" distL="114300" distR="114300" simplePos="0" relativeHeight="251660290" behindDoc="0" locked="0" layoutInCell="1" allowOverlap="1" wp14:anchorId="5BCEF54C" wp14:editId="2DA5578D">
                <wp:simplePos x="0" y="0"/>
                <wp:positionH relativeFrom="column">
                  <wp:posOffset>0</wp:posOffset>
                </wp:positionH>
                <wp:positionV relativeFrom="paragraph">
                  <wp:posOffset>-635</wp:posOffset>
                </wp:positionV>
                <wp:extent cx="6181725" cy="19050"/>
                <wp:effectExtent l="0" t="0" r="28575" b="19050"/>
                <wp:wrapNone/>
                <wp:docPr id="1134668502" name="Straight Connector 1134668502"/>
                <wp:cNvGraphicFramePr/>
                <a:graphic xmlns:a="http://schemas.openxmlformats.org/drawingml/2006/main">
                  <a:graphicData uri="http://schemas.microsoft.com/office/word/2010/wordprocessingShape">
                    <wps:wsp>
                      <wps:cNvCnPr/>
                      <wps:spPr>
                        <a:xfrm flipV="1">
                          <a:off x="0" y="0"/>
                          <a:ext cx="6181725" cy="19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1A064AF" id="Straight Connector 1134668502" o:spid="_x0000_s1026" style="position:absolute;flip:y;z-index:251660290;visibility:visible;mso-wrap-style:square;mso-wrap-distance-left:9pt;mso-wrap-distance-top:0;mso-wrap-distance-right:9pt;mso-wrap-distance-bottom:0;mso-position-horizontal:absolute;mso-position-horizontal-relative:text;mso-position-vertical:absolute;mso-position-vertical-relative:text" from="0,-.05pt" to="486.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" strokecolor="#4a7ebb"/>
            </w:pict>
          </mc:Fallback>
        </mc:AlternateContent>
      </w:r>
    </w:p>
    <w:p w14:paraId="3EB49A4B" w14:textId="111B3798" w:rsidR="00FC2A2B" w:rsidRDefault="0062187D" w:rsidP="00B24A6D">
      <w:pPr>
        <w:pStyle w:val="Paragraphedeliste"/>
        <w:numPr>
          <w:ilvl w:val="0"/>
          <w:numId w:val="27"/>
        </w:numPr>
        <w:tabs>
          <w:tab w:val="clear" w:pos="567"/>
          <w:tab w:val="left" w:pos="709"/>
        </w:tabs>
        <w:spacing w:after="240"/>
        <w:ind w:left="0" w:firstLine="0"/>
        <w:contextualSpacing w:val="0"/>
        <w:jc w:val="both"/>
        <w:rPr>
          <w:rFonts w:asciiTheme="minorBidi" w:hAnsiTheme="minorBidi" w:cstheme="minorBidi"/>
          <w:sz w:val="22"/>
          <w:szCs w:val="22"/>
        </w:rPr>
      </w:pPr>
      <w:r w:rsidRPr="005A1932">
        <w:rPr>
          <w:rFonts w:asciiTheme="minorBidi" w:hAnsiTheme="minorBidi" w:cstheme="minorBidi"/>
          <w:sz w:val="22"/>
          <w:szCs w:val="22"/>
          <w:lang w:val="en-US"/>
        </w:rPr>
        <w:t>Coordinated by IOC s</w:t>
      </w:r>
      <w:proofErr w:type="spellStart"/>
      <w:r w:rsidR="00FC2A2B" w:rsidRPr="005A1932">
        <w:rPr>
          <w:rFonts w:asciiTheme="minorBidi" w:hAnsiTheme="minorBidi" w:cstheme="minorBidi"/>
          <w:sz w:val="22"/>
          <w:szCs w:val="22"/>
        </w:rPr>
        <w:t>ince</w:t>
      </w:r>
      <w:proofErr w:type="spellEnd"/>
      <w:r w:rsidR="00FC2A2B" w:rsidRPr="005A1932">
        <w:rPr>
          <w:rFonts w:asciiTheme="minorBidi" w:hAnsiTheme="minorBidi" w:cstheme="minorBidi"/>
          <w:sz w:val="22"/>
          <w:szCs w:val="22"/>
        </w:rPr>
        <w:t xml:space="preserve"> 2021, </w:t>
      </w:r>
      <w:r w:rsidRPr="005A1932">
        <w:rPr>
          <w:rFonts w:asciiTheme="minorBidi" w:hAnsiTheme="minorBidi" w:cstheme="minorBidi"/>
          <w:sz w:val="22"/>
          <w:szCs w:val="22"/>
        </w:rPr>
        <w:t>th</w:t>
      </w:r>
      <w:r w:rsidR="00FC2A2B" w:rsidRPr="005A1932">
        <w:rPr>
          <w:rFonts w:asciiTheme="minorBidi" w:hAnsiTheme="minorBidi" w:cstheme="minorBidi"/>
          <w:sz w:val="22"/>
          <w:szCs w:val="22"/>
        </w:rPr>
        <w:t>e United Nations Decade of Ocean Science for Sustainable Development (2021</w:t>
      </w:r>
      <w:r w:rsidR="00B24A6D">
        <w:rPr>
          <w:rFonts w:asciiTheme="minorBidi" w:hAnsiTheme="minorBidi" w:cstheme="minorBidi"/>
          <w:sz w:val="22"/>
          <w:szCs w:val="22"/>
        </w:rPr>
        <w:t>–</w:t>
      </w:r>
      <w:r w:rsidR="00FC2A2B" w:rsidRPr="005A1932">
        <w:rPr>
          <w:rFonts w:asciiTheme="minorBidi" w:hAnsiTheme="minorBidi" w:cstheme="minorBidi"/>
          <w:sz w:val="22"/>
          <w:szCs w:val="22"/>
        </w:rPr>
        <w:t>2030), the largest global ocean science initiative ever undertaken, c</w:t>
      </w:r>
      <w:r w:rsidRPr="005A1932">
        <w:rPr>
          <w:rFonts w:asciiTheme="minorBidi" w:hAnsiTheme="minorBidi" w:cstheme="minorBidi"/>
          <w:sz w:val="22"/>
          <w:szCs w:val="22"/>
        </w:rPr>
        <w:t>urrently c</w:t>
      </w:r>
      <w:r w:rsidR="00FC2A2B" w:rsidRPr="005A1932">
        <w:rPr>
          <w:rFonts w:asciiTheme="minorBidi" w:hAnsiTheme="minorBidi" w:cstheme="minorBidi"/>
          <w:sz w:val="22"/>
          <w:szCs w:val="22"/>
        </w:rPr>
        <w:t>ount</w:t>
      </w:r>
      <w:r w:rsidRPr="005A1932">
        <w:rPr>
          <w:rFonts w:asciiTheme="minorBidi" w:hAnsiTheme="minorBidi" w:cstheme="minorBidi"/>
          <w:sz w:val="22"/>
          <w:szCs w:val="22"/>
        </w:rPr>
        <w:t>s</w:t>
      </w:r>
      <w:r w:rsidR="00265371" w:rsidRPr="005A1932">
        <w:rPr>
          <w:rFonts w:asciiTheme="minorBidi" w:hAnsiTheme="minorBidi" w:cstheme="minorBidi"/>
          <w:sz w:val="22"/>
          <w:szCs w:val="22"/>
        </w:rPr>
        <w:t xml:space="preserve"> </w:t>
      </w:r>
      <w:r w:rsidR="00730172" w:rsidRPr="005A1932">
        <w:rPr>
          <w:rFonts w:asciiTheme="minorBidi" w:hAnsiTheme="minorBidi" w:cstheme="minorBidi"/>
          <w:sz w:val="22"/>
          <w:szCs w:val="22"/>
        </w:rPr>
        <w:t>52</w:t>
      </w:r>
      <w:r w:rsidR="00FC2A2B" w:rsidRPr="005A1932">
        <w:rPr>
          <w:rFonts w:asciiTheme="minorBidi" w:hAnsiTheme="minorBidi" w:cstheme="minorBidi"/>
          <w:sz w:val="22"/>
          <w:szCs w:val="22"/>
        </w:rPr>
        <w:t xml:space="preserve"> endorsed global Decade programmes</w:t>
      </w:r>
      <w:r w:rsidR="00730172" w:rsidRPr="005A1932">
        <w:rPr>
          <w:rFonts w:asciiTheme="minorBidi" w:hAnsiTheme="minorBidi" w:cstheme="minorBidi"/>
          <w:sz w:val="22"/>
          <w:szCs w:val="22"/>
        </w:rPr>
        <w:t xml:space="preserve"> and</w:t>
      </w:r>
      <w:r w:rsidR="00FC2A2B" w:rsidRPr="005A1932">
        <w:rPr>
          <w:rFonts w:asciiTheme="minorBidi" w:hAnsiTheme="minorBidi" w:cstheme="minorBidi"/>
          <w:sz w:val="22"/>
          <w:szCs w:val="22"/>
        </w:rPr>
        <w:t xml:space="preserve"> </w:t>
      </w:r>
      <w:r w:rsidR="00730172" w:rsidRPr="005A1932">
        <w:rPr>
          <w:rFonts w:asciiTheme="minorBidi" w:hAnsiTheme="minorBidi" w:cstheme="minorBidi"/>
          <w:sz w:val="22"/>
          <w:szCs w:val="22"/>
        </w:rPr>
        <w:t>over 300</w:t>
      </w:r>
      <w:r w:rsidR="00FC2A2B" w:rsidRPr="005A1932">
        <w:rPr>
          <w:rFonts w:asciiTheme="minorBidi" w:hAnsiTheme="minorBidi" w:cstheme="minorBidi"/>
          <w:sz w:val="22"/>
          <w:szCs w:val="22"/>
        </w:rPr>
        <w:t xml:space="preserve"> Decade projects </w:t>
      </w:r>
      <w:r w:rsidR="00730172" w:rsidRPr="005A1932">
        <w:rPr>
          <w:rFonts w:asciiTheme="minorBidi" w:hAnsiTheme="minorBidi" w:cstheme="minorBidi"/>
          <w:sz w:val="22"/>
          <w:szCs w:val="22"/>
        </w:rPr>
        <w:t xml:space="preserve">led by partners in over 60 countries, </w:t>
      </w:r>
      <w:r w:rsidR="00FC2A2B" w:rsidRPr="005A1932">
        <w:rPr>
          <w:rFonts w:asciiTheme="minorBidi" w:hAnsiTheme="minorBidi" w:cstheme="minorBidi"/>
          <w:sz w:val="22"/>
          <w:szCs w:val="22"/>
        </w:rPr>
        <w:t xml:space="preserve">and close to </w:t>
      </w:r>
      <w:r w:rsidR="00730172" w:rsidRPr="005A1932">
        <w:rPr>
          <w:rFonts w:asciiTheme="minorBidi" w:hAnsiTheme="minorBidi" w:cstheme="minorBidi"/>
          <w:sz w:val="22"/>
          <w:szCs w:val="22"/>
        </w:rPr>
        <w:t>100</w:t>
      </w:r>
      <w:r w:rsidR="00FC2A2B" w:rsidRPr="005A1932">
        <w:rPr>
          <w:rFonts w:asciiTheme="minorBidi" w:hAnsiTheme="minorBidi" w:cstheme="minorBidi"/>
          <w:sz w:val="22"/>
          <w:szCs w:val="22"/>
        </w:rPr>
        <w:t xml:space="preserve"> in-kind and financial contributions</w:t>
      </w:r>
      <w:r w:rsidR="00265371">
        <w:rPr>
          <w:rFonts w:asciiTheme="minorBidi" w:hAnsiTheme="minorBidi" w:cstheme="minorBidi"/>
          <w:sz w:val="22"/>
          <w:szCs w:val="22"/>
        </w:rPr>
        <w:t xml:space="preserve">. Twelve regional and thematic decentralised coordination structures are hosted by partners, and 39 countries have established National Decade Committees. Over 150 experts were involved in the Working Groups that led development of the Vision 2030 White Papers and which formed the basis </w:t>
      </w:r>
      <w:r w:rsidR="00552D23">
        <w:rPr>
          <w:rFonts w:asciiTheme="minorBidi" w:hAnsiTheme="minorBidi" w:cstheme="minorBidi"/>
          <w:sz w:val="22"/>
          <w:szCs w:val="22"/>
        </w:rPr>
        <w:t xml:space="preserve">of the </w:t>
      </w:r>
      <w:r w:rsidR="00552D23" w:rsidRPr="00996EE4">
        <w:rPr>
          <w:rFonts w:asciiTheme="minorBidi" w:hAnsiTheme="minorBidi" w:cstheme="minorBidi"/>
          <w:i/>
          <w:iCs/>
          <w:sz w:val="22"/>
          <w:szCs w:val="22"/>
        </w:rPr>
        <w:t>Vision 2030 Outcomes Report</w:t>
      </w:r>
      <w:r w:rsidR="00552D23">
        <w:rPr>
          <w:rFonts w:asciiTheme="minorBidi" w:hAnsiTheme="minorBidi" w:cstheme="minorBidi"/>
          <w:sz w:val="22"/>
          <w:szCs w:val="22"/>
        </w:rPr>
        <w:t xml:space="preserve"> that was central to the discussions at the 2024 Ocean Decade Conference. </w:t>
      </w:r>
      <w:r w:rsidR="00265371">
        <w:rPr>
          <w:rFonts w:asciiTheme="minorBidi" w:hAnsiTheme="minorBidi" w:cstheme="minorBidi"/>
          <w:sz w:val="22"/>
          <w:szCs w:val="22"/>
        </w:rPr>
        <w:t xml:space="preserve">  </w:t>
      </w:r>
    </w:p>
    <w:p w14:paraId="78B2DB7F" w14:textId="610B7695" w:rsidR="00FC2A2B" w:rsidRDefault="00FC2A2B" w:rsidP="00B24A6D">
      <w:pPr>
        <w:pStyle w:val="Paragraphedeliste"/>
        <w:numPr>
          <w:ilvl w:val="0"/>
          <w:numId w:val="27"/>
        </w:numPr>
        <w:tabs>
          <w:tab w:val="clear" w:pos="567"/>
          <w:tab w:val="left" w:pos="709"/>
        </w:tabs>
        <w:spacing w:after="240"/>
        <w:ind w:left="0" w:firstLine="0"/>
        <w:contextualSpacing w:val="0"/>
        <w:jc w:val="both"/>
        <w:rPr>
          <w:rFonts w:asciiTheme="minorBidi" w:hAnsiTheme="minorBidi" w:cstheme="minorBidi"/>
          <w:sz w:val="22"/>
          <w:szCs w:val="22"/>
        </w:rPr>
      </w:pPr>
      <w:r w:rsidRPr="00FC2A2B">
        <w:rPr>
          <w:rFonts w:asciiTheme="minorBidi" w:hAnsiTheme="minorBidi" w:cstheme="minorBidi"/>
          <w:sz w:val="22"/>
          <w:szCs w:val="22"/>
        </w:rPr>
        <w:t xml:space="preserve">This was achieved through an unprecedented mobilization of the IOC Secretariat and its partners over these past three years. With Member States’ support, the following key achievements were </w:t>
      </w:r>
      <w:r w:rsidR="0062187D">
        <w:rPr>
          <w:rFonts w:asciiTheme="minorBidi" w:hAnsiTheme="minorBidi" w:cstheme="minorBidi"/>
          <w:sz w:val="22"/>
          <w:szCs w:val="22"/>
        </w:rPr>
        <w:t>realised</w:t>
      </w:r>
      <w:r w:rsidRPr="00FC2A2B">
        <w:rPr>
          <w:rFonts w:asciiTheme="minorBidi" w:hAnsiTheme="minorBidi" w:cstheme="minorBidi"/>
          <w:sz w:val="22"/>
          <w:szCs w:val="22"/>
        </w:rPr>
        <w:t xml:space="preserve"> in </w:t>
      </w:r>
      <w:r w:rsidR="00A7097D">
        <w:rPr>
          <w:rFonts w:asciiTheme="minorBidi" w:hAnsiTheme="minorBidi" w:cstheme="minorBidi"/>
          <w:sz w:val="22"/>
          <w:szCs w:val="22"/>
        </w:rPr>
        <w:t>2023</w:t>
      </w:r>
      <w:r w:rsidR="00996EE4">
        <w:rPr>
          <w:rFonts w:asciiTheme="minorBidi" w:hAnsiTheme="minorBidi" w:cstheme="minorBidi"/>
          <w:sz w:val="22"/>
          <w:szCs w:val="22"/>
        </w:rPr>
        <w:t>–</w:t>
      </w:r>
      <w:r w:rsidR="00A7097D">
        <w:rPr>
          <w:rFonts w:asciiTheme="minorBidi" w:hAnsiTheme="minorBidi" w:cstheme="minorBidi"/>
          <w:sz w:val="22"/>
          <w:szCs w:val="22"/>
        </w:rPr>
        <w:t>2024</w:t>
      </w:r>
      <w:r w:rsidRPr="00FC2A2B">
        <w:rPr>
          <w:rFonts w:asciiTheme="minorBidi" w:hAnsiTheme="minorBidi" w:cstheme="minorBidi"/>
          <w:sz w:val="22"/>
          <w:szCs w:val="22"/>
        </w:rPr>
        <w:t xml:space="preserve">: </w:t>
      </w:r>
    </w:p>
    <w:p w14:paraId="125F55DC" w14:textId="6C3F5529" w:rsidR="00FC2A2B" w:rsidRPr="00996EE4" w:rsidRDefault="003570B3" w:rsidP="00996EE4">
      <w:pPr>
        <w:pStyle w:val="Paragraphedeliste"/>
        <w:numPr>
          <w:ilvl w:val="0"/>
          <w:numId w:val="25"/>
        </w:numPr>
        <w:spacing w:after="240"/>
        <w:ind w:left="1145" w:hanging="442"/>
        <w:contextualSpacing w:val="0"/>
        <w:jc w:val="both"/>
        <w:rPr>
          <w:rFonts w:asciiTheme="minorBidi" w:hAnsiTheme="minorBidi" w:cstheme="minorBidi"/>
          <w:sz w:val="22"/>
          <w:szCs w:val="22"/>
        </w:rPr>
      </w:pPr>
      <w:proofErr w:type="gramStart"/>
      <w:r w:rsidRPr="00996EE4">
        <w:rPr>
          <w:rFonts w:asciiTheme="minorBidi" w:hAnsiTheme="minorBidi" w:cstheme="minorBidi"/>
          <w:sz w:val="22"/>
          <w:szCs w:val="22"/>
        </w:rPr>
        <w:t xml:space="preserve">The IOC </w:t>
      </w:r>
      <w:r w:rsidRPr="00996EE4">
        <w:rPr>
          <w:rFonts w:asciiTheme="minorBidi" w:hAnsiTheme="minorBidi" w:cstheme="minorBidi"/>
          <w:i/>
          <w:iCs/>
          <w:sz w:val="22"/>
          <w:szCs w:val="22"/>
        </w:rPr>
        <w:t>State of the Ocean Report</w:t>
      </w:r>
      <w:r w:rsidRPr="00996EE4">
        <w:rPr>
          <w:rFonts w:asciiTheme="minorBidi" w:hAnsiTheme="minorBidi" w:cstheme="minorBidi"/>
          <w:sz w:val="22"/>
          <w:szCs w:val="22"/>
        </w:rPr>
        <w:t xml:space="preserve"> 2024,</w:t>
      </w:r>
      <w:proofErr w:type="gramEnd"/>
      <w:r w:rsidRPr="00996EE4">
        <w:rPr>
          <w:rFonts w:asciiTheme="minorBidi" w:hAnsiTheme="minorBidi" w:cstheme="minorBidi"/>
          <w:sz w:val="22"/>
          <w:szCs w:val="22"/>
        </w:rPr>
        <w:t xml:space="preserve"> was published in June 2024. The </w:t>
      </w:r>
      <w:proofErr w:type="spellStart"/>
      <w:r w:rsidRPr="00996EE4">
        <w:rPr>
          <w:rFonts w:asciiTheme="minorBidi" w:hAnsiTheme="minorBidi" w:cstheme="minorBidi"/>
          <w:sz w:val="22"/>
          <w:szCs w:val="22"/>
        </w:rPr>
        <w:t>StOR</w:t>
      </w:r>
      <w:proofErr w:type="spellEnd"/>
      <w:r w:rsidRPr="00996EE4">
        <w:rPr>
          <w:rFonts w:asciiTheme="minorBidi" w:hAnsiTheme="minorBidi" w:cstheme="minorBidi"/>
          <w:sz w:val="22"/>
          <w:szCs w:val="22"/>
        </w:rPr>
        <w:t xml:space="preserve"> presents the results of ocean-related scientific activities and analyses to describe the current and future state of the ocean, addressing physical, chemical, ecological, socioeconomic and governance aspects, focusing on the seven Outcomes of the UN Decade of Ocean Science for Sustainable Development.</w:t>
      </w:r>
    </w:p>
    <w:p w14:paraId="6D48C812" w14:textId="4CA25ADD" w:rsidR="00FC2A2B" w:rsidRPr="00996EE4" w:rsidRDefault="00FC2A2B" w:rsidP="00996EE4">
      <w:pPr>
        <w:pStyle w:val="Paragraphedeliste"/>
        <w:numPr>
          <w:ilvl w:val="0"/>
          <w:numId w:val="25"/>
        </w:numPr>
        <w:spacing w:after="240"/>
        <w:ind w:left="1145" w:hanging="442"/>
        <w:contextualSpacing w:val="0"/>
        <w:jc w:val="both"/>
        <w:rPr>
          <w:rFonts w:asciiTheme="minorBidi" w:hAnsiTheme="minorBidi" w:cstheme="minorBidi"/>
          <w:sz w:val="22"/>
          <w:szCs w:val="22"/>
        </w:rPr>
      </w:pPr>
      <w:r w:rsidRPr="00996EE4">
        <w:rPr>
          <w:rFonts w:asciiTheme="minorBidi" w:hAnsiTheme="minorBidi" w:cstheme="minorBidi"/>
          <w:sz w:val="22"/>
          <w:szCs w:val="22"/>
        </w:rPr>
        <w:t>During the United Nations Climate Conference (COP28)</w:t>
      </w:r>
      <w:r w:rsidR="00996EE4">
        <w:rPr>
          <w:rFonts w:asciiTheme="minorBidi" w:hAnsiTheme="minorBidi" w:cstheme="minorBidi"/>
          <w:sz w:val="22"/>
          <w:szCs w:val="22"/>
        </w:rPr>
        <w:t xml:space="preserve"> in December 2023</w:t>
      </w:r>
      <w:r w:rsidRPr="00996EE4">
        <w:rPr>
          <w:rFonts w:asciiTheme="minorBidi" w:hAnsiTheme="minorBidi" w:cstheme="minorBidi"/>
          <w:sz w:val="22"/>
          <w:szCs w:val="22"/>
        </w:rPr>
        <w:t xml:space="preserve">, IOC championed the crucial role of ocean science as the basis for ocean and climate action. Ocean issues made important headway within the first-ever </w:t>
      </w:r>
      <w:r w:rsidR="00996EE4">
        <w:rPr>
          <w:rFonts w:asciiTheme="minorBidi" w:hAnsiTheme="minorBidi" w:cstheme="minorBidi"/>
          <w:sz w:val="22"/>
          <w:szCs w:val="22"/>
        </w:rPr>
        <w:t>‘</w:t>
      </w:r>
      <w:hyperlink r:id="rId9" w:history="1">
        <w:r w:rsidRPr="00996EE4">
          <w:rPr>
            <w:rStyle w:val="Lienhypertexte"/>
            <w:rFonts w:asciiTheme="minorBidi" w:hAnsiTheme="minorBidi" w:cstheme="minorBidi"/>
            <w:sz w:val="22"/>
            <w:szCs w:val="22"/>
          </w:rPr>
          <w:t>Global Stocktake</w:t>
        </w:r>
      </w:hyperlink>
      <w:r w:rsidRPr="00996EE4">
        <w:rPr>
          <w:rFonts w:asciiTheme="minorBidi" w:hAnsiTheme="minorBidi" w:cstheme="minorBidi"/>
          <w:sz w:val="22"/>
          <w:szCs w:val="22"/>
        </w:rPr>
        <w:t xml:space="preserve"> of the Paris Agreement</w:t>
      </w:r>
      <w:r w:rsidR="00996EE4">
        <w:rPr>
          <w:rFonts w:asciiTheme="minorBidi" w:hAnsiTheme="minorBidi" w:cstheme="minorBidi"/>
          <w:sz w:val="22"/>
          <w:szCs w:val="22"/>
        </w:rPr>
        <w:t>’</w:t>
      </w:r>
      <w:r w:rsidRPr="00996EE4">
        <w:rPr>
          <w:rFonts w:asciiTheme="minorBidi" w:hAnsiTheme="minorBidi" w:cstheme="minorBidi"/>
          <w:sz w:val="22"/>
          <w:szCs w:val="22"/>
        </w:rPr>
        <w:t xml:space="preserve">, with an unprecedented recognition of the need to consider the ocean when acting on climate change and strengthen ocean action based on the best available ocean science. </w:t>
      </w:r>
    </w:p>
    <w:p w14:paraId="43718402" w14:textId="2E790B44" w:rsidR="00F97256" w:rsidRPr="00996EE4" w:rsidRDefault="00B639E3" w:rsidP="00996EE4">
      <w:pPr>
        <w:pStyle w:val="Paragraphedeliste"/>
        <w:numPr>
          <w:ilvl w:val="0"/>
          <w:numId w:val="25"/>
        </w:numPr>
        <w:spacing w:after="240"/>
        <w:ind w:left="1145" w:hanging="442"/>
        <w:contextualSpacing w:val="0"/>
        <w:jc w:val="both"/>
        <w:rPr>
          <w:rFonts w:asciiTheme="minorBidi" w:hAnsiTheme="minorBidi" w:cstheme="minorBidi"/>
          <w:sz w:val="22"/>
          <w:szCs w:val="22"/>
        </w:rPr>
      </w:pPr>
      <w:r w:rsidRPr="00996EE4">
        <w:rPr>
          <w:rFonts w:asciiTheme="minorBidi" w:hAnsiTheme="minorBidi" w:cstheme="minorBidi"/>
          <w:sz w:val="22"/>
          <w:szCs w:val="22"/>
        </w:rPr>
        <w:t>IOC’s</w:t>
      </w:r>
      <w:r w:rsidR="006406D0" w:rsidRPr="00996EE4">
        <w:rPr>
          <w:rFonts w:asciiTheme="minorBidi" w:hAnsiTheme="minorBidi" w:cstheme="minorBidi"/>
          <w:sz w:val="22"/>
          <w:szCs w:val="22"/>
        </w:rPr>
        <w:t xml:space="preserve"> </w:t>
      </w:r>
      <w:r w:rsidR="005E5050" w:rsidRPr="00996EE4">
        <w:rPr>
          <w:rFonts w:asciiTheme="minorBidi" w:hAnsiTheme="minorBidi" w:cstheme="minorBidi"/>
          <w:sz w:val="22"/>
          <w:szCs w:val="22"/>
        </w:rPr>
        <w:t xml:space="preserve">data submission </w:t>
      </w:r>
      <w:r w:rsidR="006406D0" w:rsidRPr="00996EE4">
        <w:rPr>
          <w:rFonts w:asciiTheme="minorBidi" w:hAnsiTheme="minorBidi" w:cstheme="minorBidi"/>
          <w:sz w:val="22"/>
          <w:szCs w:val="22"/>
        </w:rPr>
        <w:t>towards SDG 14.3.1 ‘Average marine acidity (pH) measured at agreed suite of representative sampling stations</w:t>
      </w:r>
      <w:r w:rsidR="00A7062A" w:rsidRPr="00996EE4">
        <w:rPr>
          <w:rFonts w:asciiTheme="minorBidi" w:hAnsiTheme="minorBidi" w:cstheme="minorBidi"/>
          <w:sz w:val="22"/>
          <w:szCs w:val="22"/>
        </w:rPr>
        <w:t xml:space="preserve">’ </w:t>
      </w:r>
      <w:r w:rsidRPr="00996EE4">
        <w:rPr>
          <w:rFonts w:asciiTheme="minorBidi" w:hAnsiTheme="minorBidi" w:cstheme="minorBidi"/>
          <w:sz w:val="22"/>
          <w:szCs w:val="22"/>
        </w:rPr>
        <w:t>collected inputs from</w:t>
      </w:r>
      <w:r w:rsidR="00E13E5B" w:rsidRPr="00996EE4">
        <w:rPr>
          <w:rFonts w:asciiTheme="minorBidi" w:hAnsiTheme="minorBidi" w:cstheme="minorBidi"/>
          <w:sz w:val="22"/>
          <w:szCs w:val="22"/>
        </w:rPr>
        <w:t xml:space="preserve"> an increased number of countries and stations (</w:t>
      </w:r>
      <w:r w:rsidR="006406D0" w:rsidRPr="00996EE4">
        <w:rPr>
          <w:rFonts w:asciiTheme="minorBidi" w:hAnsiTheme="minorBidi" w:cstheme="minorBidi"/>
          <w:sz w:val="22"/>
          <w:szCs w:val="22"/>
        </w:rPr>
        <w:t>178 stations in 2021; 308 stations in 2022; 539 stations in 2023; 638 in 2024)</w:t>
      </w:r>
      <w:r w:rsidR="00D32A15" w:rsidRPr="00996EE4">
        <w:rPr>
          <w:rFonts w:asciiTheme="minorBidi" w:hAnsiTheme="minorBidi" w:cstheme="minorBidi"/>
          <w:sz w:val="22"/>
          <w:szCs w:val="22"/>
        </w:rPr>
        <w:t>.</w:t>
      </w:r>
      <w:r w:rsidR="006406D0" w:rsidRPr="00996EE4">
        <w:rPr>
          <w:rFonts w:asciiTheme="minorBidi" w:hAnsiTheme="minorBidi" w:cstheme="minorBidi"/>
          <w:sz w:val="22"/>
          <w:szCs w:val="22"/>
        </w:rPr>
        <w:t xml:space="preserve"> </w:t>
      </w:r>
    </w:p>
    <w:p w14:paraId="6EF27170" w14:textId="0B84B1EC" w:rsidR="00D81B40" w:rsidRPr="00996EE4" w:rsidRDefault="00182632" w:rsidP="00996EE4">
      <w:pPr>
        <w:pStyle w:val="Paragraphedeliste"/>
        <w:numPr>
          <w:ilvl w:val="0"/>
          <w:numId w:val="25"/>
        </w:numPr>
        <w:spacing w:after="240"/>
        <w:ind w:left="1145" w:hanging="442"/>
        <w:contextualSpacing w:val="0"/>
        <w:jc w:val="both"/>
        <w:rPr>
          <w:rFonts w:asciiTheme="minorBidi" w:hAnsiTheme="minorBidi" w:cstheme="minorBidi"/>
          <w:sz w:val="22"/>
          <w:szCs w:val="22"/>
        </w:rPr>
      </w:pPr>
      <w:r w:rsidRPr="00996EE4">
        <w:rPr>
          <w:rFonts w:asciiTheme="minorBidi" w:hAnsiTheme="minorBidi" w:cstheme="minorBidi"/>
          <w:sz w:val="22"/>
          <w:szCs w:val="22"/>
        </w:rPr>
        <w:t>IOC-coordinated</w:t>
      </w:r>
      <w:r w:rsidR="001C53DD" w:rsidRPr="00996EE4">
        <w:rPr>
          <w:rFonts w:asciiTheme="minorBidi" w:hAnsiTheme="minorBidi" w:cstheme="minorBidi"/>
          <w:sz w:val="22"/>
          <w:szCs w:val="22"/>
        </w:rPr>
        <w:t xml:space="preserve"> global expert network on ocean acidification now counts more than 1</w:t>
      </w:r>
      <w:r w:rsidR="00996EE4">
        <w:rPr>
          <w:rFonts w:asciiTheme="minorBidi" w:hAnsiTheme="minorBidi" w:cstheme="minorBidi"/>
          <w:sz w:val="22"/>
          <w:szCs w:val="22"/>
        </w:rPr>
        <w:t>,</w:t>
      </w:r>
      <w:r w:rsidR="001C53DD" w:rsidRPr="00996EE4">
        <w:rPr>
          <w:rFonts w:asciiTheme="minorBidi" w:hAnsiTheme="minorBidi" w:cstheme="minorBidi"/>
          <w:sz w:val="22"/>
          <w:szCs w:val="22"/>
        </w:rPr>
        <w:t xml:space="preserve">150 members from 115 countries (22 </w:t>
      </w:r>
      <w:r w:rsidRPr="00996EE4">
        <w:rPr>
          <w:rFonts w:asciiTheme="minorBidi" w:hAnsiTheme="minorBidi" w:cstheme="minorBidi"/>
          <w:sz w:val="22"/>
          <w:szCs w:val="22"/>
        </w:rPr>
        <w:t xml:space="preserve">in </w:t>
      </w:r>
      <w:r w:rsidR="001C53DD" w:rsidRPr="00996EE4">
        <w:rPr>
          <w:rFonts w:asciiTheme="minorBidi" w:hAnsiTheme="minorBidi" w:cstheme="minorBidi"/>
          <w:sz w:val="22"/>
          <w:szCs w:val="22"/>
        </w:rPr>
        <w:t>Africa, 23 SIDS) and continues to grow.</w:t>
      </w:r>
      <w:r w:rsidR="00BA5602" w:rsidRPr="00996EE4">
        <w:rPr>
          <w:rFonts w:asciiTheme="minorBidi" w:hAnsiTheme="minorBidi" w:cstheme="minorBidi"/>
          <w:sz w:val="22"/>
          <w:szCs w:val="22"/>
        </w:rPr>
        <w:t xml:space="preserve"> </w:t>
      </w:r>
    </w:p>
    <w:p w14:paraId="4BBB45B1" w14:textId="75704420" w:rsidR="001C53DD" w:rsidRPr="00996EE4" w:rsidRDefault="00BA5602" w:rsidP="00996EE4">
      <w:pPr>
        <w:pStyle w:val="Paragraphedeliste"/>
        <w:numPr>
          <w:ilvl w:val="0"/>
          <w:numId w:val="25"/>
        </w:numPr>
        <w:spacing w:after="240"/>
        <w:ind w:left="1145" w:hanging="442"/>
        <w:contextualSpacing w:val="0"/>
        <w:jc w:val="both"/>
        <w:rPr>
          <w:rFonts w:asciiTheme="minorBidi" w:hAnsiTheme="minorBidi" w:cstheme="minorBidi"/>
          <w:sz w:val="22"/>
          <w:szCs w:val="22"/>
        </w:rPr>
      </w:pPr>
      <w:r w:rsidRPr="00996EE4">
        <w:rPr>
          <w:rFonts w:asciiTheme="minorBidi" w:hAnsiTheme="minorBidi" w:cstheme="minorBidi"/>
          <w:sz w:val="22"/>
          <w:szCs w:val="22"/>
        </w:rPr>
        <w:t>The International Partnership for Blue Carbon (IPBC) grew to 57 Partners, of which 18 are IOC Member States. Together with Australia and France, IOC co-hosted the 2023 IPBC Dialogue at UNESCO HQ.</w:t>
      </w:r>
    </w:p>
    <w:p w14:paraId="1C3044CB" w14:textId="5D89C3EF" w:rsidR="00FC2A2B" w:rsidRPr="00996EE4" w:rsidRDefault="00FC2A2B" w:rsidP="00996EE4">
      <w:pPr>
        <w:pStyle w:val="Paragraphedeliste"/>
        <w:numPr>
          <w:ilvl w:val="0"/>
          <w:numId w:val="25"/>
        </w:numPr>
        <w:spacing w:after="240"/>
        <w:ind w:left="1145" w:hanging="442"/>
        <w:contextualSpacing w:val="0"/>
        <w:jc w:val="both"/>
        <w:rPr>
          <w:rFonts w:asciiTheme="minorBidi" w:hAnsiTheme="minorBidi" w:cstheme="minorBidi"/>
          <w:sz w:val="22"/>
          <w:szCs w:val="22"/>
        </w:rPr>
      </w:pPr>
      <w:r w:rsidRPr="00996EE4">
        <w:rPr>
          <w:rFonts w:asciiTheme="minorBidi" w:hAnsiTheme="minorBidi" w:cstheme="minorBidi"/>
          <w:sz w:val="22"/>
          <w:szCs w:val="22"/>
        </w:rPr>
        <w:t>The Global Ocean Observing System</w:t>
      </w:r>
      <w:r w:rsidRPr="00996EE4">
        <w:rPr>
          <w:rFonts w:asciiTheme="minorBidi" w:hAnsiTheme="minorBidi" w:cstheme="minorBidi"/>
          <w:i/>
          <w:iCs/>
          <w:sz w:val="22"/>
          <w:szCs w:val="22"/>
        </w:rPr>
        <w:t xml:space="preserve"> </w:t>
      </w:r>
      <w:r w:rsidRPr="00996EE4">
        <w:rPr>
          <w:rFonts w:asciiTheme="minorBidi" w:hAnsiTheme="minorBidi" w:cstheme="minorBidi"/>
          <w:sz w:val="22"/>
          <w:szCs w:val="22"/>
        </w:rPr>
        <w:t>(GOOS) now has more than 8,700 ocean observing platforms across 13 global ocean observing networks, run by 84 Member States (</w:t>
      </w:r>
      <w:r w:rsidR="00F82600" w:rsidRPr="00996EE4">
        <w:rPr>
          <w:rFonts w:asciiTheme="minorBidi" w:hAnsiTheme="minorBidi" w:cstheme="minorBidi"/>
          <w:sz w:val="22"/>
          <w:szCs w:val="22"/>
        </w:rPr>
        <w:t>10 in</w:t>
      </w:r>
      <w:r w:rsidRPr="00996EE4">
        <w:rPr>
          <w:rFonts w:asciiTheme="minorBidi" w:hAnsiTheme="minorBidi" w:cstheme="minorBidi"/>
          <w:sz w:val="22"/>
          <w:szCs w:val="22"/>
        </w:rPr>
        <w:t xml:space="preserve"> Africa, </w:t>
      </w:r>
      <w:r w:rsidR="00F82600" w:rsidRPr="00996EE4">
        <w:rPr>
          <w:rFonts w:asciiTheme="minorBidi" w:hAnsiTheme="minorBidi" w:cstheme="minorBidi"/>
          <w:sz w:val="22"/>
          <w:szCs w:val="22"/>
        </w:rPr>
        <w:t>9</w:t>
      </w:r>
      <w:r w:rsidRPr="00996EE4">
        <w:rPr>
          <w:rFonts w:asciiTheme="minorBidi" w:hAnsiTheme="minorBidi" w:cstheme="minorBidi"/>
          <w:sz w:val="22"/>
          <w:szCs w:val="22"/>
        </w:rPr>
        <w:t xml:space="preserve"> SIDS). Over 100,000 ocean observations are tracked every day through the IOC-WMO Operational Centre</w:t>
      </w:r>
      <w:r w:rsidR="00F96614" w:rsidRPr="00996EE4">
        <w:rPr>
          <w:rFonts w:asciiTheme="minorBidi" w:hAnsiTheme="minorBidi" w:cstheme="minorBidi"/>
          <w:sz w:val="22"/>
          <w:szCs w:val="22"/>
        </w:rPr>
        <w:t xml:space="preserve"> (OceanOPS)</w:t>
      </w:r>
      <w:r w:rsidRPr="00996EE4">
        <w:rPr>
          <w:rFonts w:asciiTheme="minorBidi" w:hAnsiTheme="minorBidi" w:cstheme="minorBidi"/>
          <w:sz w:val="22"/>
          <w:szCs w:val="22"/>
        </w:rPr>
        <w:t xml:space="preserve">. This information is presented in the annual GOOS </w:t>
      </w:r>
      <w:r w:rsidR="00996EE4" w:rsidRPr="00996EE4">
        <w:rPr>
          <w:rFonts w:asciiTheme="minorBidi" w:hAnsiTheme="minorBidi" w:cstheme="minorBidi"/>
          <w:i/>
          <w:iCs/>
          <w:sz w:val="22"/>
          <w:szCs w:val="22"/>
        </w:rPr>
        <w:t xml:space="preserve">Ocean Observing System </w:t>
      </w:r>
      <w:r w:rsidRPr="00996EE4">
        <w:rPr>
          <w:rFonts w:asciiTheme="minorBidi" w:hAnsiTheme="minorBidi" w:cstheme="minorBidi"/>
          <w:i/>
          <w:iCs/>
          <w:sz w:val="22"/>
          <w:szCs w:val="22"/>
        </w:rPr>
        <w:t>Report Card</w:t>
      </w:r>
      <w:r w:rsidRPr="00996EE4">
        <w:rPr>
          <w:rFonts w:asciiTheme="minorBidi" w:hAnsiTheme="minorBidi" w:cstheme="minorBidi"/>
          <w:sz w:val="22"/>
          <w:szCs w:val="22"/>
        </w:rPr>
        <w:t xml:space="preserve">. </w:t>
      </w:r>
    </w:p>
    <w:p w14:paraId="57BE3499" w14:textId="5D27E796" w:rsidR="004B3408" w:rsidRPr="00996EE4" w:rsidRDefault="004B3408" w:rsidP="00996EE4">
      <w:pPr>
        <w:numPr>
          <w:ilvl w:val="0"/>
          <w:numId w:val="25"/>
        </w:numPr>
        <w:pBdr>
          <w:top w:val="nil"/>
          <w:left w:val="nil"/>
          <w:bottom w:val="nil"/>
          <w:right w:val="nil"/>
          <w:between w:val="nil"/>
        </w:pBdr>
        <w:tabs>
          <w:tab w:val="clear" w:pos="567"/>
        </w:tabs>
        <w:suppressAutoHyphens/>
        <w:snapToGrid/>
        <w:spacing w:after="240"/>
        <w:ind w:left="1145" w:hanging="442"/>
        <w:jc w:val="both"/>
        <w:textDirection w:val="btLr"/>
        <w:textAlignment w:val="top"/>
        <w:outlineLvl w:val="0"/>
        <w:rPr>
          <w:rFonts w:ascii="Arial" w:eastAsia="Arial" w:hAnsi="Arial" w:cs="Arial"/>
          <w:sz w:val="20"/>
          <w:szCs w:val="20"/>
        </w:rPr>
      </w:pPr>
      <w:r w:rsidRPr="00996EE4">
        <w:rPr>
          <w:rFonts w:ascii="Arial" w:eastAsia="Arial" w:hAnsi="Arial" w:cs="Arial"/>
          <w:sz w:val="22"/>
          <w:szCs w:val="22"/>
        </w:rPr>
        <w:t xml:space="preserve">Recognizing that Joint programmes between IOC, United Nations and other international organizations are important ways to leverage and enhance IOC activities to best serve society and </w:t>
      </w:r>
      <w:r w:rsidR="00DC2FF8" w:rsidRPr="00996EE4">
        <w:rPr>
          <w:rFonts w:ascii="Arial" w:eastAsia="Arial" w:hAnsi="Arial" w:cs="Arial"/>
          <w:sz w:val="22"/>
          <w:szCs w:val="22"/>
        </w:rPr>
        <w:t>that t</w:t>
      </w:r>
      <w:r w:rsidRPr="00996EE4">
        <w:rPr>
          <w:rFonts w:ascii="Arial" w:eastAsia="Arial" w:hAnsi="Arial" w:cs="Arial"/>
          <w:sz w:val="22"/>
          <w:szCs w:val="22"/>
        </w:rPr>
        <w:t xml:space="preserve">hese programmes must be underpinned by timely and relevant agreements, </w:t>
      </w:r>
      <w:r w:rsidR="00DC2FF8" w:rsidRPr="00996EE4">
        <w:rPr>
          <w:rFonts w:ascii="Arial" w:eastAsia="Arial" w:hAnsi="Arial" w:cs="Arial"/>
          <w:sz w:val="22"/>
          <w:szCs w:val="22"/>
        </w:rPr>
        <w:t>a r</w:t>
      </w:r>
      <w:r w:rsidRPr="00996EE4">
        <w:rPr>
          <w:rFonts w:ascii="Arial" w:eastAsia="Arial" w:hAnsi="Arial" w:cs="Arial"/>
          <w:sz w:val="22"/>
          <w:szCs w:val="22"/>
        </w:rPr>
        <w:t xml:space="preserve">evised </w:t>
      </w:r>
      <w:r w:rsidR="00930078" w:rsidRPr="00996EE4">
        <w:rPr>
          <w:rFonts w:ascii="Arial" w:eastAsia="Arial" w:hAnsi="Arial" w:cs="Arial"/>
          <w:sz w:val="22"/>
          <w:szCs w:val="22"/>
        </w:rPr>
        <w:t xml:space="preserve">four-year </w:t>
      </w:r>
      <w:r w:rsidRPr="00996EE4">
        <w:rPr>
          <w:rFonts w:ascii="Arial" w:eastAsia="Arial" w:hAnsi="Arial" w:cs="Arial"/>
          <w:sz w:val="22"/>
          <w:szCs w:val="22"/>
        </w:rPr>
        <w:t>Memorandum of Understanding for the Global Climate Observing System (GCOS)</w:t>
      </w:r>
      <w:r w:rsidR="00DC2FF8" w:rsidRPr="00996EE4">
        <w:rPr>
          <w:rFonts w:ascii="Arial" w:eastAsia="Arial" w:hAnsi="Arial" w:cs="Arial"/>
          <w:sz w:val="22"/>
          <w:szCs w:val="22"/>
        </w:rPr>
        <w:t xml:space="preserve"> was negotiated with</w:t>
      </w:r>
      <w:r w:rsidR="00930078" w:rsidRPr="00996EE4">
        <w:rPr>
          <w:rFonts w:ascii="Arial" w:eastAsia="Arial" w:hAnsi="Arial" w:cs="Arial"/>
          <w:sz w:val="22"/>
          <w:szCs w:val="22"/>
        </w:rPr>
        <w:t xml:space="preserve"> the World Meteorological Organization (WMO), United Nations Environment Programme (UNEP)</w:t>
      </w:r>
      <w:r w:rsidR="00416FCE" w:rsidRPr="00996EE4">
        <w:rPr>
          <w:rFonts w:ascii="Arial" w:eastAsia="Arial" w:hAnsi="Arial" w:cs="Arial"/>
          <w:sz w:val="22"/>
          <w:szCs w:val="22"/>
        </w:rPr>
        <w:t xml:space="preserve"> and the International Science Council (ISC)</w:t>
      </w:r>
      <w:r w:rsidR="00930078" w:rsidRPr="00996EE4">
        <w:rPr>
          <w:rFonts w:ascii="Arial" w:eastAsia="Arial" w:hAnsi="Arial" w:cs="Arial"/>
          <w:sz w:val="22"/>
          <w:szCs w:val="22"/>
        </w:rPr>
        <w:t>;</w:t>
      </w:r>
    </w:p>
    <w:p w14:paraId="038D9D6E" w14:textId="77777777" w:rsidR="00A7097D" w:rsidRPr="00996EE4" w:rsidRDefault="00A7097D" w:rsidP="00996EE4">
      <w:pPr>
        <w:pStyle w:val="Paragraphedeliste"/>
        <w:spacing w:after="240"/>
        <w:ind w:left="1145" w:hanging="442"/>
        <w:contextualSpacing w:val="0"/>
        <w:rPr>
          <w:rFonts w:ascii="Arial" w:eastAsia="Arial" w:hAnsi="Arial" w:cs="Arial"/>
          <w:sz w:val="20"/>
          <w:szCs w:val="20"/>
        </w:rPr>
      </w:pPr>
    </w:p>
    <w:p w14:paraId="7419242C" w14:textId="4AF2E324" w:rsidR="00A7097D" w:rsidRPr="00996EE4" w:rsidRDefault="000F4909" w:rsidP="00996EE4">
      <w:pPr>
        <w:numPr>
          <w:ilvl w:val="0"/>
          <w:numId w:val="25"/>
        </w:numPr>
        <w:pBdr>
          <w:top w:val="nil"/>
          <w:left w:val="nil"/>
          <w:bottom w:val="nil"/>
          <w:right w:val="nil"/>
          <w:between w:val="nil"/>
        </w:pBdr>
        <w:tabs>
          <w:tab w:val="clear" w:pos="567"/>
        </w:tabs>
        <w:suppressAutoHyphens/>
        <w:snapToGrid/>
        <w:spacing w:after="240"/>
        <w:ind w:left="1145" w:hanging="442"/>
        <w:jc w:val="both"/>
        <w:textDirection w:val="btLr"/>
        <w:textAlignment w:val="top"/>
        <w:outlineLvl w:val="0"/>
        <w:rPr>
          <w:rFonts w:ascii="Arial" w:eastAsia="Arial" w:hAnsi="Arial" w:cs="Arial"/>
          <w:sz w:val="20"/>
          <w:szCs w:val="20"/>
        </w:rPr>
      </w:pPr>
      <w:r w:rsidRPr="00996EE4">
        <w:rPr>
          <w:rFonts w:ascii="Arial" w:hAnsi="Arial" w:cs="Arial"/>
          <w:color w:val="000000"/>
          <w:sz w:val="22"/>
          <w:szCs w:val="22"/>
        </w:rPr>
        <w:lastRenderedPageBreak/>
        <w:t>T</w:t>
      </w:r>
      <w:r w:rsidR="00A7097D" w:rsidRPr="00996EE4">
        <w:rPr>
          <w:rFonts w:ascii="Arial" w:hAnsi="Arial" w:cs="Arial"/>
          <w:color w:val="000000"/>
          <w:sz w:val="22"/>
          <w:szCs w:val="22"/>
        </w:rPr>
        <w:t>he Joint WMO-IOC Collaborative Board self-review of performance</w:t>
      </w:r>
      <w:r w:rsidR="00B91A3E" w:rsidRPr="00996EE4">
        <w:rPr>
          <w:rFonts w:ascii="Arial" w:hAnsi="Arial" w:cs="Arial"/>
          <w:color w:val="000000"/>
          <w:sz w:val="22"/>
          <w:szCs w:val="22"/>
        </w:rPr>
        <w:t xml:space="preserve"> was completed</w:t>
      </w:r>
      <w:r w:rsidR="00A7097D" w:rsidRPr="00996EE4">
        <w:rPr>
          <w:rFonts w:ascii="Arial" w:hAnsi="Arial" w:cs="Arial"/>
          <w:color w:val="000000"/>
          <w:sz w:val="22"/>
          <w:szCs w:val="22"/>
        </w:rPr>
        <w:t>.</w:t>
      </w:r>
    </w:p>
    <w:p w14:paraId="02CBCE21" w14:textId="4D711350" w:rsidR="00FC2A2B" w:rsidRPr="00996EE4" w:rsidRDefault="00FC2A2B" w:rsidP="00996EE4">
      <w:pPr>
        <w:pStyle w:val="Paragraphedeliste"/>
        <w:numPr>
          <w:ilvl w:val="0"/>
          <w:numId w:val="25"/>
        </w:numPr>
        <w:spacing w:after="240"/>
        <w:ind w:left="1145" w:hanging="442"/>
        <w:contextualSpacing w:val="0"/>
        <w:jc w:val="both"/>
        <w:rPr>
          <w:rFonts w:ascii="Arial" w:hAnsi="Arial" w:cs="Arial"/>
          <w:sz w:val="22"/>
          <w:szCs w:val="22"/>
        </w:rPr>
      </w:pPr>
      <w:r w:rsidRPr="00996EE4">
        <w:rPr>
          <w:rFonts w:asciiTheme="minorBidi" w:hAnsiTheme="minorBidi" w:cstheme="minorBidi"/>
          <w:sz w:val="22"/>
          <w:szCs w:val="22"/>
        </w:rPr>
        <w:t xml:space="preserve">The </w:t>
      </w:r>
      <w:r w:rsidRPr="002B2870">
        <w:rPr>
          <w:rFonts w:asciiTheme="minorBidi" w:hAnsiTheme="minorBidi" w:cstheme="minorBidi"/>
          <w:sz w:val="22"/>
          <w:szCs w:val="22"/>
        </w:rPr>
        <w:t>Ocean Data and Information System</w:t>
      </w:r>
      <w:r w:rsidRPr="00996EE4">
        <w:rPr>
          <w:rFonts w:asciiTheme="minorBidi" w:hAnsiTheme="minorBidi" w:cstheme="minorBidi"/>
          <w:i/>
          <w:iCs/>
          <w:sz w:val="22"/>
          <w:szCs w:val="22"/>
        </w:rPr>
        <w:t xml:space="preserve"> </w:t>
      </w:r>
      <w:r w:rsidRPr="00996EE4">
        <w:rPr>
          <w:rFonts w:asciiTheme="minorBidi" w:hAnsiTheme="minorBidi" w:cstheme="minorBidi"/>
          <w:sz w:val="22"/>
          <w:szCs w:val="22"/>
        </w:rPr>
        <w:t xml:space="preserve">(ODIS) started building a sustainable, interoperable, and inclusive digital ecosystem for all ocean stakeholders, aiming to link thousands of online </w:t>
      </w:r>
      <w:r w:rsidRPr="00996EE4">
        <w:rPr>
          <w:rFonts w:ascii="Arial" w:hAnsi="Arial" w:cs="Arial"/>
          <w:sz w:val="22"/>
          <w:szCs w:val="22"/>
        </w:rPr>
        <w:t xml:space="preserve">data systems into an “internet of ocean data”. </w:t>
      </w:r>
    </w:p>
    <w:p w14:paraId="52CCA17C" w14:textId="0CA833C7" w:rsidR="002660A1" w:rsidRPr="00996EE4" w:rsidRDefault="002660A1" w:rsidP="00996EE4">
      <w:pPr>
        <w:pStyle w:val="xmsonormal"/>
        <w:numPr>
          <w:ilvl w:val="0"/>
          <w:numId w:val="25"/>
        </w:numPr>
        <w:spacing w:after="240"/>
        <w:ind w:left="1145" w:hanging="442"/>
        <w:rPr>
          <w:rFonts w:ascii="Arial" w:hAnsi="Arial" w:cs="Arial"/>
          <w:sz w:val="22"/>
          <w:szCs w:val="22"/>
        </w:rPr>
      </w:pPr>
      <w:r w:rsidRPr="00996EE4">
        <w:rPr>
          <w:rFonts w:ascii="Arial" w:hAnsi="Arial" w:cs="Arial"/>
          <w:sz w:val="22"/>
          <w:szCs w:val="22"/>
        </w:rPr>
        <w:t>OBIS continued to grow, receiving more than one new dataset per day and over a million records per month.</w:t>
      </w:r>
    </w:p>
    <w:p w14:paraId="2FFECB23" w14:textId="3E6AD8AC" w:rsidR="00B91A3E" w:rsidRPr="00996EE4" w:rsidRDefault="009A6570" w:rsidP="00996EE4">
      <w:pPr>
        <w:pStyle w:val="Paragraphedeliste"/>
        <w:numPr>
          <w:ilvl w:val="0"/>
          <w:numId w:val="25"/>
        </w:numPr>
        <w:spacing w:after="240"/>
        <w:ind w:left="1145" w:hanging="442"/>
        <w:contextualSpacing w:val="0"/>
        <w:jc w:val="both"/>
        <w:rPr>
          <w:rFonts w:ascii="Arial" w:hAnsi="Arial" w:cs="Arial"/>
          <w:sz w:val="22"/>
          <w:szCs w:val="22"/>
        </w:rPr>
      </w:pPr>
      <w:r w:rsidRPr="00996EE4">
        <w:rPr>
          <w:rFonts w:ascii="Arial" w:hAnsi="Arial" w:cs="Arial"/>
          <w:sz w:val="22"/>
          <w:szCs w:val="22"/>
        </w:rPr>
        <w:t xml:space="preserve">As a joint effort between </w:t>
      </w:r>
      <w:r w:rsidR="004D5B62" w:rsidRPr="00996EE4">
        <w:rPr>
          <w:rFonts w:ascii="Arial" w:hAnsi="Arial" w:cs="Arial"/>
          <w:sz w:val="22"/>
          <w:szCs w:val="22"/>
        </w:rPr>
        <w:t xml:space="preserve">the </w:t>
      </w:r>
      <w:r w:rsidRPr="00996EE4">
        <w:rPr>
          <w:rFonts w:ascii="Arial" w:hAnsi="Arial" w:cs="Arial"/>
          <w:sz w:val="22"/>
          <w:szCs w:val="22"/>
        </w:rPr>
        <w:t>G</w:t>
      </w:r>
      <w:r w:rsidR="004D5B62" w:rsidRPr="00996EE4">
        <w:rPr>
          <w:rFonts w:ascii="Arial" w:hAnsi="Arial" w:cs="Arial"/>
          <w:sz w:val="22"/>
          <w:szCs w:val="22"/>
        </w:rPr>
        <w:t xml:space="preserve">lobal </w:t>
      </w:r>
      <w:r w:rsidRPr="00996EE4">
        <w:rPr>
          <w:rFonts w:ascii="Arial" w:hAnsi="Arial" w:cs="Arial"/>
          <w:sz w:val="22"/>
          <w:szCs w:val="22"/>
        </w:rPr>
        <w:t>O</w:t>
      </w:r>
      <w:r w:rsidR="004D5B62" w:rsidRPr="00996EE4">
        <w:rPr>
          <w:rFonts w:ascii="Arial" w:hAnsi="Arial" w:cs="Arial"/>
          <w:sz w:val="22"/>
          <w:szCs w:val="22"/>
        </w:rPr>
        <w:t xml:space="preserve">cean </w:t>
      </w:r>
      <w:r w:rsidRPr="00996EE4">
        <w:rPr>
          <w:rFonts w:ascii="Arial" w:hAnsi="Arial" w:cs="Arial"/>
          <w:sz w:val="22"/>
          <w:szCs w:val="22"/>
        </w:rPr>
        <w:t>O</w:t>
      </w:r>
      <w:r w:rsidR="004D5B62" w:rsidRPr="00996EE4">
        <w:rPr>
          <w:rFonts w:ascii="Arial" w:hAnsi="Arial" w:cs="Arial"/>
          <w:sz w:val="22"/>
          <w:szCs w:val="22"/>
        </w:rPr>
        <w:t xml:space="preserve">bserving </w:t>
      </w:r>
      <w:r w:rsidRPr="00996EE4">
        <w:rPr>
          <w:rFonts w:ascii="Arial" w:hAnsi="Arial" w:cs="Arial"/>
          <w:sz w:val="22"/>
          <w:szCs w:val="22"/>
        </w:rPr>
        <w:t>S</w:t>
      </w:r>
      <w:r w:rsidR="004D5B62" w:rsidRPr="00996EE4">
        <w:rPr>
          <w:rFonts w:ascii="Arial" w:hAnsi="Arial" w:cs="Arial"/>
          <w:sz w:val="22"/>
          <w:szCs w:val="22"/>
        </w:rPr>
        <w:t>ystem (GOOS)</w:t>
      </w:r>
      <w:r w:rsidRPr="00996EE4">
        <w:rPr>
          <w:rFonts w:ascii="Arial" w:hAnsi="Arial" w:cs="Arial"/>
          <w:sz w:val="22"/>
          <w:szCs w:val="22"/>
        </w:rPr>
        <w:t xml:space="preserve"> and the IODE/Ocean Biodiversity Information System (OBIS) information </w:t>
      </w:r>
      <w:r w:rsidR="00855825" w:rsidRPr="00996EE4">
        <w:rPr>
          <w:rFonts w:ascii="Arial" w:hAnsi="Arial" w:cs="Arial"/>
          <w:sz w:val="22"/>
          <w:szCs w:val="22"/>
        </w:rPr>
        <w:t xml:space="preserve">was collected </w:t>
      </w:r>
      <w:r w:rsidRPr="00996EE4">
        <w:rPr>
          <w:rFonts w:ascii="Arial" w:hAnsi="Arial" w:cs="Arial"/>
          <w:sz w:val="22"/>
          <w:szCs w:val="22"/>
        </w:rPr>
        <w:t>from 638 long-term active biological monitoring programmes and integrated into an online metadata platform (</w:t>
      </w:r>
      <w:proofErr w:type="spellStart"/>
      <w:r w:rsidRPr="00996EE4">
        <w:rPr>
          <w:rFonts w:ascii="Arial" w:hAnsi="Arial" w:cs="Arial"/>
          <w:sz w:val="22"/>
          <w:szCs w:val="22"/>
        </w:rPr>
        <w:t>BioEco</w:t>
      </w:r>
      <w:proofErr w:type="spellEnd"/>
      <w:r w:rsidRPr="00996EE4">
        <w:rPr>
          <w:rFonts w:ascii="Arial" w:hAnsi="Arial" w:cs="Arial"/>
          <w:sz w:val="22"/>
          <w:szCs w:val="22"/>
        </w:rPr>
        <w:t xml:space="preserve"> portal) which will be connected to </w:t>
      </w:r>
      <w:proofErr w:type="gramStart"/>
      <w:r w:rsidRPr="00996EE4">
        <w:rPr>
          <w:rFonts w:ascii="Arial" w:hAnsi="Arial" w:cs="Arial"/>
          <w:sz w:val="22"/>
          <w:szCs w:val="22"/>
        </w:rPr>
        <w:t>ODIS, and</w:t>
      </w:r>
      <w:proofErr w:type="gramEnd"/>
      <w:r w:rsidRPr="00996EE4">
        <w:rPr>
          <w:rFonts w:ascii="Arial" w:hAnsi="Arial" w:cs="Arial"/>
          <w:sz w:val="22"/>
          <w:szCs w:val="22"/>
        </w:rPr>
        <w:t xml:space="preserve"> become the infrastructure to monitor the status of the marine biological component of</w:t>
      </w:r>
      <w:r w:rsidR="004D5B62" w:rsidRPr="00996EE4">
        <w:rPr>
          <w:rFonts w:ascii="Arial" w:hAnsi="Arial" w:cs="Arial"/>
          <w:sz w:val="22"/>
          <w:szCs w:val="22"/>
        </w:rPr>
        <w:t xml:space="preserve"> GOOS</w:t>
      </w:r>
      <w:r w:rsidRPr="00996EE4">
        <w:rPr>
          <w:rFonts w:ascii="Arial" w:hAnsi="Arial" w:cs="Arial"/>
          <w:sz w:val="22"/>
          <w:szCs w:val="22"/>
        </w:rPr>
        <w:t xml:space="preserve">. OBIS continues to play a key role in this by also hosting and providing an integrated, </w:t>
      </w:r>
      <w:proofErr w:type="gramStart"/>
      <w:r w:rsidRPr="00996EE4">
        <w:rPr>
          <w:rFonts w:ascii="Arial" w:hAnsi="Arial" w:cs="Arial"/>
          <w:sz w:val="22"/>
          <w:szCs w:val="22"/>
        </w:rPr>
        <w:t>standardised</w:t>
      </w:r>
      <w:proofErr w:type="gramEnd"/>
      <w:r w:rsidRPr="00996EE4">
        <w:rPr>
          <w:rFonts w:ascii="Arial" w:hAnsi="Arial" w:cs="Arial"/>
          <w:sz w:val="22"/>
          <w:szCs w:val="22"/>
        </w:rPr>
        <w:t xml:space="preserve"> and quality controlled access point to the actual biological and ecosystem observations required to feed into ecosystem models, early-warning systems and indicator and assessment frameworks.</w:t>
      </w:r>
    </w:p>
    <w:p w14:paraId="299DF2CB" w14:textId="2CF33ACF" w:rsidR="0073314B" w:rsidRPr="00996EE4" w:rsidRDefault="00113997" w:rsidP="00996EE4">
      <w:pPr>
        <w:pStyle w:val="Paragraphedeliste"/>
        <w:numPr>
          <w:ilvl w:val="0"/>
          <w:numId w:val="25"/>
        </w:numPr>
        <w:spacing w:after="240"/>
        <w:ind w:left="1145" w:hanging="442"/>
        <w:contextualSpacing w:val="0"/>
        <w:jc w:val="both"/>
        <w:rPr>
          <w:rFonts w:ascii="Arial" w:hAnsi="Arial" w:cs="Arial"/>
          <w:sz w:val="22"/>
          <w:szCs w:val="22"/>
        </w:rPr>
      </w:pPr>
      <w:r w:rsidRPr="00996EE4">
        <w:rPr>
          <w:rFonts w:ascii="Arial" w:hAnsi="Arial" w:cs="Arial"/>
          <w:sz w:val="22"/>
          <w:szCs w:val="22"/>
          <w:lang w:val="en-US"/>
        </w:rPr>
        <w:t xml:space="preserve">The Flanders-funded Environmental DNA Expeditions project in Marine World Heritage Sites, implemented jointly by IOC and the World Heritage Centre, is now concluding with the analysis of over 400 samples from 20 sites. A summary for policymakers will be published in June 2024. It will illustrate the biodiversity richness and unique discoveries witnessed through eDNA sampling involving over 200 school children (citizen scientists) and highlight its vulnerability to global warming under climate change and the need to upscale observations and data sharing to support conservation efforts. </w:t>
      </w:r>
    </w:p>
    <w:p w14:paraId="7BB9D497" w14:textId="1E9DE476" w:rsidR="00365ED5" w:rsidRPr="00996EE4" w:rsidRDefault="00855CEB" w:rsidP="002B2870">
      <w:pPr>
        <w:pStyle w:val="Paragraphedeliste"/>
        <w:numPr>
          <w:ilvl w:val="0"/>
          <w:numId w:val="25"/>
        </w:numPr>
        <w:spacing w:after="120"/>
        <w:ind w:left="1145" w:hanging="442"/>
        <w:contextualSpacing w:val="0"/>
        <w:jc w:val="both"/>
        <w:rPr>
          <w:rFonts w:asciiTheme="minorBidi" w:hAnsiTheme="minorBidi" w:cstheme="minorBidi"/>
          <w:sz w:val="22"/>
          <w:szCs w:val="22"/>
        </w:rPr>
      </w:pPr>
      <w:r w:rsidRPr="00996EE4">
        <w:rPr>
          <w:rFonts w:asciiTheme="minorBidi" w:hAnsiTheme="minorBidi" w:cstheme="minorBidi"/>
          <w:sz w:val="22"/>
          <w:szCs w:val="22"/>
        </w:rPr>
        <w:t>Tsunami programme kept its strong capacity development focus in all ocean basins. With active support by Member States as indicated by the renewal of</w:t>
      </w:r>
      <w:r w:rsidR="00365ED5" w:rsidRPr="00996EE4">
        <w:rPr>
          <w:rFonts w:asciiTheme="minorBidi" w:hAnsiTheme="minorBidi" w:cstheme="minorBidi"/>
          <w:sz w:val="22"/>
          <w:szCs w:val="22"/>
        </w:rPr>
        <w:t xml:space="preserve"> agreements with:</w:t>
      </w:r>
    </w:p>
    <w:p w14:paraId="3B16B815" w14:textId="1B38FDB1" w:rsidR="00365ED5" w:rsidRPr="00996EE4" w:rsidRDefault="00365ED5" w:rsidP="002B2870">
      <w:pPr>
        <w:pStyle w:val="Paragraphedeliste"/>
        <w:spacing w:after="120"/>
        <w:ind w:left="1560" w:hanging="412"/>
        <w:contextualSpacing w:val="0"/>
        <w:jc w:val="both"/>
        <w:rPr>
          <w:rFonts w:asciiTheme="minorBidi" w:hAnsiTheme="minorBidi" w:cstheme="minorBidi"/>
          <w:sz w:val="22"/>
          <w:szCs w:val="22"/>
        </w:rPr>
      </w:pPr>
      <w:r w:rsidRPr="00996EE4">
        <w:rPr>
          <w:rFonts w:asciiTheme="minorBidi" w:hAnsiTheme="minorBidi" w:cstheme="minorBidi"/>
          <w:sz w:val="22"/>
          <w:szCs w:val="22"/>
        </w:rPr>
        <w:t>-</w:t>
      </w:r>
      <w:r w:rsidR="00855CEB" w:rsidRPr="00996EE4">
        <w:rPr>
          <w:rFonts w:asciiTheme="minorBidi" w:hAnsiTheme="minorBidi" w:cstheme="minorBidi"/>
          <w:sz w:val="22"/>
          <w:szCs w:val="22"/>
        </w:rPr>
        <w:t xml:space="preserve"> </w:t>
      </w:r>
      <w:r w:rsidR="002B2870">
        <w:rPr>
          <w:rFonts w:asciiTheme="minorBidi" w:hAnsiTheme="minorBidi" w:cstheme="minorBidi"/>
          <w:sz w:val="22"/>
          <w:szCs w:val="22"/>
        </w:rPr>
        <w:tab/>
      </w:r>
      <w:r w:rsidR="00855CEB" w:rsidRPr="00996EE4">
        <w:rPr>
          <w:rFonts w:asciiTheme="minorBidi" w:hAnsiTheme="minorBidi" w:cstheme="minorBidi"/>
          <w:sz w:val="22"/>
          <w:szCs w:val="22"/>
        </w:rPr>
        <w:t>the Agency for Meteorology, Climatology, and Geophysics of the Republic of Indonesia hosting the Indian Ocean Tsunami Information Centre (IOTIC) 2023</w:t>
      </w:r>
      <w:r w:rsidR="002B2870">
        <w:rPr>
          <w:rFonts w:asciiTheme="minorBidi" w:hAnsiTheme="minorBidi" w:cstheme="minorBidi"/>
          <w:sz w:val="22"/>
          <w:szCs w:val="22"/>
        </w:rPr>
        <w:t>–</w:t>
      </w:r>
      <w:r w:rsidR="00855CEB" w:rsidRPr="00996EE4">
        <w:rPr>
          <w:rFonts w:asciiTheme="minorBidi" w:hAnsiTheme="minorBidi" w:cstheme="minorBidi"/>
          <w:sz w:val="22"/>
          <w:szCs w:val="22"/>
        </w:rPr>
        <w:t xml:space="preserve">2027, </w:t>
      </w:r>
    </w:p>
    <w:p w14:paraId="5547FB33" w14:textId="0A8C71EE" w:rsidR="008A23E5" w:rsidRPr="00996EE4" w:rsidRDefault="00365ED5" w:rsidP="002B2870">
      <w:pPr>
        <w:pStyle w:val="Paragraphedeliste"/>
        <w:spacing w:after="120"/>
        <w:ind w:left="1560" w:hanging="412"/>
        <w:contextualSpacing w:val="0"/>
        <w:jc w:val="both"/>
        <w:rPr>
          <w:rFonts w:asciiTheme="minorBidi" w:hAnsiTheme="minorBidi" w:cstheme="minorBidi"/>
          <w:sz w:val="22"/>
          <w:szCs w:val="22"/>
        </w:rPr>
      </w:pPr>
      <w:r w:rsidRPr="00996EE4">
        <w:rPr>
          <w:rFonts w:asciiTheme="minorBidi" w:hAnsiTheme="minorBidi" w:cstheme="minorBidi"/>
          <w:sz w:val="22"/>
          <w:szCs w:val="22"/>
        </w:rPr>
        <w:t xml:space="preserve">- </w:t>
      </w:r>
      <w:r w:rsidR="002B2870">
        <w:rPr>
          <w:rFonts w:asciiTheme="minorBidi" w:hAnsiTheme="minorBidi" w:cstheme="minorBidi"/>
          <w:sz w:val="22"/>
          <w:szCs w:val="22"/>
        </w:rPr>
        <w:tab/>
      </w:r>
      <w:r w:rsidR="00855CEB" w:rsidRPr="00996EE4">
        <w:rPr>
          <w:rFonts w:asciiTheme="minorBidi" w:hAnsiTheme="minorBidi" w:cstheme="minorBidi"/>
          <w:sz w:val="22"/>
          <w:szCs w:val="22"/>
        </w:rPr>
        <w:t>the Coastal Zone Management Unit (CZMU) of Barbados host</w:t>
      </w:r>
      <w:r w:rsidRPr="00996EE4">
        <w:rPr>
          <w:rFonts w:asciiTheme="minorBidi" w:hAnsiTheme="minorBidi" w:cstheme="minorBidi"/>
          <w:sz w:val="22"/>
          <w:szCs w:val="22"/>
        </w:rPr>
        <w:t>ing</w:t>
      </w:r>
      <w:r w:rsidR="00855CEB" w:rsidRPr="00996EE4">
        <w:rPr>
          <w:rFonts w:asciiTheme="minorBidi" w:hAnsiTheme="minorBidi" w:cstheme="minorBidi"/>
          <w:sz w:val="22"/>
          <w:szCs w:val="22"/>
        </w:rPr>
        <w:t xml:space="preserve"> the Caribbean Tsunami Information Centre (CTIC) 2024</w:t>
      </w:r>
      <w:r w:rsidR="002B2870">
        <w:rPr>
          <w:rFonts w:asciiTheme="minorBidi" w:hAnsiTheme="minorBidi" w:cstheme="minorBidi"/>
          <w:sz w:val="22"/>
          <w:szCs w:val="22"/>
        </w:rPr>
        <w:t>–</w:t>
      </w:r>
      <w:r w:rsidR="00855CEB" w:rsidRPr="00996EE4">
        <w:rPr>
          <w:rFonts w:asciiTheme="minorBidi" w:hAnsiTheme="minorBidi" w:cstheme="minorBidi"/>
          <w:sz w:val="22"/>
          <w:szCs w:val="22"/>
        </w:rPr>
        <w:t>2029</w:t>
      </w:r>
      <w:r w:rsidR="008A23E5" w:rsidRPr="00996EE4">
        <w:rPr>
          <w:rFonts w:asciiTheme="minorBidi" w:hAnsiTheme="minorBidi" w:cstheme="minorBidi"/>
          <w:sz w:val="22"/>
          <w:szCs w:val="22"/>
        </w:rPr>
        <w:t xml:space="preserve">, </w:t>
      </w:r>
      <w:r w:rsidR="00855CEB" w:rsidRPr="00996EE4">
        <w:rPr>
          <w:rFonts w:asciiTheme="minorBidi" w:hAnsiTheme="minorBidi" w:cstheme="minorBidi"/>
          <w:sz w:val="22"/>
          <w:szCs w:val="22"/>
        </w:rPr>
        <w:t xml:space="preserve">and </w:t>
      </w:r>
    </w:p>
    <w:p w14:paraId="67C08D00" w14:textId="72675228" w:rsidR="008A23E5" w:rsidRPr="00996EE4" w:rsidRDefault="008A23E5" w:rsidP="002B2870">
      <w:pPr>
        <w:pStyle w:val="Paragraphedeliste"/>
        <w:spacing w:after="240"/>
        <w:ind w:left="1560" w:hanging="412"/>
        <w:contextualSpacing w:val="0"/>
        <w:jc w:val="both"/>
        <w:rPr>
          <w:rFonts w:asciiTheme="minorBidi" w:hAnsiTheme="minorBidi" w:cstheme="minorBidi"/>
          <w:sz w:val="22"/>
          <w:szCs w:val="22"/>
        </w:rPr>
      </w:pPr>
      <w:r w:rsidRPr="00996EE4">
        <w:rPr>
          <w:rFonts w:asciiTheme="minorBidi" w:hAnsiTheme="minorBidi" w:cstheme="minorBidi"/>
          <w:sz w:val="22"/>
          <w:szCs w:val="22"/>
        </w:rPr>
        <w:t>-</w:t>
      </w:r>
      <w:r w:rsidR="00855CEB" w:rsidRPr="00996EE4">
        <w:rPr>
          <w:rFonts w:asciiTheme="minorBidi" w:hAnsiTheme="minorBidi" w:cstheme="minorBidi"/>
          <w:sz w:val="22"/>
          <w:szCs w:val="22"/>
        </w:rPr>
        <w:t xml:space="preserve"> </w:t>
      </w:r>
      <w:r w:rsidR="002B2870">
        <w:rPr>
          <w:rFonts w:asciiTheme="minorBidi" w:hAnsiTheme="minorBidi" w:cstheme="minorBidi"/>
          <w:sz w:val="22"/>
          <w:szCs w:val="22"/>
        </w:rPr>
        <w:tab/>
      </w:r>
      <w:r w:rsidR="00855CEB" w:rsidRPr="00996EE4">
        <w:rPr>
          <w:rFonts w:asciiTheme="minorBidi" w:hAnsiTheme="minorBidi" w:cstheme="minorBidi"/>
          <w:sz w:val="22"/>
          <w:szCs w:val="22"/>
        </w:rPr>
        <w:t>the Bureau of Meteorology (Bureau) of Australia hosting the Indian Ocean Tsunami Warning and Mitigation (IOTWMS) Office in Perth, Australia 2023</w:t>
      </w:r>
      <w:r w:rsidR="002B2870">
        <w:rPr>
          <w:rFonts w:asciiTheme="minorBidi" w:hAnsiTheme="minorBidi" w:cstheme="minorBidi"/>
          <w:sz w:val="22"/>
          <w:szCs w:val="22"/>
        </w:rPr>
        <w:t>–</w:t>
      </w:r>
      <w:r w:rsidR="00855CEB" w:rsidRPr="00996EE4">
        <w:rPr>
          <w:rFonts w:asciiTheme="minorBidi" w:hAnsiTheme="minorBidi" w:cstheme="minorBidi"/>
          <w:sz w:val="22"/>
          <w:szCs w:val="22"/>
        </w:rPr>
        <w:t xml:space="preserve">2027. </w:t>
      </w:r>
    </w:p>
    <w:p w14:paraId="06144AE9" w14:textId="20EA81A8" w:rsidR="00855CEB" w:rsidRPr="00996EE4" w:rsidRDefault="00855CEB" w:rsidP="002B2870">
      <w:pPr>
        <w:pStyle w:val="Paragraphedeliste"/>
        <w:spacing w:after="240"/>
        <w:ind w:left="1145" w:firstLine="3"/>
        <w:contextualSpacing w:val="0"/>
        <w:jc w:val="both"/>
        <w:rPr>
          <w:rFonts w:asciiTheme="minorBidi" w:hAnsiTheme="minorBidi" w:cstheme="minorBidi"/>
          <w:sz w:val="22"/>
          <w:szCs w:val="22"/>
        </w:rPr>
      </w:pPr>
      <w:r w:rsidRPr="00996EE4">
        <w:rPr>
          <w:rFonts w:asciiTheme="minorBidi" w:hAnsiTheme="minorBidi" w:cstheme="minorBidi"/>
          <w:sz w:val="22"/>
          <w:szCs w:val="22"/>
        </w:rPr>
        <w:t>IOC</w:t>
      </w:r>
      <w:r w:rsidR="00955047" w:rsidRPr="00996EE4">
        <w:rPr>
          <w:rFonts w:asciiTheme="minorBidi" w:hAnsiTheme="minorBidi" w:cstheme="minorBidi"/>
          <w:sz w:val="22"/>
          <w:szCs w:val="22"/>
        </w:rPr>
        <w:t xml:space="preserve"> Technical Series No.</w:t>
      </w:r>
      <w:r w:rsidR="002B2870">
        <w:rPr>
          <w:rFonts w:asciiTheme="minorBidi" w:hAnsiTheme="minorBidi" w:cstheme="minorBidi"/>
          <w:sz w:val="22"/>
          <w:szCs w:val="22"/>
        </w:rPr>
        <w:t> </w:t>
      </w:r>
      <w:r w:rsidR="00955047" w:rsidRPr="00996EE4">
        <w:rPr>
          <w:rFonts w:asciiTheme="minorBidi" w:hAnsiTheme="minorBidi" w:cstheme="minorBidi"/>
          <w:sz w:val="22"/>
          <w:szCs w:val="22"/>
        </w:rPr>
        <w:t>183 was published on</w:t>
      </w:r>
      <w:r w:rsidRPr="00996EE4">
        <w:rPr>
          <w:rFonts w:asciiTheme="minorBidi" w:hAnsiTheme="minorBidi" w:cstheme="minorBidi"/>
          <w:sz w:val="22"/>
          <w:szCs w:val="22"/>
        </w:rPr>
        <w:t xml:space="preserve"> </w:t>
      </w:r>
      <w:r w:rsidRPr="002B2870">
        <w:rPr>
          <w:rFonts w:asciiTheme="minorBidi" w:hAnsiTheme="minorBidi" w:cstheme="minorBidi"/>
          <w:i/>
          <w:iCs/>
          <w:sz w:val="22"/>
          <w:szCs w:val="22"/>
        </w:rPr>
        <w:t>Monitoring and Warning for Tsunamis Generated by Volcanoes</w:t>
      </w:r>
      <w:r w:rsidRPr="00996EE4">
        <w:rPr>
          <w:rFonts w:asciiTheme="minorBidi" w:hAnsiTheme="minorBidi" w:cstheme="minorBidi"/>
          <w:sz w:val="22"/>
          <w:szCs w:val="22"/>
        </w:rPr>
        <w:t xml:space="preserve">. </w:t>
      </w:r>
      <w:r w:rsidR="007D72B0" w:rsidRPr="00996EE4">
        <w:rPr>
          <w:rFonts w:asciiTheme="minorBidi" w:hAnsiTheme="minorBidi" w:cstheme="minorBidi"/>
          <w:sz w:val="22"/>
          <w:szCs w:val="22"/>
        </w:rPr>
        <w:t>The</w:t>
      </w:r>
      <w:r w:rsidRPr="00996EE4">
        <w:rPr>
          <w:rFonts w:asciiTheme="minorBidi" w:hAnsiTheme="minorBidi" w:cstheme="minorBidi"/>
          <w:sz w:val="22"/>
          <w:szCs w:val="22"/>
        </w:rPr>
        <w:t xml:space="preserve"> Tsunami Ready Recognition Programme continued to expand, with over 50 communities now recognized in 24 Member States. </w:t>
      </w:r>
    </w:p>
    <w:p w14:paraId="56E499A4" w14:textId="52CEEFBF" w:rsidR="00D32A15" w:rsidRPr="00996EE4" w:rsidRDefault="00D32A15" w:rsidP="00996EE4">
      <w:pPr>
        <w:pStyle w:val="Paragraphedeliste"/>
        <w:numPr>
          <w:ilvl w:val="0"/>
          <w:numId w:val="24"/>
        </w:numPr>
        <w:spacing w:after="240"/>
        <w:ind w:left="1145" w:hanging="442"/>
        <w:contextualSpacing w:val="0"/>
        <w:jc w:val="both"/>
        <w:rPr>
          <w:rFonts w:asciiTheme="minorBidi" w:hAnsiTheme="minorBidi" w:cstheme="minorBidi"/>
          <w:sz w:val="22"/>
          <w:szCs w:val="22"/>
        </w:rPr>
      </w:pPr>
      <w:r w:rsidRPr="00996EE4">
        <w:rPr>
          <w:rFonts w:asciiTheme="minorBidi" w:hAnsiTheme="minorBidi" w:cstheme="minorBidi"/>
          <w:sz w:val="22"/>
          <w:szCs w:val="22"/>
        </w:rPr>
        <w:t xml:space="preserve">As joint effort by </w:t>
      </w:r>
      <w:proofErr w:type="spellStart"/>
      <w:r w:rsidRPr="00996EE4">
        <w:rPr>
          <w:rFonts w:asciiTheme="minorBidi" w:hAnsiTheme="minorBidi" w:cstheme="minorBidi"/>
          <w:sz w:val="22"/>
          <w:szCs w:val="22"/>
        </w:rPr>
        <w:t>GlobalHAB</w:t>
      </w:r>
      <w:proofErr w:type="spellEnd"/>
      <w:r w:rsidRPr="00996EE4">
        <w:rPr>
          <w:rFonts w:asciiTheme="minorBidi" w:hAnsiTheme="minorBidi" w:cstheme="minorBidi"/>
          <w:sz w:val="22"/>
          <w:szCs w:val="22"/>
        </w:rPr>
        <w:t xml:space="preserve"> and GESAMP a whitepaper on </w:t>
      </w:r>
      <w:r w:rsidRPr="00996EE4">
        <w:rPr>
          <w:rFonts w:asciiTheme="minorBidi" w:hAnsiTheme="minorBidi" w:cstheme="minorBidi"/>
          <w:i/>
          <w:sz w:val="22"/>
          <w:szCs w:val="22"/>
        </w:rPr>
        <w:t>Sargassum</w:t>
      </w:r>
      <w:r w:rsidRPr="00996EE4">
        <w:rPr>
          <w:rFonts w:asciiTheme="minorBidi" w:hAnsiTheme="minorBidi" w:cstheme="minorBidi"/>
          <w:sz w:val="22"/>
          <w:szCs w:val="22"/>
        </w:rPr>
        <w:t xml:space="preserve"> was published in June 2023. A Memorandum of Understanding was signed April 2024 between IOC</w:t>
      </w:r>
      <w:r w:rsidR="002B2870">
        <w:rPr>
          <w:rFonts w:asciiTheme="minorBidi" w:hAnsiTheme="minorBidi" w:cstheme="minorBidi"/>
          <w:sz w:val="22"/>
          <w:szCs w:val="22"/>
        </w:rPr>
        <w:t>-</w:t>
      </w:r>
      <w:r w:rsidRPr="00996EE4">
        <w:rPr>
          <w:rFonts w:asciiTheme="minorBidi" w:hAnsiTheme="minorBidi" w:cstheme="minorBidi"/>
          <w:sz w:val="22"/>
          <w:szCs w:val="22"/>
        </w:rPr>
        <w:t>UNESCO and FAO to formalise close ongoing cooperation on early warning systems for HAB’s and on global data compilation and sharing. A collaborative global effort under the lead of IPHAB entitled HAB Solutions (HAB-S) was endorsed as a Decade programme early 2024.</w:t>
      </w:r>
    </w:p>
    <w:p w14:paraId="7611A5AC" w14:textId="3EC0EAF5" w:rsidR="00D32A15" w:rsidRPr="00996EE4" w:rsidRDefault="00D32A15" w:rsidP="00996EE4">
      <w:pPr>
        <w:pStyle w:val="Paragraphedeliste"/>
        <w:numPr>
          <w:ilvl w:val="0"/>
          <w:numId w:val="25"/>
        </w:numPr>
        <w:spacing w:after="240"/>
        <w:ind w:left="1145" w:hanging="442"/>
        <w:contextualSpacing w:val="0"/>
        <w:jc w:val="both"/>
        <w:rPr>
          <w:rFonts w:asciiTheme="minorBidi" w:hAnsiTheme="minorBidi" w:cstheme="minorBidi"/>
          <w:sz w:val="22"/>
          <w:szCs w:val="22"/>
        </w:rPr>
      </w:pPr>
      <w:r w:rsidRPr="00996EE4">
        <w:rPr>
          <w:rFonts w:asciiTheme="minorBidi" w:hAnsiTheme="minorBidi" w:cstheme="minorBidi"/>
          <w:sz w:val="22"/>
          <w:szCs w:val="22"/>
        </w:rPr>
        <w:t xml:space="preserve">In </w:t>
      </w:r>
      <w:r w:rsidR="00943FAE" w:rsidRPr="00996EE4">
        <w:rPr>
          <w:rFonts w:asciiTheme="minorBidi" w:hAnsiTheme="minorBidi" w:cstheme="minorBidi"/>
          <w:sz w:val="22"/>
          <w:szCs w:val="22"/>
        </w:rPr>
        <w:t xml:space="preserve">June </w:t>
      </w:r>
      <w:r w:rsidRPr="00996EE4">
        <w:rPr>
          <w:rFonts w:asciiTheme="minorBidi" w:hAnsiTheme="minorBidi" w:cstheme="minorBidi"/>
          <w:sz w:val="22"/>
          <w:szCs w:val="22"/>
        </w:rPr>
        <w:t>2023, IOC adopted its 2023</w:t>
      </w:r>
      <w:r w:rsidR="002B2870">
        <w:rPr>
          <w:rFonts w:asciiTheme="minorBidi" w:hAnsiTheme="minorBidi" w:cstheme="minorBidi"/>
          <w:sz w:val="22"/>
          <w:szCs w:val="22"/>
        </w:rPr>
        <w:t>–</w:t>
      </w:r>
      <w:r w:rsidRPr="00996EE4">
        <w:rPr>
          <w:rFonts w:asciiTheme="minorBidi" w:hAnsiTheme="minorBidi" w:cstheme="minorBidi"/>
          <w:sz w:val="22"/>
          <w:szCs w:val="22"/>
        </w:rPr>
        <w:t>2030 Capacity Development Strategy. The Ocean Teacher Global Academy continued to grow, with now 17 Training Centres established. With its ISO 29990 certification, IOC certifies hundreds of training participants every year. The Ocean CD-Hub has been further developed as a component of the CHM/TMT (Clearing-House mechanism for the Transfer of Marine Technology).</w:t>
      </w:r>
    </w:p>
    <w:p w14:paraId="0EF67091" w14:textId="7E5B67F8" w:rsidR="00D32A15" w:rsidRPr="00996EE4" w:rsidRDefault="00D32A15" w:rsidP="00996EE4">
      <w:pPr>
        <w:pStyle w:val="Paragraphedeliste"/>
        <w:numPr>
          <w:ilvl w:val="0"/>
          <w:numId w:val="25"/>
        </w:numPr>
        <w:spacing w:after="240"/>
        <w:ind w:left="1145" w:hanging="442"/>
        <w:contextualSpacing w:val="0"/>
        <w:jc w:val="both"/>
        <w:rPr>
          <w:rFonts w:ascii="Arial" w:hAnsi="Arial" w:cs="Arial"/>
          <w:snapToGrid/>
          <w:color w:val="000000"/>
          <w:sz w:val="22"/>
          <w:szCs w:val="22"/>
          <w:lang w:val="en-US"/>
        </w:rPr>
      </w:pPr>
      <w:r w:rsidRPr="00996EE4">
        <w:rPr>
          <w:rFonts w:ascii="Arial" w:hAnsi="Arial" w:cs="Arial"/>
          <w:snapToGrid/>
          <w:color w:val="000000"/>
          <w:sz w:val="22"/>
          <w:szCs w:val="22"/>
          <w:lang w:val="en-US"/>
        </w:rPr>
        <w:t xml:space="preserve">With the IOC capacity development effort bolstered by NORAD funding, five activities were launched in 2024, co-designed with regional and technical subsidiary bodies: (i) </w:t>
      </w:r>
      <w:r w:rsidRPr="00996EE4">
        <w:rPr>
          <w:rFonts w:ascii="Arial" w:hAnsi="Arial" w:cs="Arial"/>
          <w:snapToGrid/>
          <w:color w:val="000000"/>
          <w:sz w:val="22"/>
          <w:szCs w:val="22"/>
          <w:lang w:val="en-US"/>
        </w:rPr>
        <w:lastRenderedPageBreak/>
        <w:t>Establishing Early Warning Systems for Harmful Algae Blooms in Africa; (ii) GLOSS Africa (Phase</w:t>
      </w:r>
      <w:r w:rsidR="002B2870">
        <w:rPr>
          <w:rFonts w:ascii="Arial" w:hAnsi="Arial" w:cs="Arial"/>
          <w:snapToGrid/>
          <w:color w:val="000000"/>
          <w:sz w:val="22"/>
          <w:szCs w:val="22"/>
          <w:lang w:val="en-US"/>
        </w:rPr>
        <w:t> </w:t>
      </w:r>
      <w:r w:rsidRPr="00996EE4">
        <w:rPr>
          <w:rFonts w:ascii="Arial" w:hAnsi="Arial" w:cs="Arial"/>
          <w:snapToGrid/>
          <w:color w:val="000000"/>
          <w:sz w:val="22"/>
          <w:szCs w:val="22"/>
          <w:lang w:val="en-US"/>
        </w:rPr>
        <w:t>1</w:t>
      </w:r>
      <w:r w:rsidR="002B2870">
        <w:rPr>
          <w:rFonts w:ascii="Arial" w:hAnsi="Arial" w:cs="Arial"/>
          <w:snapToGrid/>
          <w:color w:val="000000"/>
          <w:sz w:val="22"/>
          <w:szCs w:val="22"/>
          <w:lang w:val="en-US"/>
        </w:rPr>
        <w:t>–</w:t>
      </w:r>
      <w:r w:rsidRPr="00996EE4">
        <w:rPr>
          <w:rFonts w:ascii="Arial" w:hAnsi="Arial" w:cs="Arial"/>
          <w:snapToGrid/>
          <w:color w:val="000000"/>
          <w:sz w:val="22"/>
          <w:szCs w:val="22"/>
          <w:lang w:val="en-US"/>
        </w:rPr>
        <w:t xml:space="preserve">North Africa); (iii) Support for strategic planning </w:t>
      </w:r>
      <w:r w:rsidR="00455465" w:rsidRPr="00996EE4">
        <w:rPr>
          <w:rFonts w:ascii="Arial" w:hAnsi="Arial" w:cs="Arial"/>
          <w:snapToGrid/>
          <w:color w:val="000000"/>
          <w:sz w:val="22"/>
          <w:szCs w:val="22"/>
          <w:lang w:val="en-US"/>
        </w:rPr>
        <w:t>and</w:t>
      </w:r>
      <w:r w:rsidRPr="00996EE4">
        <w:rPr>
          <w:rFonts w:ascii="Arial" w:hAnsi="Arial" w:cs="Arial"/>
          <w:snapToGrid/>
          <w:color w:val="000000"/>
          <w:sz w:val="22"/>
          <w:szCs w:val="22"/>
          <w:lang w:val="en-US"/>
        </w:rPr>
        <w:t xml:space="preserve"> capacity development </w:t>
      </w:r>
      <w:r w:rsidR="002B3CB5" w:rsidRPr="00996EE4">
        <w:rPr>
          <w:rFonts w:ascii="Arial" w:hAnsi="Arial" w:cs="Arial"/>
          <w:snapToGrid/>
          <w:color w:val="000000"/>
          <w:sz w:val="22"/>
          <w:szCs w:val="22"/>
          <w:lang w:val="en-US"/>
        </w:rPr>
        <w:t>for</w:t>
      </w:r>
      <w:r w:rsidRPr="00996EE4">
        <w:rPr>
          <w:rFonts w:ascii="Arial" w:hAnsi="Arial" w:cs="Arial"/>
          <w:snapToGrid/>
          <w:color w:val="000000"/>
          <w:sz w:val="22"/>
          <w:szCs w:val="22"/>
          <w:lang w:val="en-US"/>
        </w:rPr>
        <w:t xml:space="preserve"> ocean observations under the auspices of GOOS</w:t>
      </w:r>
      <w:r w:rsidR="002B2870">
        <w:rPr>
          <w:rFonts w:ascii="Arial" w:hAnsi="Arial" w:cs="Arial"/>
          <w:snapToGrid/>
          <w:color w:val="000000"/>
          <w:sz w:val="22"/>
          <w:szCs w:val="22"/>
          <w:lang w:val="en-US"/>
        </w:rPr>
        <w:t>-</w:t>
      </w:r>
      <w:r w:rsidRPr="00996EE4">
        <w:rPr>
          <w:rFonts w:ascii="Arial" w:hAnsi="Arial" w:cs="Arial"/>
          <w:snapToGrid/>
          <w:color w:val="000000"/>
          <w:sz w:val="22"/>
          <w:szCs w:val="22"/>
          <w:lang w:val="en-US"/>
        </w:rPr>
        <w:t xml:space="preserve">Africa; (iv) Biodiversity Data Hub for the High Seas; and (v) </w:t>
      </w:r>
      <w:proofErr w:type="spellStart"/>
      <w:r w:rsidRPr="00996EE4">
        <w:rPr>
          <w:rFonts w:ascii="Arial" w:hAnsi="Arial" w:cs="Arial"/>
          <w:snapToGrid/>
          <w:color w:val="000000"/>
          <w:sz w:val="22"/>
          <w:szCs w:val="22"/>
          <w:lang w:val="en-US"/>
        </w:rPr>
        <w:t>OceanTraining</w:t>
      </w:r>
      <w:proofErr w:type="spellEnd"/>
      <w:r w:rsidRPr="00996EE4">
        <w:rPr>
          <w:rFonts w:ascii="Arial" w:hAnsi="Arial" w:cs="Arial"/>
          <w:snapToGrid/>
          <w:color w:val="000000"/>
          <w:sz w:val="22"/>
          <w:szCs w:val="22"/>
          <w:lang w:val="en-US"/>
        </w:rPr>
        <w:t xml:space="preserve"> internships to enhance global human capacity related to the IOC mandate.</w:t>
      </w:r>
    </w:p>
    <w:p w14:paraId="555855D8" w14:textId="77777777" w:rsidR="00D32A15" w:rsidRPr="00996EE4" w:rsidRDefault="00D32A15" w:rsidP="00996EE4">
      <w:pPr>
        <w:pStyle w:val="Paragraphedeliste"/>
        <w:numPr>
          <w:ilvl w:val="0"/>
          <w:numId w:val="25"/>
        </w:numPr>
        <w:spacing w:after="240"/>
        <w:ind w:left="1145" w:hanging="442"/>
        <w:contextualSpacing w:val="0"/>
        <w:jc w:val="both"/>
        <w:rPr>
          <w:rFonts w:asciiTheme="minorBidi" w:hAnsiTheme="minorBidi" w:cstheme="minorBidi"/>
          <w:sz w:val="22"/>
          <w:szCs w:val="22"/>
        </w:rPr>
      </w:pPr>
      <w:r w:rsidRPr="00996EE4">
        <w:rPr>
          <w:rFonts w:asciiTheme="minorBidi" w:hAnsiTheme="minorBidi" w:cstheme="minorBidi"/>
          <w:sz w:val="22"/>
          <w:szCs w:val="22"/>
        </w:rPr>
        <w:t xml:space="preserve">The programmatic capacity development work of IOC is complemented by the Ocean Decade Capacity Development Facility that aims to develop and deliver priority capacity development initiatives in the framework of the Ocean Decade, with a focus on SIDS, Least Developed Countries and Early Career Ocean Professionals.  </w:t>
      </w:r>
    </w:p>
    <w:p w14:paraId="1A09D06F" w14:textId="77777777" w:rsidR="00F82600" w:rsidRPr="00996EE4" w:rsidRDefault="00D32A15" w:rsidP="00996EE4">
      <w:pPr>
        <w:pStyle w:val="Paragraphedeliste"/>
        <w:numPr>
          <w:ilvl w:val="0"/>
          <w:numId w:val="24"/>
        </w:numPr>
        <w:tabs>
          <w:tab w:val="clear" w:pos="567"/>
        </w:tabs>
        <w:autoSpaceDE w:val="0"/>
        <w:autoSpaceDN w:val="0"/>
        <w:adjustRightInd w:val="0"/>
        <w:snapToGrid/>
        <w:spacing w:after="240"/>
        <w:ind w:left="1145" w:hanging="442"/>
        <w:contextualSpacing w:val="0"/>
        <w:jc w:val="both"/>
        <w:rPr>
          <w:rFonts w:ascii="Arial" w:hAnsi="Arial" w:cs="Arial"/>
          <w:snapToGrid/>
          <w:color w:val="000000" w:themeColor="text1"/>
          <w:sz w:val="22"/>
          <w:szCs w:val="22"/>
          <w:lang w:val="en-US"/>
        </w:rPr>
      </w:pPr>
      <w:r w:rsidRPr="00996EE4">
        <w:rPr>
          <w:rFonts w:ascii="Arial" w:hAnsi="Arial" w:cs="Arial"/>
          <w:snapToGrid/>
          <w:color w:val="000000"/>
          <w:sz w:val="22"/>
          <w:szCs w:val="22"/>
          <w:lang w:val="en-US"/>
        </w:rPr>
        <w:t xml:space="preserve">Ensuring alignment with evolving national and regional priorities and strategies is paramount for the success of our action for Global Priority Africa. The Africa Ocean Decade Task Force oversees and promotes the implementation of the </w:t>
      </w:r>
      <w:r w:rsidRPr="002B2870">
        <w:rPr>
          <w:rFonts w:ascii="Arial" w:hAnsi="Arial" w:cs="Arial"/>
          <w:i/>
          <w:iCs/>
          <w:snapToGrid/>
          <w:color w:val="000000"/>
          <w:sz w:val="22"/>
          <w:szCs w:val="22"/>
          <w:lang w:val="en-US"/>
        </w:rPr>
        <w:t>Ocean Decade Africa Roadmap</w:t>
      </w:r>
      <w:r w:rsidRPr="00996EE4">
        <w:rPr>
          <w:rFonts w:ascii="Arial" w:hAnsi="Arial" w:cs="Arial"/>
          <w:snapToGrid/>
          <w:color w:val="000000"/>
          <w:sz w:val="22"/>
          <w:szCs w:val="22"/>
          <w:lang w:val="en-US"/>
        </w:rPr>
        <w:t xml:space="preserve"> including through the development and launch of a new Decade programme on sustainable ocean management in Africa. </w:t>
      </w:r>
    </w:p>
    <w:p w14:paraId="72244FCD" w14:textId="08C3A691" w:rsidR="00C9174B" w:rsidRPr="00996EE4" w:rsidRDefault="00C9174B" w:rsidP="00996EE4">
      <w:pPr>
        <w:pStyle w:val="Paragraphedeliste"/>
        <w:numPr>
          <w:ilvl w:val="0"/>
          <w:numId w:val="24"/>
        </w:numPr>
        <w:tabs>
          <w:tab w:val="clear" w:pos="567"/>
        </w:tabs>
        <w:autoSpaceDE w:val="0"/>
        <w:autoSpaceDN w:val="0"/>
        <w:adjustRightInd w:val="0"/>
        <w:snapToGrid/>
        <w:spacing w:after="240"/>
        <w:ind w:left="1145" w:hanging="442"/>
        <w:contextualSpacing w:val="0"/>
        <w:jc w:val="both"/>
        <w:rPr>
          <w:rFonts w:ascii="Arial" w:hAnsi="Arial" w:cs="Arial"/>
          <w:snapToGrid/>
          <w:color w:val="000000" w:themeColor="text1"/>
          <w:sz w:val="22"/>
          <w:szCs w:val="22"/>
          <w:lang w:val="en-US"/>
        </w:rPr>
      </w:pPr>
      <w:r w:rsidRPr="00996EE4">
        <w:rPr>
          <w:rFonts w:ascii="Arial" w:hAnsi="Arial" w:cs="Arial"/>
          <w:snapToGrid/>
          <w:color w:val="000000"/>
          <w:sz w:val="22"/>
          <w:szCs w:val="22"/>
          <w:lang w:val="en-US"/>
        </w:rPr>
        <w:t xml:space="preserve">In the WESTPAC region, a milestone was achieved </w:t>
      </w:r>
      <w:r w:rsidRPr="00996EE4">
        <w:rPr>
          <w:rFonts w:ascii="Arial" w:hAnsi="Arial" w:cs="Arial"/>
          <w:snapToGrid/>
          <w:color w:val="000000" w:themeColor="text1"/>
          <w:sz w:val="22"/>
          <w:szCs w:val="22"/>
          <w:lang w:val="en-US"/>
        </w:rPr>
        <w:t>with organization of the 2</w:t>
      </w:r>
      <w:r w:rsidRPr="00996EE4">
        <w:rPr>
          <w:rFonts w:ascii="Arial" w:hAnsi="Arial" w:cs="Arial"/>
          <w:snapToGrid/>
          <w:color w:val="000000" w:themeColor="text1"/>
          <w:sz w:val="22"/>
          <w:szCs w:val="22"/>
          <w:vertAlign w:val="superscript"/>
          <w:lang w:val="en-US"/>
        </w:rPr>
        <w:t>nd</w:t>
      </w:r>
      <w:r w:rsidRPr="00996EE4">
        <w:rPr>
          <w:rFonts w:ascii="Arial" w:hAnsi="Arial" w:cs="Arial"/>
          <w:snapToGrid/>
          <w:color w:val="000000" w:themeColor="text1"/>
          <w:sz w:val="22"/>
          <w:szCs w:val="22"/>
          <w:lang w:val="en-US"/>
        </w:rPr>
        <w:t xml:space="preserve"> UN Ocean Decade Regional Conference and 11</w:t>
      </w:r>
      <w:r w:rsidRPr="00996EE4">
        <w:rPr>
          <w:rFonts w:ascii="Arial" w:hAnsi="Arial" w:cs="Arial"/>
          <w:snapToGrid/>
          <w:color w:val="000000" w:themeColor="text1"/>
          <w:sz w:val="22"/>
          <w:szCs w:val="22"/>
          <w:vertAlign w:val="superscript"/>
          <w:lang w:val="en-US"/>
        </w:rPr>
        <w:t>th</w:t>
      </w:r>
      <w:r w:rsidRPr="00996EE4">
        <w:rPr>
          <w:rFonts w:ascii="Arial" w:hAnsi="Arial" w:cs="Arial"/>
          <w:snapToGrid/>
          <w:color w:val="000000" w:themeColor="text1"/>
          <w:sz w:val="22"/>
          <w:szCs w:val="22"/>
          <w:lang w:val="en-US"/>
        </w:rPr>
        <w:t xml:space="preserve"> WESTPAC International Marine Science Conference (22</w:t>
      </w:r>
      <w:r w:rsidR="002B2870">
        <w:rPr>
          <w:rFonts w:ascii="Arial" w:hAnsi="Arial" w:cs="Arial"/>
          <w:snapToGrid/>
          <w:color w:val="000000" w:themeColor="text1"/>
          <w:sz w:val="22"/>
          <w:szCs w:val="22"/>
          <w:lang w:val="en-US"/>
        </w:rPr>
        <w:t>–</w:t>
      </w:r>
      <w:r w:rsidRPr="00996EE4">
        <w:rPr>
          <w:rFonts w:ascii="Arial" w:hAnsi="Arial" w:cs="Arial"/>
          <w:snapToGrid/>
          <w:color w:val="000000" w:themeColor="text1"/>
          <w:sz w:val="22"/>
          <w:szCs w:val="22"/>
          <w:lang w:val="en-US"/>
        </w:rPr>
        <w:t>25 April 2024) which brought together over 1</w:t>
      </w:r>
      <w:r w:rsidR="002B2870">
        <w:rPr>
          <w:rFonts w:ascii="Arial" w:hAnsi="Arial" w:cs="Arial"/>
          <w:snapToGrid/>
          <w:color w:val="000000" w:themeColor="text1"/>
          <w:sz w:val="22"/>
          <w:szCs w:val="22"/>
          <w:lang w:val="en-US"/>
        </w:rPr>
        <w:t>,</w:t>
      </w:r>
      <w:r w:rsidRPr="00996EE4">
        <w:rPr>
          <w:rFonts w:ascii="Arial" w:hAnsi="Arial" w:cs="Arial"/>
          <w:snapToGrid/>
          <w:color w:val="000000" w:themeColor="text1"/>
          <w:sz w:val="22"/>
          <w:szCs w:val="22"/>
          <w:lang w:val="en-US"/>
        </w:rPr>
        <w:t xml:space="preserve">000 stakeholders to discuss the </w:t>
      </w:r>
      <w:r w:rsidRPr="00996EE4">
        <w:rPr>
          <w:rFonts w:ascii="Arial" w:hAnsi="Arial" w:cs="Arial"/>
          <w:color w:val="000000" w:themeColor="text1"/>
          <w:sz w:val="22"/>
          <w:szCs w:val="22"/>
          <w:shd w:val="clear" w:color="auto" w:fill="FFFFFF"/>
        </w:rPr>
        <w:t>current status of ocean knowledge, take stock of the first three years’ achievements of the Ocean Decade Actions in the region and identify future priorities, building on the outputs of the Vision 2030 process.</w:t>
      </w:r>
    </w:p>
    <w:p w14:paraId="43FE0B4E" w14:textId="2D10CC67" w:rsidR="00D32A15" w:rsidRPr="00996EE4" w:rsidRDefault="00EC68AC" w:rsidP="00996EE4">
      <w:pPr>
        <w:pStyle w:val="Paragraphedeliste"/>
        <w:numPr>
          <w:ilvl w:val="0"/>
          <w:numId w:val="24"/>
        </w:numPr>
        <w:tabs>
          <w:tab w:val="clear" w:pos="567"/>
        </w:tabs>
        <w:autoSpaceDE w:val="0"/>
        <w:autoSpaceDN w:val="0"/>
        <w:adjustRightInd w:val="0"/>
        <w:snapToGrid/>
        <w:spacing w:after="240"/>
        <w:ind w:left="1145" w:hanging="442"/>
        <w:contextualSpacing w:val="0"/>
        <w:jc w:val="both"/>
        <w:rPr>
          <w:rFonts w:ascii="Arial" w:hAnsi="Arial" w:cs="Arial"/>
          <w:snapToGrid/>
          <w:color w:val="000000"/>
          <w:sz w:val="22"/>
          <w:szCs w:val="22"/>
          <w:lang w:val="en-US"/>
        </w:rPr>
      </w:pPr>
      <w:r w:rsidRPr="00996EE4">
        <w:rPr>
          <w:rFonts w:ascii="Arial" w:hAnsi="Arial" w:cs="Arial"/>
          <w:snapToGrid/>
          <w:color w:val="000000"/>
          <w:sz w:val="22"/>
          <w:szCs w:val="22"/>
          <w:lang w:val="en-US"/>
        </w:rPr>
        <w:t xml:space="preserve">As a contribution to the UNESCO operational strategy on SIDS, IOC is leading one of six intersectoral Accelerator </w:t>
      </w:r>
      <w:proofErr w:type="spellStart"/>
      <w:r w:rsidRPr="00996EE4">
        <w:rPr>
          <w:rFonts w:ascii="Arial" w:hAnsi="Arial" w:cs="Arial"/>
          <w:snapToGrid/>
          <w:color w:val="000000"/>
          <w:sz w:val="22"/>
          <w:szCs w:val="22"/>
          <w:lang w:val="en-US"/>
        </w:rPr>
        <w:t>programme</w:t>
      </w:r>
      <w:proofErr w:type="spellEnd"/>
      <w:r w:rsidR="002B2870">
        <w:rPr>
          <w:rFonts w:ascii="Arial" w:hAnsi="Arial" w:cs="Arial"/>
          <w:snapToGrid/>
          <w:color w:val="000000"/>
          <w:sz w:val="22"/>
          <w:szCs w:val="22"/>
          <w:lang w:val="en-US"/>
        </w:rPr>
        <w:t>–</w:t>
      </w:r>
      <w:r w:rsidR="00A26DA5" w:rsidRPr="00996EE4">
        <w:rPr>
          <w:rFonts w:ascii="Arial" w:hAnsi="Arial" w:cs="Arial"/>
          <w:snapToGrid/>
          <w:color w:val="000000"/>
          <w:sz w:val="22"/>
          <w:szCs w:val="22"/>
          <w:lang w:val="en-US"/>
        </w:rPr>
        <w:t>ACE#2:</w:t>
      </w:r>
      <w:r w:rsidRPr="00996EE4">
        <w:rPr>
          <w:rFonts w:ascii="Arial" w:hAnsi="Arial" w:cs="Arial"/>
          <w:snapToGrid/>
          <w:color w:val="000000"/>
          <w:sz w:val="22"/>
          <w:szCs w:val="22"/>
          <w:lang w:val="en-US"/>
        </w:rPr>
        <w:t xml:space="preserve"> </w:t>
      </w:r>
      <w:r w:rsidR="00A26DA5" w:rsidRPr="00996EE4">
        <w:rPr>
          <w:rFonts w:ascii="Arial" w:hAnsi="Arial" w:cs="Arial"/>
          <w:sz w:val="21"/>
          <w:szCs w:val="21"/>
        </w:rPr>
        <w:t xml:space="preserve">Strengthen Sustainable Ocean Knowledge, Spatial Planning and Water Management capacities of SIDS in support of the growth of their blue economies. </w:t>
      </w:r>
      <w:r w:rsidR="00D32A15" w:rsidRPr="00996EE4">
        <w:rPr>
          <w:rFonts w:ascii="Arial" w:hAnsi="Arial" w:cs="Arial"/>
          <w:snapToGrid/>
          <w:color w:val="000000"/>
          <w:sz w:val="21"/>
          <w:szCs w:val="21"/>
          <w:lang w:val="en-US"/>
        </w:rPr>
        <w:t xml:space="preserve">Increased engagement with SIDS in the Ocean Decade was supported through the establishment of a decentralized coordination hub for the Pacific Islands Region, hosted by The Pacific Community, and the establishment of a taskforce for the Tropical Americas and Caribbean Region to oversee implementation of the Ocean Decade in the region. </w:t>
      </w:r>
    </w:p>
    <w:p w14:paraId="49A32E47" w14:textId="2BADF733" w:rsidR="00EC68AC" w:rsidRPr="00996EE4" w:rsidRDefault="00EC68AC" w:rsidP="00996EE4">
      <w:pPr>
        <w:pStyle w:val="Paragraphedeliste"/>
        <w:numPr>
          <w:ilvl w:val="0"/>
          <w:numId w:val="24"/>
        </w:numPr>
        <w:spacing w:after="240"/>
        <w:ind w:left="1145" w:hanging="442"/>
        <w:contextualSpacing w:val="0"/>
        <w:jc w:val="both"/>
        <w:rPr>
          <w:rFonts w:asciiTheme="minorBidi" w:hAnsiTheme="minorBidi" w:cstheme="minorBidi"/>
          <w:sz w:val="22"/>
          <w:szCs w:val="22"/>
        </w:rPr>
      </w:pPr>
      <w:r w:rsidRPr="00996EE4">
        <w:rPr>
          <w:rFonts w:asciiTheme="minorBidi" w:hAnsiTheme="minorBidi" w:cstheme="minorBidi"/>
          <w:sz w:val="22"/>
          <w:szCs w:val="22"/>
        </w:rPr>
        <w:t xml:space="preserve">IOC stepped up its efforts in Marine Spatial Planning (MSP) and launched in 2022 an updated joint </w:t>
      </w:r>
      <w:proofErr w:type="spellStart"/>
      <w:r w:rsidRPr="00996EE4">
        <w:rPr>
          <w:rFonts w:asciiTheme="minorBidi" w:hAnsiTheme="minorBidi" w:cstheme="minorBidi"/>
          <w:sz w:val="22"/>
          <w:szCs w:val="22"/>
        </w:rPr>
        <w:t>MSProadmap</w:t>
      </w:r>
      <w:proofErr w:type="spellEnd"/>
      <w:r w:rsidRPr="00996EE4">
        <w:rPr>
          <w:rFonts w:asciiTheme="minorBidi" w:hAnsiTheme="minorBidi" w:cstheme="minorBidi"/>
          <w:sz w:val="22"/>
          <w:szCs w:val="22"/>
        </w:rPr>
        <w:t xml:space="preserve"> with the European Commission, then resumed the </w:t>
      </w:r>
      <w:proofErr w:type="spellStart"/>
      <w:r w:rsidRPr="00996EE4">
        <w:rPr>
          <w:rFonts w:asciiTheme="minorBidi" w:hAnsiTheme="minorBidi" w:cstheme="minorBidi"/>
          <w:sz w:val="22"/>
          <w:szCs w:val="22"/>
        </w:rPr>
        <w:t>MSPglobal</w:t>
      </w:r>
      <w:proofErr w:type="spellEnd"/>
      <w:r w:rsidRPr="00996EE4">
        <w:rPr>
          <w:rFonts w:asciiTheme="minorBidi" w:hAnsiTheme="minorBidi" w:cstheme="minorBidi"/>
          <w:sz w:val="22"/>
          <w:szCs w:val="22"/>
        </w:rPr>
        <w:t xml:space="preserve"> project in July 2023 with regional focus on building technical capacities in West and Central Africa as well as the Western Pacific region. Besides, the project is developing further knowledge, tools and a new online training on </w:t>
      </w:r>
      <w:proofErr w:type="spellStart"/>
      <w:r w:rsidRPr="00996EE4">
        <w:rPr>
          <w:rFonts w:asciiTheme="minorBidi" w:hAnsiTheme="minorBidi" w:cstheme="minorBidi"/>
          <w:sz w:val="22"/>
          <w:szCs w:val="22"/>
        </w:rPr>
        <w:t>OceanTeacher</w:t>
      </w:r>
      <w:proofErr w:type="spellEnd"/>
      <w:r w:rsidRPr="00996EE4">
        <w:rPr>
          <w:rFonts w:asciiTheme="minorBidi" w:hAnsiTheme="minorBidi" w:cstheme="minorBidi"/>
          <w:sz w:val="22"/>
          <w:szCs w:val="22"/>
        </w:rPr>
        <w:t xml:space="preserve"> Global Academy to support all Member States to advance their MSP processes. In total, the activities of the </w:t>
      </w:r>
      <w:proofErr w:type="spellStart"/>
      <w:r w:rsidRPr="00996EE4">
        <w:rPr>
          <w:rFonts w:asciiTheme="minorBidi" w:hAnsiTheme="minorBidi" w:cstheme="minorBidi"/>
          <w:sz w:val="22"/>
          <w:szCs w:val="22"/>
        </w:rPr>
        <w:t>MSPglobal</w:t>
      </w:r>
      <w:proofErr w:type="spellEnd"/>
      <w:r w:rsidRPr="00996EE4">
        <w:rPr>
          <w:rFonts w:asciiTheme="minorBidi" w:hAnsiTheme="minorBidi" w:cstheme="minorBidi"/>
          <w:sz w:val="22"/>
          <w:szCs w:val="22"/>
        </w:rPr>
        <w:t xml:space="preserve"> 2.0 involved 867 participants from 100 countries (32 Africa, 12 SIDS) by mid-April 2024. These included mainly and </w:t>
      </w:r>
      <w:proofErr w:type="spellStart"/>
      <w:r w:rsidRPr="00996EE4">
        <w:rPr>
          <w:rFonts w:asciiTheme="minorBidi" w:hAnsiTheme="minorBidi" w:cstheme="minorBidi"/>
          <w:sz w:val="22"/>
          <w:szCs w:val="22"/>
        </w:rPr>
        <w:t>MSPforum</w:t>
      </w:r>
      <w:proofErr w:type="spellEnd"/>
      <w:r w:rsidRPr="00996EE4">
        <w:rPr>
          <w:rFonts w:asciiTheme="minorBidi" w:hAnsiTheme="minorBidi" w:cstheme="minorBidi"/>
          <w:sz w:val="22"/>
          <w:szCs w:val="22"/>
        </w:rPr>
        <w:t xml:space="preserve"> for Africa, trainings for representatives of national authorities and global workshops to co-develop MSP tools with experts from all continents and oceans. IOC experience on MSP has inspired and provided inputs to establish a new Decade Programme on Sustainable Ocean Planning</w:t>
      </w:r>
      <w:r w:rsidR="00A26DA5" w:rsidRPr="00996EE4">
        <w:rPr>
          <w:rFonts w:asciiTheme="minorBidi" w:hAnsiTheme="minorBidi" w:cstheme="minorBidi"/>
          <w:sz w:val="22"/>
          <w:szCs w:val="22"/>
        </w:rPr>
        <w:t xml:space="preserve"> supported by a set of international partners, which was launched at the Barcelona Conference. </w:t>
      </w:r>
    </w:p>
    <w:p w14:paraId="2DEC96AC" w14:textId="6537D029" w:rsidR="00D32A15" w:rsidRPr="00996EE4" w:rsidRDefault="00D32A15" w:rsidP="00996EE4">
      <w:pPr>
        <w:pStyle w:val="Paragraphedeliste"/>
        <w:numPr>
          <w:ilvl w:val="0"/>
          <w:numId w:val="24"/>
        </w:numPr>
        <w:spacing w:after="240"/>
        <w:ind w:left="1145" w:hanging="442"/>
        <w:contextualSpacing w:val="0"/>
        <w:jc w:val="both"/>
        <w:rPr>
          <w:rFonts w:asciiTheme="minorBidi" w:hAnsiTheme="minorBidi" w:cstheme="minorBidi"/>
          <w:sz w:val="22"/>
          <w:szCs w:val="22"/>
        </w:rPr>
      </w:pPr>
      <w:r w:rsidRPr="00996EE4">
        <w:rPr>
          <w:rFonts w:asciiTheme="minorBidi" w:hAnsiTheme="minorBidi" w:cstheme="minorBidi"/>
          <w:sz w:val="22"/>
          <w:szCs w:val="22"/>
        </w:rPr>
        <w:t>In the content of the IOC</w:t>
      </w:r>
      <w:r w:rsidR="009541DC" w:rsidRPr="00996EE4">
        <w:rPr>
          <w:rFonts w:asciiTheme="minorBidi" w:hAnsiTheme="minorBidi" w:cstheme="minorBidi"/>
          <w:sz w:val="22"/>
          <w:szCs w:val="22"/>
        </w:rPr>
        <w:t xml:space="preserve"> </w:t>
      </w:r>
      <w:r w:rsidRPr="00996EE4">
        <w:rPr>
          <w:rFonts w:asciiTheme="minorBidi" w:hAnsiTheme="minorBidi" w:cstheme="minorBidi"/>
          <w:sz w:val="22"/>
          <w:szCs w:val="22"/>
        </w:rPr>
        <w:t>Sea</w:t>
      </w:r>
      <w:r w:rsidR="00E67743">
        <w:rPr>
          <w:rFonts w:asciiTheme="minorBidi" w:hAnsiTheme="minorBidi" w:cstheme="minorBidi"/>
          <w:sz w:val="22"/>
          <w:szCs w:val="22"/>
        </w:rPr>
        <w:t> </w:t>
      </w:r>
      <w:r w:rsidRPr="00996EE4">
        <w:rPr>
          <w:rFonts w:asciiTheme="minorBidi" w:hAnsiTheme="minorBidi" w:cstheme="minorBidi"/>
          <w:sz w:val="22"/>
          <w:szCs w:val="22"/>
        </w:rPr>
        <w:t xml:space="preserve">Beyond project, funded by </w:t>
      </w:r>
      <w:r w:rsidR="00E67743" w:rsidRPr="00996EE4">
        <w:rPr>
          <w:rFonts w:asciiTheme="minorBidi" w:hAnsiTheme="minorBidi" w:cstheme="minorBidi"/>
          <w:sz w:val="22"/>
          <w:szCs w:val="22"/>
        </w:rPr>
        <w:t xml:space="preserve">Prada </w:t>
      </w:r>
      <w:r w:rsidRPr="00996EE4">
        <w:rPr>
          <w:rFonts w:asciiTheme="minorBidi" w:hAnsiTheme="minorBidi" w:cstheme="minorBidi"/>
          <w:sz w:val="22"/>
          <w:szCs w:val="22"/>
        </w:rPr>
        <w:t>Group, over 600 students from 20 countries have been trained on ocean literacy</w:t>
      </w:r>
      <w:r w:rsidR="0017604F" w:rsidRPr="00996EE4">
        <w:rPr>
          <w:rFonts w:asciiTheme="minorBidi" w:hAnsiTheme="minorBidi" w:cstheme="minorBidi"/>
          <w:sz w:val="22"/>
          <w:szCs w:val="22"/>
        </w:rPr>
        <w:t xml:space="preserve">, with </w:t>
      </w:r>
      <w:r w:rsidR="00787E05" w:rsidRPr="00996EE4">
        <w:rPr>
          <w:rFonts w:asciiTheme="minorBidi" w:hAnsiTheme="minorBidi" w:cstheme="minorBidi"/>
          <w:sz w:val="22"/>
          <w:szCs w:val="22"/>
        </w:rPr>
        <w:t xml:space="preserve">training </w:t>
      </w:r>
      <w:r w:rsidRPr="00996EE4">
        <w:rPr>
          <w:rFonts w:asciiTheme="minorBidi" w:hAnsiTheme="minorBidi" w:cstheme="minorBidi"/>
          <w:sz w:val="22"/>
          <w:szCs w:val="22"/>
        </w:rPr>
        <w:t xml:space="preserve">resources available in English, French and Spanish. </w:t>
      </w:r>
      <w:r w:rsidR="004B7E8C" w:rsidRPr="00996EE4">
        <w:rPr>
          <w:rFonts w:asciiTheme="minorBidi" w:hAnsiTheme="minorBidi" w:cstheme="minorBidi"/>
          <w:sz w:val="22"/>
          <w:szCs w:val="22"/>
        </w:rPr>
        <w:t>D</w:t>
      </w:r>
      <w:r w:rsidRPr="00996EE4">
        <w:rPr>
          <w:rFonts w:asciiTheme="minorBidi" w:hAnsiTheme="minorBidi" w:cstheme="minorBidi"/>
          <w:sz w:val="22"/>
          <w:szCs w:val="22"/>
        </w:rPr>
        <w:t>ifferent stakeholder groups</w:t>
      </w:r>
      <w:r w:rsidR="00E67743">
        <w:rPr>
          <w:rFonts w:asciiTheme="minorBidi" w:hAnsiTheme="minorBidi" w:cstheme="minorBidi"/>
          <w:sz w:val="22"/>
          <w:szCs w:val="22"/>
        </w:rPr>
        <w:t>—</w:t>
      </w:r>
      <w:r w:rsidRPr="00996EE4">
        <w:rPr>
          <w:rFonts w:asciiTheme="minorBidi" w:hAnsiTheme="minorBidi" w:cstheme="minorBidi"/>
          <w:sz w:val="22"/>
          <w:szCs w:val="22"/>
        </w:rPr>
        <w:t>journalists, architects and urban planners, and finance experts</w:t>
      </w:r>
      <w:r w:rsidR="00E67743">
        <w:rPr>
          <w:rFonts w:asciiTheme="minorBidi" w:hAnsiTheme="minorBidi" w:cstheme="minorBidi"/>
          <w:sz w:val="22"/>
          <w:szCs w:val="22"/>
        </w:rPr>
        <w:t>—</w:t>
      </w:r>
      <w:r w:rsidRPr="00996EE4">
        <w:rPr>
          <w:rFonts w:asciiTheme="minorBidi" w:hAnsiTheme="minorBidi" w:cstheme="minorBidi"/>
          <w:sz w:val="22"/>
          <w:szCs w:val="22"/>
        </w:rPr>
        <w:t xml:space="preserve">were trained on ocean literacy through </w:t>
      </w:r>
      <w:r w:rsidR="00D078CC" w:rsidRPr="00996EE4">
        <w:rPr>
          <w:rFonts w:asciiTheme="minorBidi" w:hAnsiTheme="minorBidi" w:cstheme="minorBidi"/>
          <w:sz w:val="22"/>
          <w:szCs w:val="22"/>
        </w:rPr>
        <w:t xml:space="preserve">Ocean Teacher Global Academy e-learning courses. </w:t>
      </w:r>
      <w:r w:rsidRPr="00996EE4">
        <w:rPr>
          <w:rFonts w:asciiTheme="minorBidi" w:hAnsiTheme="minorBidi" w:cstheme="minorBidi"/>
          <w:sz w:val="22"/>
          <w:szCs w:val="22"/>
        </w:rPr>
        <w:t xml:space="preserve">the development of e-learning courses in collaboration with Ocean Teacher Global Academy. </w:t>
      </w:r>
    </w:p>
    <w:p w14:paraId="1C27B182" w14:textId="10FAD0AC" w:rsidR="00FC2A2B" w:rsidRPr="00FC2A2B" w:rsidRDefault="00FC2A2B" w:rsidP="00FC2A2B">
      <w:pPr>
        <w:rPr>
          <w:rFonts w:asciiTheme="minorBidi" w:hAnsiTheme="minorBidi" w:cstheme="minorBidi"/>
          <w:sz w:val="22"/>
          <w:szCs w:val="22"/>
        </w:rPr>
      </w:pPr>
      <w:r w:rsidRPr="00FC2A2B">
        <w:rPr>
          <w:rFonts w:asciiTheme="minorBidi" w:hAnsiTheme="minorBidi" w:cstheme="minorBidi"/>
          <w:sz w:val="22"/>
          <w:szCs w:val="22"/>
        </w:rPr>
        <w:br w:type="page"/>
      </w:r>
    </w:p>
    <w:p w14:paraId="41A522BA" w14:textId="799D75F2" w:rsidR="00EF2790" w:rsidRPr="00025A88" w:rsidRDefault="00E67743" w:rsidP="00EF2790">
      <w:pPr>
        <w:keepNext/>
        <w:keepLines/>
        <w:widowControl w:val="0"/>
        <w:adjustRightInd w:val="0"/>
        <w:ind w:left="567" w:hanging="567"/>
        <w:jc w:val="both"/>
        <w:textAlignment w:val="baseline"/>
        <w:outlineLvl w:val="1"/>
        <w:rPr>
          <w:rFonts w:ascii="Arial" w:eastAsia="Times New Roman" w:hAnsi="Arial" w:cs="Arial"/>
          <w:b/>
          <w:bCs/>
          <w:caps/>
          <w:sz w:val="22"/>
          <w:szCs w:val="22"/>
          <w:lang w:eastAsia="en-US"/>
        </w:rPr>
      </w:pPr>
      <w:r>
        <w:rPr>
          <w:rFonts w:ascii="Arial" w:eastAsia="Times New Roman" w:hAnsi="Arial" w:cs="Arial"/>
          <w:b/>
          <w:bCs/>
          <w:sz w:val="22"/>
          <w:szCs w:val="22"/>
          <w:lang w:eastAsia="en-US"/>
        </w:rPr>
        <w:lastRenderedPageBreak/>
        <w:t>Assessment of Progress against Approved Results Framework</w:t>
      </w:r>
    </w:p>
    <w:p w14:paraId="773214AE" w14:textId="77777777" w:rsidR="00EF2790" w:rsidRPr="00025A88" w:rsidRDefault="00EF2790" w:rsidP="00EF2790">
      <w:pPr>
        <w:widowControl w:val="0"/>
        <w:adjustRightInd w:val="0"/>
        <w:jc w:val="both"/>
        <w:textAlignment w:val="baseline"/>
        <w:rPr>
          <w:rFonts w:ascii="Arial" w:eastAsia="Times New Roman" w:hAnsi="Arial"/>
          <w:sz w:val="22"/>
          <w:lang w:eastAsia="en-US"/>
        </w:rPr>
      </w:pPr>
      <w:r w:rsidRPr="00025A88">
        <w:rPr>
          <w:rFonts w:ascii="Arial" w:eastAsia="Times New Roman" w:hAnsi="Arial"/>
          <w:noProof/>
          <w:snapToGrid/>
          <w:sz w:val="22"/>
          <w:lang w:val="fr-FR" w:eastAsia="fr-FR"/>
        </w:rPr>
        <mc:AlternateContent>
          <mc:Choice Requires="wps">
            <w:drawing>
              <wp:anchor distT="0" distB="0" distL="114300" distR="114300" simplePos="0" relativeHeight="251658242" behindDoc="0" locked="0" layoutInCell="1" allowOverlap="1" wp14:anchorId="3F7E5788" wp14:editId="6CF0D7F7">
                <wp:simplePos x="0" y="0"/>
                <wp:positionH relativeFrom="column">
                  <wp:posOffset>12700</wp:posOffset>
                </wp:positionH>
                <wp:positionV relativeFrom="paragraph">
                  <wp:posOffset>6889</wp:posOffset>
                </wp:positionV>
                <wp:extent cx="61817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6181725" cy="19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628C016" id="Straight Connector 4" o:spid="_x0000_s1026" style="position:absolute;flip:y;z-index:251658242;visibility:visible;mso-wrap-style:square;mso-wrap-distance-left:9pt;mso-wrap-distance-top:0;mso-wrap-distance-right:9pt;mso-wrap-distance-bottom:0;mso-position-horizontal:absolute;mso-position-horizontal-relative:text;mso-position-vertical:absolute;mso-position-vertical-relative:text" from="1pt,.55pt" to="487.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" strokecolor="#4a7ebb"/>
            </w:pict>
          </mc:Fallback>
        </mc:AlternateContent>
      </w:r>
    </w:p>
    <w:p w14:paraId="52B2CC9B" w14:textId="02710B54" w:rsidR="00EF2790" w:rsidRDefault="00EF2790" w:rsidP="00E04B7F">
      <w:pPr>
        <w:pStyle w:val="Marge"/>
        <w:jc w:val="center"/>
        <w:rPr>
          <w:rFonts w:ascii="Arial" w:hAnsi="Arial" w:cs="Arial"/>
          <w:b/>
          <w:bCs/>
          <w:noProof/>
          <w:snapToGrid/>
          <w:sz w:val="22"/>
          <w:szCs w:val="22"/>
          <w:lang w:val="en-US"/>
        </w:rPr>
      </w:pPr>
      <w:r>
        <w:rPr>
          <w:rFonts w:ascii="Arial" w:hAnsi="Arial" w:cs="Arial"/>
          <w:bCs/>
          <w:i/>
          <w:sz w:val="22"/>
          <w:szCs w:val="22"/>
          <w:lang w:val="en-US"/>
        </w:rPr>
        <w:t>(</w:t>
      </w:r>
      <w:r w:rsidR="00E67743" w:rsidRPr="00E67743">
        <w:rPr>
          <w:rFonts w:ascii="Arial" w:hAnsi="Arial" w:cs="Arial"/>
          <w:bCs/>
          <w:i/>
          <w:sz w:val="22"/>
          <w:szCs w:val="22"/>
          <w:lang w:val="en-US"/>
        </w:rPr>
        <w:t xml:space="preserve">Excerpts </w:t>
      </w:r>
      <w:r w:rsidR="00E67743">
        <w:rPr>
          <w:rFonts w:ascii="Arial" w:hAnsi="Arial" w:cs="Arial"/>
          <w:bCs/>
          <w:i/>
          <w:sz w:val="22"/>
          <w:szCs w:val="22"/>
          <w:lang w:val="en-US"/>
        </w:rPr>
        <w:t>from</w:t>
      </w:r>
      <w:r>
        <w:rPr>
          <w:rFonts w:ascii="Arial" w:hAnsi="Arial" w:cs="Arial"/>
          <w:bCs/>
          <w:i/>
          <w:sz w:val="22"/>
          <w:szCs w:val="22"/>
          <w:lang w:val="en-US"/>
        </w:rPr>
        <w:t xml:space="preserve">. </w:t>
      </w:r>
      <w:hyperlink r:id="rId10" w:history="1">
        <w:r w:rsidRPr="00E67743">
          <w:rPr>
            <w:rStyle w:val="Lienhypertexte"/>
            <w:rFonts w:ascii="Arial" w:hAnsi="Arial" w:cs="Arial"/>
            <w:bCs/>
            <w:i/>
            <w:sz w:val="22"/>
            <w:szCs w:val="22"/>
            <w:lang w:val="en-US"/>
          </w:rPr>
          <w:t>21</w:t>
        </w:r>
        <w:r w:rsidR="008840E6" w:rsidRPr="00E67743">
          <w:rPr>
            <w:rStyle w:val="Lienhypertexte"/>
            <w:rFonts w:ascii="Arial" w:hAnsi="Arial" w:cs="Arial"/>
            <w:bCs/>
            <w:i/>
            <w:sz w:val="22"/>
            <w:szCs w:val="22"/>
            <w:lang w:val="en-US"/>
          </w:rPr>
          <w:t>9</w:t>
        </w:r>
        <w:r w:rsidRPr="00E67743">
          <w:rPr>
            <w:rStyle w:val="Lienhypertexte"/>
            <w:rFonts w:ascii="Arial" w:hAnsi="Arial" w:cs="Arial"/>
            <w:bCs/>
            <w:i/>
            <w:sz w:val="22"/>
            <w:szCs w:val="22"/>
            <w:lang w:val="en-US"/>
          </w:rPr>
          <w:t xml:space="preserve"> EX/4.INF</w:t>
        </w:r>
      </w:hyperlink>
      <w:r>
        <w:rPr>
          <w:rFonts w:ascii="Arial" w:hAnsi="Arial" w:cs="Arial"/>
          <w:bCs/>
          <w:i/>
          <w:sz w:val="22"/>
          <w:szCs w:val="22"/>
          <w:lang w:val="en-US"/>
        </w:rPr>
        <w:t>)</w:t>
      </w:r>
      <w:r w:rsidR="00E04B7F" w:rsidRPr="00E04B7F">
        <w:rPr>
          <w:rFonts w:ascii="Arial" w:hAnsi="Arial" w:cs="Arial"/>
          <w:b/>
          <w:bCs/>
          <w:noProof/>
          <w:snapToGrid/>
          <w:sz w:val="22"/>
          <w:szCs w:val="22"/>
          <w:lang w:val="en-US"/>
        </w:rPr>
        <w:t xml:space="preserve"> </w:t>
      </w:r>
    </w:p>
    <w:p w14:paraId="3273A432" w14:textId="681294BC" w:rsidR="00F62B21" w:rsidRDefault="00F62B21" w:rsidP="00E04B7F">
      <w:pPr>
        <w:pStyle w:val="Marge"/>
        <w:jc w:val="center"/>
        <w:rPr>
          <w:rFonts w:ascii="Arial" w:hAnsi="Arial" w:cs="Arial"/>
          <w:bCs/>
          <w:i/>
          <w:sz w:val="22"/>
          <w:szCs w:val="22"/>
          <w:lang w:val="en-US"/>
        </w:rPr>
      </w:pPr>
      <w:r>
        <w:rPr>
          <w:noProof/>
          <w:snapToGrid/>
        </w:rPr>
        <w:drawing>
          <wp:inline distT="0" distB="0" distL="0" distR="0" wp14:anchorId="0CA8C50B" wp14:editId="20DE5905">
            <wp:extent cx="6309569" cy="8202440"/>
            <wp:effectExtent l="0" t="0" r="0" b="8255"/>
            <wp:docPr id="1025620619" name="Picture 1" descr="A screenshot of a re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620619" name="Picture 1" descr="A screenshot of a report&#10;&#10;Description automatically generated"/>
                    <pic:cNvPicPr/>
                  </pic:nvPicPr>
                  <pic:blipFill>
                    <a:blip r:embed="rId11"/>
                    <a:stretch>
                      <a:fillRect/>
                    </a:stretch>
                  </pic:blipFill>
                  <pic:spPr>
                    <a:xfrm>
                      <a:off x="0" y="0"/>
                      <a:ext cx="6316887" cy="8211954"/>
                    </a:xfrm>
                    <a:prstGeom prst="rect">
                      <a:avLst/>
                    </a:prstGeom>
                  </pic:spPr>
                </pic:pic>
              </a:graphicData>
            </a:graphic>
          </wp:inline>
        </w:drawing>
      </w:r>
    </w:p>
    <w:p w14:paraId="19EB0459" w14:textId="36BD513C" w:rsidR="008234DD" w:rsidRDefault="00F62B21" w:rsidP="00E04B7F">
      <w:pPr>
        <w:pStyle w:val="Marge"/>
        <w:jc w:val="center"/>
        <w:rPr>
          <w:rFonts w:ascii="Arial" w:hAnsi="Arial" w:cs="Arial"/>
          <w:bCs/>
          <w:i/>
          <w:sz w:val="22"/>
          <w:szCs w:val="22"/>
          <w:lang w:val="en-US"/>
        </w:rPr>
      </w:pPr>
      <w:r>
        <w:rPr>
          <w:rFonts w:ascii="Arial" w:hAnsi="Arial" w:cs="Arial"/>
          <w:bCs/>
          <w:i/>
          <w:sz w:val="22"/>
          <w:szCs w:val="22"/>
          <w:lang w:val="en-US"/>
        </w:rPr>
        <w:br w:type="column"/>
      </w:r>
      <w:r w:rsidR="008234DD">
        <w:rPr>
          <w:noProof/>
          <w:snapToGrid/>
        </w:rPr>
        <w:lastRenderedPageBreak/>
        <w:drawing>
          <wp:inline distT="0" distB="0" distL="0" distR="0" wp14:anchorId="3C2CD160" wp14:editId="1E69278B">
            <wp:extent cx="5829300" cy="8229600"/>
            <wp:effectExtent l="0" t="0" r="0" b="0"/>
            <wp:docPr id="1033919696" name="Picture 1" descr="A document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19696" name="Picture 1" descr="A document with text and images&#10;&#10;Description automatically generated"/>
                    <pic:cNvPicPr/>
                  </pic:nvPicPr>
                  <pic:blipFill>
                    <a:blip r:embed="rId12"/>
                    <a:stretch>
                      <a:fillRect/>
                    </a:stretch>
                  </pic:blipFill>
                  <pic:spPr>
                    <a:xfrm>
                      <a:off x="0" y="0"/>
                      <a:ext cx="5829300" cy="8229600"/>
                    </a:xfrm>
                    <a:prstGeom prst="rect">
                      <a:avLst/>
                    </a:prstGeom>
                  </pic:spPr>
                </pic:pic>
              </a:graphicData>
            </a:graphic>
          </wp:inline>
        </w:drawing>
      </w:r>
    </w:p>
    <w:p w14:paraId="17E24BAF" w14:textId="77777777" w:rsidR="008234DD" w:rsidRDefault="008234DD">
      <w:pPr>
        <w:tabs>
          <w:tab w:val="clear" w:pos="567"/>
        </w:tabs>
        <w:snapToGrid/>
        <w:rPr>
          <w:rFonts w:ascii="Arial" w:eastAsia="Times New Roman" w:hAnsi="Arial" w:cs="Arial"/>
          <w:bCs/>
          <w:i/>
          <w:sz w:val="22"/>
          <w:szCs w:val="22"/>
          <w:lang w:val="en-US" w:eastAsia="en-US"/>
        </w:rPr>
      </w:pPr>
      <w:r>
        <w:rPr>
          <w:rFonts w:ascii="Arial" w:hAnsi="Arial" w:cs="Arial"/>
          <w:bCs/>
          <w:i/>
          <w:sz w:val="22"/>
          <w:szCs w:val="22"/>
          <w:lang w:val="en-US"/>
        </w:rPr>
        <w:br w:type="page"/>
      </w:r>
    </w:p>
    <w:p w14:paraId="67FB8229" w14:textId="54D6140A" w:rsidR="00C57ED9" w:rsidRDefault="00C57ED9" w:rsidP="00E04B7F">
      <w:pPr>
        <w:pStyle w:val="Marge"/>
        <w:jc w:val="center"/>
        <w:rPr>
          <w:rFonts w:ascii="Arial" w:hAnsi="Arial" w:cs="Arial"/>
          <w:bCs/>
          <w:i/>
          <w:sz w:val="22"/>
          <w:szCs w:val="22"/>
          <w:lang w:val="en-US"/>
        </w:rPr>
      </w:pPr>
      <w:r>
        <w:rPr>
          <w:noProof/>
          <w:snapToGrid/>
        </w:rPr>
        <w:lastRenderedPageBreak/>
        <w:drawing>
          <wp:inline distT="0" distB="0" distL="0" distR="0" wp14:anchorId="2A17C827" wp14:editId="5219F04C">
            <wp:extent cx="6120130" cy="8470265"/>
            <wp:effectExtent l="0" t="0" r="0" b="6985"/>
            <wp:docPr id="1894442277" name="Picture 1" descr="A white rectangular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442277" name="Picture 1" descr="A white rectangular box with black text&#10;&#10;Description automatically generated"/>
                    <pic:cNvPicPr/>
                  </pic:nvPicPr>
                  <pic:blipFill>
                    <a:blip r:embed="rId13"/>
                    <a:stretch>
                      <a:fillRect/>
                    </a:stretch>
                  </pic:blipFill>
                  <pic:spPr>
                    <a:xfrm>
                      <a:off x="0" y="0"/>
                      <a:ext cx="6120130" cy="8470265"/>
                    </a:xfrm>
                    <a:prstGeom prst="rect">
                      <a:avLst/>
                    </a:prstGeom>
                  </pic:spPr>
                </pic:pic>
              </a:graphicData>
            </a:graphic>
          </wp:inline>
        </w:drawing>
      </w:r>
    </w:p>
    <w:p w14:paraId="33CBB53A" w14:textId="77777777" w:rsidR="00C57ED9" w:rsidRDefault="00C57ED9">
      <w:pPr>
        <w:tabs>
          <w:tab w:val="clear" w:pos="567"/>
        </w:tabs>
        <w:snapToGrid/>
        <w:rPr>
          <w:rFonts w:ascii="Arial" w:eastAsia="Times New Roman" w:hAnsi="Arial" w:cs="Arial"/>
          <w:bCs/>
          <w:i/>
          <w:sz w:val="22"/>
          <w:szCs w:val="22"/>
          <w:lang w:val="en-US" w:eastAsia="en-US"/>
        </w:rPr>
      </w:pPr>
      <w:r>
        <w:rPr>
          <w:rFonts w:ascii="Arial" w:hAnsi="Arial" w:cs="Arial"/>
          <w:bCs/>
          <w:i/>
          <w:sz w:val="22"/>
          <w:szCs w:val="22"/>
          <w:lang w:val="en-US"/>
        </w:rPr>
        <w:br w:type="page"/>
      </w:r>
    </w:p>
    <w:p w14:paraId="3870A77C" w14:textId="45188948" w:rsidR="00F62B21" w:rsidRPr="00EF2790" w:rsidRDefault="00606699" w:rsidP="00E04B7F">
      <w:pPr>
        <w:pStyle w:val="Marge"/>
        <w:jc w:val="center"/>
        <w:rPr>
          <w:rFonts w:ascii="Arial" w:hAnsi="Arial" w:cs="Arial"/>
          <w:bCs/>
          <w:i/>
          <w:sz w:val="22"/>
          <w:szCs w:val="22"/>
          <w:lang w:val="en-US"/>
        </w:rPr>
      </w:pPr>
      <w:r>
        <w:rPr>
          <w:noProof/>
          <w:snapToGrid/>
        </w:rPr>
        <w:lastRenderedPageBreak/>
        <w:drawing>
          <wp:inline distT="0" distB="0" distL="0" distR="0" wp14:anchorId="595772F6" wp14:editId="0AE21F1D">
            <wp:extent cx="6086475" cy="6981825"/>
            <wp:effectExtent l="0" t="0" r="9525" b="9525"/>
            <wp:docPr id="698954845" name="Picture 1" descr="A documen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954845" name="Picture 1" descr="A document with text on it&#10;&#10;Description automatically generated"/>
                    <pic:cNvPicPr/>
                  </pic:nvPicPr>
                  <pic:blipFill>
                    <a:blip r:embed="rId14"/>
                    <a:stretch>
                      <a:fillRect/>
                    </a:stretch>
                  </pic:blipFill>
                  <pic:spPr>
                    <a:xfrm>
                      <a:off x="0" y="0"/>
                      <a:ext cx="6086475" cy="6981825"/>
                    </a:xfrm>
                    <a:prstGeom prst="rect">
                      <a:avLst/>
                    </a:prstGeom>
                  </pic:spPr>
                </pic:pic>
              </a:graphicData>
            </a:graphic>
          </wp:inline>
        </w:drawing>
      </w:r>
    </w:p>
    <w:sectPr w:rsidR="00F62B21" w:rsidRPr="00EF2790" w:rsidSect="00137882">
      <w:headerReference w:type="even" r:id="rId15"/>
      <w:headerReference w:type="default" r:id="rId16"/>
      <w:headerReference w:type="first" r:id="rId17"/>
      <w:pgSz w:w="11906" w:h="16838" w:code="9"/>
      <w:pgMar w:top="1418" w:right="1134"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AF696" w14:textId="77777777" w:rsidR="00137882" w:rsidRDefault="00137882">
      <w:r>
        <w:separator/>
      </w:r>
    </w:p>
  </w:endnote>
  <w:endnote w:type="continuationSeparator" w:id="0">
    <w:p w14:paraId="2665AD94" w14:textId="77777777" w:rsidR="00137882" w:rsidRDefault="00137882">
      <w:r>
        <w:continuationSeparator/>
      </w:r>
    </w:p>
  </w:endnote>
  <w:endnote w:type="continuationNotice" w:id="1">
    <w:p w14:paraId="6DE3AC20" w14:textId="77777777" w:rsidR="00137882" w:rsidRDefault="00137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FAD21" w14:textId="77777777" w:rsidR="00137882" w:rsidRDefault="00137882">
      <w:r>
        <w:separator/>
      </w:r>
    </w:p>
  </w:footnote>
  <w:footnote w:type="continuationSeparator" w:id="0">
    <w:p w14:paraId="2D2C0045" w14:textId="77777777" w:rsidR="00137882" w:rsidRDefault="00137882">
      <w:r>
        <w:continuationSeparator/>
      </w:r>
    </w:p>
  </w:footnote>
  <w:footnote w:type="continuationNotice" w:id="1">
    <w:p w14:paraId="55DDD63F" w14:textId="77777777" w:rsidR="00137882" w:rsidRDefault="001378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030A" w14:textId="0E1F9D39" w:rsidR="003B6FC5" w:rsidRPr="00FF54F5" w:rsidRDefault="00352423" w:rsidP="00FF54F5">
    <w:pPr>
      <w:pStyle w:val="En-tte"/>
      <w:rPr>
        <w:rFonts w:ascii="Arial" w:hAnsi="Arial" w:cs="Arial"/>
        <w:bCs/>
        <w:sz w:val="22"/>
        <w:szCs w:val="22"/>
        <w:lang w:val="fr-FR"/>
      </w:rPr>
    </w:pPr>
    <w:r w:rsidRPr="00352423">
      <w:rPr>
        <w:rFonts w:ascii="Arial" w:hAnsi="Arial" w:cs="Arial"/>
        <w:bCs/>
        <w:sz w:val="22"/>
        <w:szCs w:val="22"/>
        <w:lang w:val="fr-FR"/>
      </w:rPr>
      <w:t>IOC/EC-5</w:t>
    </w:r>
    <w:r w:rsidR="00E665DE">
      <w:rPr>
        <w:rFonts w:ascii="Arial" w:hAnsi="Arial" w:cs="Arial"/>
        <w:bCs/>
        <w:sz w:val="22"/>
        <w:szCs w:val="22"/>
        <w:lang w:val="fr-FR"/>
      </w:rPr>
      <w:t>7</w:t>
    </w:r>
    <w:r w:rsidR="00FA68D9">
      <w:rPr>
        <w:rFonts w:ascii="Arial" w:hAnsi="Arial" w:cs="Arial"/>
        <w:bCs/>
        <w:sz w:val="22"/>
        <w:szCs w:val="22"/>
        <w:lang w:val="fr-FR"/>
      </w:rPr>
      <w:t>/3</w:t>
    </w:r>
    <w:r w:rsidRPr="00352423">
      <w:rPr>
        <w:rFonts w:ascii="Arial" w:hAnsi="Arial" w:cs="Arial"/>
        <w:bCs/>
        <w:sz w:val="22"/>
        <w:szCs w:val="22"/>
        <w:lang w:val="fr-FR"/>
      </w:rPr>
      <w:t>.</w:t>
    </w:r>
    <w:proofErr w:type="gramStart"/>
    <w:r w:rsidRPr="00352423">
      <w:rPr>
        <w:rFonts w:ascii="Arial" w:hAnsi="Arial" w:cs="Arial"/>
        <w:bCs/>
        <w:sz w:val="22"/>
        <w:szCs w:val="22"/>
        <w:lang w:val="fr-FR"/>
      </w:rPr>
      <w:t>1</w:t>
    </w:r>
    <w:r w:rsidR="00DD3F5E">
      <w:rPr>
        <w:rFonts w:ascii="Arial" w:hAnsi="Arial" w:cs="Arial"/>
        <w:bCs/>
        <w:sz w:val="22"/>
        <w:szCs w:val="22"/>
        <w:lang w:val="fr-FR"/>
      </w:rPr>
      <w:t>.</w:t>
    </w:r>
    <w:r w:rsidRPr="00352423">
      <w:rPr>
        <w:rFonts w:ascii="Arial" w:hAnsi="Arial" w:cs="Arial"/>
        <w:bCs/>
        <w:sz w:val="22"/>
        <w:szCs w:val="22"/>
        <w:lang w:val="fr-FR"/>
      </w:rPr>
      <w:t>Doc</w:t>
    </w:r>
    <w:proofErr w:type="gramEnd"/>
    <w:sdt>
      <w:sdtPr>
        <w:rPr>
          <w:rFonts w:ascii="Arial" w:hAnsi="Arial" w:cs="Arial"/>
          <w:bCs/>
          <w:sz w:val="22"/>
          <w:szCs w:val="22"/>
        </w:rPr>
        <w:id w:val="554519101"/>
        <w:docPartObj>
          <w:docPartGallery w:val="Page Numbers (Top of Page)"/>
          <w:docPartUnique/>
        </w:docPartObj>
      </w:sdtPr>
      <w:sdtEndPr/>
      <w:sdtContent>
        <w:r w:rsidR="00FA68D9">
          <w:rPr>
            <w:rFonts w:ascii="Arial" w:hAnsi="Arial" w:cs="Arial"/>
            <w:bCs/>
            <w:sz w:val="22"/>
            <w:szCs w:val="22"/>
          </w:rPr>
          <w:t>(1)</w:t>
        </w:r>
        <w:r w:rsidR="00BC135C">
          <w:rPr>
            <w:rFonts w:ascii="Arial" w:hAnsi="Arial" w:cs="Arial"/>
            <w:bCs/>
            <w:sz w:val="22"/>
            <w:szCs w:val="22"/>
          </w:rPr>
          <w:t xml:space="preserve"> – page </w:t>
        </w:r>
        <w:r w:rsidR="00BC135C" w:rsidRPr="00BC135C">
          <w:rPr>
            <w:rFonts w:ascii="Arial" w:hAnsi="Arial" w:cs="Arial"/>
            <w:bCs/>
            <w:sz w:val="22"/>
            <w:szCs w:val="22"/>
          </w:rPr>
          <w:fldChar w:fldCharType="begin"/>
        </w:r>
        <w:r w:rsidR="00BC135C" w:rsidRPr="00BC135C">
          <w:rPr>
            <w:rFonts w:ascii="Arial" w:hAnsi="Arial" w:cs="Arial"/>
            <w:bCs/>
            <w:sz w:val="22"/>
            <w:szCs w:val="22"/>
          </w:rPr>
          <w:instrText xml:space="preserve"> PAGE   \* MERGEFORMAT </w:instrText>
        </w:r>
        <w:r w:rsidR="00BC135C" w:rsidRPr="00BC135C">
          <w:rPr>
            <w:rFonts w:ascii="Arial" w:hAnsi="Arial" w:cs="Arial"/>
            <w:bCs/>
            <w:sz w:val="22"/>
            <w:szCs w:val="22"/>
          </w:rPr>
          <w:fldChar w:fldCharType="separate"/>
        </w:r>
        <w:r w:rsidR="00D110FE">
          <w:rPr>
            <w:rFonts w:ascii="Arial" w:hAnsi="Arial" w:cs="Arial"/>
            <w:bCs/>
            <w:noProof/>
            <w:sz w:val="22"/>
            <w:szCs w:val="22"/>
          </w:rPr>
          <w:t>2</w:t>
        </w:r>
        <w:r w:rsidR="00BC135C" w:rsidRPr="00BC135C">
          <w:rPr>
            <w:rFonts w:ascii="Arial" w:hAnsi="Arial" w:cs="Arial"/>
            <w:bCs/>
            <w:noProof/>
            <w:sz w:val="22"/>
            <w:szCs w:val="22"/>
          </w:rPr>
          <w:fldChar w:fldCharType="end"/>
        </w:r>
      </w:sdtContent>
    </w:sdt>
  </w:p>
  <w:p w14:paraId="7669745D" w14:textId="77777777" w:rsidR="003B6FC5" w:rsidRPr="00D7566D" w:rsidRDefault="003B6FC5">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B357" w14:textId="240F6F96" w:rsidR="00FF54F5" w:rsidRPr="00DD55DA" w:rsidRDefault="00E665DE" w:rsidP="00FF54F5">
    <w:pPr>
      <w:pStyle w:val="En-tte"/>
      <w:jc w:val="right"/>
      <w:rPr>
        <w:rFonts w:ascii="Arial" w:hAnsi="Arial" w:cs="Arial"/>
        <w:bCs/>
        <w:sz w:val="22"/>
        <w:szCs w:val="22"/>
        <w:lang w:val="fr-FR"/>
      </w:rPr>
    </w:pPr>
    <w:r>
      <w:rPr>
        <w:rFonts w:ascii="Arial" w:hAnsi="Arial" w:cs="Arial"/>
        <w:bCs/>
        <w:sz w:val="22"/>
        <w:szCs w:val="22"/>
        <w:lang w:val="fr-FR"/>
      </w:rPr>
      <w:t>7</w:t>
    </w:r>
    <w:r w:rsidR="00E01FDA" w:rsidRPr="00352423">
      <w:rPr>
        <w:rFonts w:ascii="Arial" w:hAnsi="Arial" w:cs="Arial"/>
        <w:bCs/>
        <w:sz w:val="22"/>
        <w:szCs w:val="22"/>
        <w:lang w:val="fr-FR"/>
      </w:rPr>
      <w:t>OC/EC-5</w:t>
    </w:r>
    <w:r w:rsidR="00BE2EC4">
      <w:rPr>
        <w:rFonts w:ascii="Arial" w:hAnsi="Arial" w:cs="Arial"/>
        <w:bCs/>
        <w:sz w:val="22"/>
        <w:szCs w:val="22"/>
        <w:lang w:val="fr-FR"/>
      </w:rPr>
      <w:t>7</w:t>
    </w:r>
    <w:r w:rsidR="00E01FDA" w:rsidRPr="00352423">
      <w:rPr>
        <w:rFonts w:ascii="Arial" w:hAnsi="Arial" w:cs="Arial"/>
        <w:bCs/>
        <w:sz w:val="22"/>
        <w:szCs w:val="22"/>
        <w:lang w:val="fr-FR"/>
      </w:rPr>
      <w:t>/</w:t>
    </w:r>
    <w:r w:rsidR="007C4C1D">
      <w:rPr>
        <w:rFonts w:ascii="Arial" w:hAnsi="Arial" w:cs="Arial"/>
        <w:bCs/>
        <w:sz w:val="22"/>
        <w:szCs w:val="22"/>
        <w:lang w:val="fr-FR"/>
      </w:rPr>
      <w:t>3</w:t>
    </w:r>
    <w:r w:rsidR="00E01FDA" w:rsidRPr="00352423">
      <w:rPr>
        <w:rFonts w:ascii="Arial" w:hAnsi="Arial" w:cs="Arial"/>
        <w:bCs/>
        <w:sz w:val="22"/>
        <w:szCs w:val="22"/>
        <w:lang w:val="fr-FR"/>
      </w:rPr>
      <w:t>.</w:t>
    </w:r>
    <w:proofErr w:type="gramStart"/>
    <w:r w:rsidR="00E01FDA" w:rsidRPr="00352423">
      <w:rPr>
        <w:rFonts w:ascii="Arial" w:hAnsi="Arial" w:cs="Arial"/>
        <w:bCs/>
        <w:sz w:val="22"/>
        <w:szCs w:val="22"/>
        <w:lang w:val="fr-FR"/>
      </w:rPr>
      <w:t>1</w:t>
    </w:r>
    <w:r w:rsidR="00E01FDA">
      <w:rPr>
        <w:rFonts w:ascii="Arial" w:hAnsi="Arial" w:cs="Arial"/>
        <w:bCs/>
        <w:sz w:val="22"/>
        <w:szCs w:val="22"/>
        <w:lang w:val="fr-FR"/>
      </w:rPr>
      <w:t>.</w:t>
    </w:r>
    <w:r w:rsidR="00E01FDA" w:rsidRPr="00352423">
      <w:rPr>
        <w:rFonts w:ascii="Arial" w:hAnsi="Arial" w:cs="Arial"/>
        <w:bCs/>
        <w:sz w:val="22"/>
        <w:szCs w:val="22"/>
        <w:lang w:val="fr-FR"/>
      </w:rPr>
      <w:t>Doc</w:t>
    </w:r>
    <w:proofErr w:type="gramEnd"/>
    <w:r w:rsidR="007C4C1D">
      <w:rPr>
        <w:rFonts w:ascii="Arial" w:hAnsi="Arial" w:cs="Arial"/>
        <w:bCs/>
        <w:sz w:val="22"/>
        <w:szCs w:val="22"/>
        <w:lang w:val="fr-FR"/>
      </w:rPr>
      <w:t>(1)</w:t>
    </w:r>
    <w:r w:rsidR="00A14C22">
      <w:rPr>
        <w:rFonts w:ascii="Arial" w:hAnsi="Arial" w:cs="Arial"/>
        <w:bCs/>
        <w:sz w:val="22"/>
        <w:szCs w:val="22"/>
        <w:lang w:val="fr-FR"/>
      </w:rPr>
      <w:t xml:space="preserve"> – page </w:t>
    </w:r>
    <w:r w:rsidR="00A14C22" w:rsidRPr="00A14C22">
      <w:rPr>
        <w:rFonts w:ascii="Arial" w:hAnsi="Arial" w:cs="Arial"/>
        <w:bCs/>
        <w:sz w:val="22"/>
        <w:szCs w:val="22"/>
        <w:lang w:val="fr-FR"/>
      </w:rPr>
      <w:fldChar w:fldCharType="begin"/>
    </w:r>
    <w:r w:rsidR="00A14C22" w:rsidRPr="00A14C22">
      <w:rPr>
        <w:rFonts w:ascii="Arial" w:hAnsi="Arial" w:cs="Arial"/>
        <w:bCs/>
        <w:sz w:val="22"/>
        <w:szCs w:val="22"/>
        <w:lang w:val="fr-FR"/>
      </w:rPr>
      <w:instrText xml:space="preserve"> PAGE   \* MERGEFORMAT </w:instrText>
    </w:r>
    <w:r w:rsidR="00A14C22" w:rsidRPr="00A14C22">
      <w:rPr>
        <w:rFonts w:ascii="Arial" w:hAnsi="Arial" w:cs="Arial"/>
        <w:bCs/>
        <w:sz w:val="22"/>
        <w:szCs w:val="22"/>
        <w:lang w:val="fr-FR"/>
      </w:rPr>
      <w:fldChar w:fldCharType="separate"/>
    </w:r>
    <w:r w:rsidR="00D110FE">
      <w:rPr>
        <w:rFonts w:ascii="Arial" w:hAnsi="Arial" w:cs="Arial"/>
        <w:bCs/>
        <w:noProof/>
        <w:sz w:val="22"/>
        <w:szCs w:val="22"/>
        <w:lang w:val="fr-FR"/>
      </w:rPr>
      <w:t>3</w:t>
    </w:r>
    <w:r w:rsidR="00A14C22" w:rsidRPr="00A14C22">
      <w:rPr>
        <w:rFonts w:ascii="Arial" w:hAnsi="Arial" w:cs="Arial"/>
        <w:bCs/>
        <w:noProof/>
        <w:sz w:val="22"/>
        <w:szCs w:val="22"/>
        <w:lang w:val="fr-FR"/>
      </w:rPr>
      <w:fldChar w:fldCharType="end"/>
    </w:r>
  </w:p>
  <w:p w14:paraId="115C0040" w14:textId="77777777" w:rsidR="00FF54F5" w:rsidRPr="00DD55DA" w:rsidRDefault="00FF54F5" w:rsidP="00FF54F5">
    <w:pPr>
      <w:pStyle w:val="En-tte"/>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2890" w14:textId="6E4EB2EC" w:rsidR="00F62C19" w:rsidRPr="0042612F" w:rsidRDefault="008B77EB" w:rsidP="00705F29">
    <w:pPr>
      <w:pStyle w:val="Marge"/>
      <w:tabs>
        <w:tab w:val="left" w:pos="5921"/>
        <w:tab w:val="left" w:pos="7088"/>
      </w:tabs>
      <w:spacing w:after="0"/>
      <w:rPr>
        <w:rFonts w:ascii="Arial" w:hAnsi="Arial" w:cs="Arial"/>
        <w:b/>
        <w:sz w:val="36"/>
        <w:szCs w:val="36"/>
      </w:rPr>
    </w:pPr>
    <w:r w:rsidRPr="0042612F">
      <w:rPr>
        <w:rFonts w:ascii="Arial" w:hAnsi="Arial" w:cs="Arial"/>
        <w:sz w:val="22"/>
        <w:szCs w:val="22"/>
      </w:rPr>
      <w:t>Restricted distribution</w:t>
    </w:r>
    <w:r w:rsidR="004B7754" w:rsidRPr="0042612F">
      <w:rPr>
        <w:rFonts w:cs="Arial"/>
        <w:szCs w:val="22"/>
      </w:rPr>
      <w:tab/>
    </w:r>
    <w:bookmarkStart w:id="0" w:name="_Hlk54263549"/>
    <w:r w:rsidR="004B7754" w:rsidRPr="0042612F">
      <w:rPr>
        <w:rFonts w:ascii="Arial" w:hAnsi="Arial" w:cs="Arial"/>
        <w:b/>
        <w:sz w:val="36"/>
        <w:szCs w:val="36"/>
      </w:rPr>
      <w:t>IOC/EC-</w:t>
    </w:r>
    <w:r w:rsidR="00EB56CD" w:rsidRPr="0042612F">
      <w:rPr>
        <w:rFonts w:ascii="Arial" w:hAnsi="Arial" w:cs="Arial"/>
        <w:b/>
        <w:sz w:val="36"/>
        <w:szCs w:val="36"/>
      </w:rPr>
      <w:t>5</w:t>
    </w:r>
    <w:r w:rsidR="00141A44">
      <w:rPr>
        <w:rFonts w:ascii="Arial" w:hAnsi="Arial" w:cs="Arial"/>
        <w:b/>
        <w:sz w:val="36"/>
        <w:szCs w:val="36"/>
      </w:rPr>
      <w:t>7</w:t>
    </w:r>
    <w:r w:rsidR="004B7754" w:rsidRPr="0042612F">
      <w:rPr>
        <w:rFonts w:ascii="Arial" w:hAnsi="Arial" w:cs="Arial"/>
        <w:b/>
        <w:sz w:val="36"/>
        <w:szCs w:val="36"/>
      </w:rPr>
      <w:t>/</w:t>
    </w:r>
    <w:r w:rsidR="00FA68D9">
      <w:rPr>
        <w:rFonts w:ascii="Arial" w:hAnsi="Arial" w:cs="Arial"/>
        <w:b/>
        <w:sz w:val="36"/>
        <w:szCs w:val="36"/>
      </w:rPr>
      <w:t>3.1</w:t>
    </w:r>
    <w:bookmarkEnd w:id="0"/>
    <w:r w:rsidR="00FA68D9">
      <w:rPr>
        <w:rFonts w:ascii="Arial" w:hAnsi="Arial" w:cs="Arial"/>
        <w:b/>
        <w:sz w:val="36"/>
        <w:szCs w:val="36"/>
      </w:rPr>
      <w:t>.Doc(1)</w:t>
    </w:r>
  </w:p>
  <w:p w14:paraId="4FD70AD5" w14:textId="2C5FB863" w:rsidR="004B7754" w:rsidRDefault="008B77EB" w:rsidP="00705F29">
    <w:pPr>
      <w:pStyle w:val="Marge"/>
      <w:tabs>
        <w:tab w:val="left" w:pos="5921"/>
      </w:tabs>
      <w:spacing w:after="0"/>
      <w:rPr>
        <w:rFonts w:ascii="Arial" w:hAnsi="Arial" w:cs="Arial"/>
        <w:sz w:val="22"/>
        <w:szCs w:val="22"/>
      </w:rPr>
    </w:pPr>
    <w:r>
      <w:rPr>
        <w:rFonts w:cs="Arial"/>
        <w:b/>
        <w:noProof/>
        <w:snapToGrid/>
        <w:szCs w:val="22"/>
        <w:lang w:val="fr-FR" w:eastAsia="fr-FR"/>
      </w:rPr>
      <w:drawing>
        <wp:anchor distT="0" distB="0" distL="114300" distR="114300" simplePos="0" relativeHeight="251658240" behindDoc="0" locked="0" layoutInCell="1" allowOverlap="1" wp14:anchorId="7C2FCC9E" wp14:editId="3855C8E1">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4B7754" w:rsidRPr="0042612F">
      <w:rPr>
        <w:rFonts w:cs="Arial"/>
        <w:b/>
        <w:szCs w:val="22"/>
      </w:rPr>
      <w:tab/>
    </w:r>
    <w:r w:rsidR="004B7754" w:rsidRPr="00BF254D">
      <w:rPr>
        <w:rFonts w:ascii="Arial" w:hAnsi="Arial" w:cs="Arial"/>
        <w:sz w:val="22"/>
        <w:szCs w:val="22"/>
      </w:rPr>
      <w:t xml:space="preserve">Paris, </w:t>
    </w:r>
    <w:r w:rsidR="00313AB1">
      <w:rPr>
        <w:rFonts w:ascii="Arial" w:hAnsi="Arial" w:cs="Arial"/>
        <w:sz w:val="22"/>
        <w:szCs w:val="22"/>
      </w:rPr>
      <w:t>2</w:t>
    </w:r>
    <w:r w:rsidR="00C51DE8">
      <w:rPr>
        <w:rFonts w:ascii="Arial" w:hAnsi="Arial" w:cs="Arial"/>
        <w:sz w:val="22"/>
        <w:szCs w:val="22"/>
      </w:rPr>
      <w:t>5</w:t>
    </w:r>
    <w:r w:rsidR="007A264F">
      <w:rPr>
        <w:rFonts w:ascii="Arial" w:hAnsi="Arial" w:cs="Arial"/>
        <w:sz w:val="22"/>
        <w:szCs w:val="22"/>
      </w:rPr>
      <w:t xml:space="preserve"> </w:t>
    </w:r>
    <w:r w:rsidR="00FA68D9">
      <w:rPr>
        <w:rFonts w:ascii="Arial" w:hAnsi="Arial" w:cs="Arial"/>
        <w:sz w:val="22"/>
        <w:szCs w:val="22"/>
      </w:rPr>
      <w:t>April</w:t>
    </w:r>
    <w:r w:rsidR="007A264F">
      <w:rPr>
        <w:rFonts w:ascii="Arial" w:hAnsi="Arial" w:cs="Arial"/>
        <w:sz w:val="22"/>
        <w:szCs w:val="22"/>
      </w:rPr>
      <w:t xml:space="preserve"> 202</w:t>
    </w:r>
    <w:r w:rsidR="00141A44">
      <w:rPr>
        <w:rFonts w:ascii="Arial" w:hAnsi="Arial" w:cs="Arial"/>
        <w:sz w:val="22"/>
        <w:szCs w:val="22"/>
      </w:rPr>
      <w:t>4</w:t>
    </w:r>
    <w:r w:rsidR="00CA7799">
      <w:rPr>
        <w:rFonts w:ascii="Arial" w:hAnsi="Arial" w:cs="Arial"/>
        <w:sz w:val="22"/>
        <w:szCs w:val="22"/>
      </w:rPr>
      <w:t xml:space="preserve"> </w:t>
    </w:r>
  </w:p>
  <w:p w14:paraId="07C76426" w14:textId="18A2F05C" w:rsidR="004B7754" w:rsidRPr="00BF254D" w:rsidRDefault="004B7754" w:rsidP="00705F29">
    <w:pPr>
      <w:pStyle w:val="Marge"/>
      <w:tabs>
        <w:tab w:val="left" w:pos="5921"/>
      </w:tabs>
      <w:rPr>
        <w:rFonts w:ascii="Arial" w:hAnsi="Arial" w:cs="Arial"/>
        <w:sz w:val="22"/>
        <w:szCs w:val="22"/>
      </w:rPr>
    </w:pPr>
    <w:r>
      <w:rPr>
        <w:rFonts w:ascii="Arial" w:hAnsi="Arial" w:cs="Arial"/>
        <w:b/>
        <w:sz w:val="22"/>
        <w:szCs w:val="22"/>
      </w:rPr>
      <w:tab/>
    </w:r>
    <w:r w:rsidRPr="00BF254D">
      <w:rPr>
        <w:rFonts w:ascii="Arial" w:hAnsi="Arial" w:cs="Arial"/>
        <w:sz w:val="22"/>
        <w:szCs w:val="22"/>
      </w:rPr>
      <w:t>Original: English</w:t>
    </w:r>
  </w:p>
  <w:p w14:paraId="0759C652" w14:textId="6ACD3015" w:rsidR="004B7754" w:rsidRDefault="004B7754"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5CBA7A2E" w14:textId="7CD94594" w:rsidR="00B17054" w:rsidRDefault="00B17054"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364F293E" w14:textId="4E082054" w:rsidR="00B17054" w:rsidRDefault="00B17054"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28CD0B7C" w14:textId="77777777" w:rsidR="008B77EB" w:rsidRDefault="008B77EB"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1D868DB4" w14:textId="77777777" w:rsidR="00B17054" w:rsidRPr="005E544C" w:rsidRDefault="00B17054"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71A52761" w14:textId="56DB973C" w:rsidR="004B7754" w:rsidRPr="00BF254D" w:rsidRDefault="004B7754"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BF254D">
      <w:rPr>
        <w:rFonts w:ascii="Arial" w:hAnsi="Arial" w:cs="Arial"/>
        <w:b/>
      </w:rPr>
      <w:t>INTERGOVERNMENTAL OCEANOGRAPHIC COMMISSION</w:t>
    </w:r>
  </w:p>
  <w:p w14:paraId="67E49D49" w14:textId="77777777" w:rsidR="004B7754" w:rsidRPr="00BF254D" w:rsidRDefault="004B7754" w:rsidP="00B17054">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rPr>
    </w:pPr>
    <w:r w:rsidRPr="00BF254D">
      <w:rPr>
        <w:rFonts w:ascii="Arial" w:hAnsi="Arial" w:cs="Arial"/>
        <w:bCs/>
      </w:rPr>
      <w:t>(of UNESCO)</w:t>
    </w:r>
  </w:p>
  <w:p w14:paraId="4872ECD5" w14:textId="77777777" w:rsidR="004B7754" w:rsidRPr="00BF254D" w:rsidRDefault="004B7754"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Cs w:val="22"/>
      </w:rPr>
    </w:pPr>
  </w:p>
  <w:p w14:paraId="7BF4961F" w14:textId="7FAC70AB" w:rsidR="004B7754" w:rsidRPr="00BF254D" w:rsidRDefault="00A05A4D" w:rsidP="00B17054">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rPr>
    </w:pPr>
    <w:r>
      <w:rPr>
        <w:rFonts w:ascii="Arial" w:hAnsi="Arial" w:cs="Arial"/>
        <w:b/>
      </w:rPr>
      <w:t>Fifty-</w:t>
    </w:r>
    <w:r w:rsidR="00141A44">
      <w:rPr>
        <w:rFonts w:ascii="Arial" w:hAnsi="Arial" w:cs="Arial"/>
        <w:b/>
      </w:rPr>
      <w:t>seventh</w:t>
    </w:r>
    <w:r w:rsidR="004B7754" w:rsidRPr="00BF254D">
      <w:rPr>
        <w:rFonts w:ascii="Arial" w:hAnsi="Arial" w:cs="Arial"/>
        <w:b/>
      </w:rPr>
      <w:t xml:space="preserve"> Session of the </w:t>
    </w:r>
    <w:r w:rsidR="004B7754">
      <w:rPr>
        <w:rFonts w:ascii="Arial" w:hAnsi="Arial" w:cs="Arial"/>
        <w:b/>
      </w:rPr>
      <w:t>Executive Council</w:t>
    </w:r>
  </w:p>
  <w:p w14:paraId="71300EEE" w14:textId="19D181B4" w:rsidR="004B7754" w:rsidRPr="00843E81" w:rsidRDefault="004B7754" w:rsidP="00B17054">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lang w:val="en-US"/>
      </w:rPr>
    </w:pPr>
    <w:r w:rsidRPr="00843E81">
      <w:rPr>
        <w:rFonts w:ascii="Arial" w:hAnsi="Arial" w:cs="Arial"/>
        <w:bCs/>
        <w:lang w:val="en-US"/>
      </w:rPr>
      <w:t xml:space="preserve">UNESCO, Paris, </w:t>
    </w:r>
    <w:r w:rsidR="0048289E">
      <w:rPr>
        <w:rFonts w:ascii="Arial" w:hAnsi="Arial" w:cs="Arial"/>
        <w:bCs/>
        <w:lang w:val="en-US"/>
      </w:rPr>
      <w:t>25</w:t>
    </w:r>
    <w:r w:rsidR="008B77EB" w:rsidRPr="00843E81">
      <w:rPr>
        <w:rFonts w:ascii="Arial" w:hAnsi="Arial" w:cs="Arial"/>
        <w:bCs/>
        <w:lang w:val="en-US"/>
      </w:rPr>
      <w:t>–</w:t>
    </w:r>
    <w:r w:rsidR="0048289E">
      <w:rPr>
        <w:rFonts w:ascii="Arial" w:hAnsi="Arial" w:cs="Arial"/>
        <w:bCs/>
        <w:lang w:val="en-US"/>
      </w:rPr>
      <w:t>28</w:t>
    </w:r>
    <w:r w:rsidR="00354A10" w:rsidRPr="00843E81">
      <w:rPr>
        <w:rFonts w:ascii="Arial" w:hAnsi="Arial" w:cs="Arial"/>
        <w:bCs/>
        <w:lang w:val="en-US"/>
      </w:rPr>
      <w:t xml:space="preserve"> June</w:t>
    </w:r>
    <w:r w:rsidRPr="00843E81">
      <w:rPr>
        <w:rFonts w:ascii="Arial" w:hAnsi="Arial" w:cs="Arial"/>
        <w:bCs/>
        <w:lang w:val="en-US"/>
      </w:rPr>
      <w:t xml:space="preserve"> 20</w:t>
    </w:r>
    <w:r w:rsidR="00EE2F00" w:rsidRPr="00843E81">
      <w:rPr>
        <w:rFonts w:ascii="Arial" w:hAnsi="Arial" w:cs="Arial"/>
        <w:bCs/>
        <w:lang w:val="en-US"/>
      </w:rPr>
      <w:t>2</w:t>
    </w:r>
    <w:r w:rsidR="0048289E">
      <w:rPr>
        <w:rFonts w:ascii="Arial" w:hAnsi="Arial" w:cs="Arial"/>
        <w:bCs/>
        <w:lang w:val="en-US"/>
      </w:rPr>
      <w:t>4</w:t>
    </w:r>
  </w:p>
  <w:p w14:paraId="5BB9C169" w14:textId="77777777" w:rsidR="004B7754" w:rsidRPr="00843E81" w:rsidRDefault="004B7754" w:rsidP="00B17054">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n-US"/>
      </w:rPr>
    </w:pPr>
  </w:p>
  <w:p w14:paraId="003DCA37" w14:textId="77777777" w:rsidR="004B7754" w:rsidRPr="00843E81" w:rsidRDefault="004B7754" w:rsidP="00B17054">
    <w:pPr>
      <w:jc w:val="center"/>
      <w:rPr>
        <w:rFonts w:cs="Arial"/>
        <w:szCs w:val="22"/>
        <w:lang w:val="en-US"/>
      </w:rPr>
    </w:pPr>
  </w:p>
  <w:p w14:paraId="4AE80372" w14:textId="4CE30030" w:rsidR="00FA68D9" w:rsidRPr="00FA68D9" w:rsidRDefault="00FA68D9" w:rsidP="00FA68D9">
    <w:pPr>
      <w:keepNext/>
      <w:widowControl w:val="0"/>
      <w:tabs>
        <w:tab w:val="right" w:pos="9540"/>
      </w:tabs>
      <w:adjustRightInd w:val="0"/>
      <w:jc w:val="both"/>
      <w:textAlignment w:val="baseline"/>
      <w:outlineLvl w:val="6"/>
      <w:rPr>
        <w:rFonts w:ascii="Arial" w:eastAsia="Times New Roman" w:hAnsi="Arial" w:cs="Arial"/>
        <w:lang w:eastAsia="en-US"/>
      </w:rPr>
    </w:pPr>
    <w:r w:rsidRPr="00FA68D9">
      <w:rPr>
        <w:rFonts w:ascii="Arial" w:eastAsia="Times New Roman" w:hAnsi="Arial" w:cs="Arial"/>
        <w:u w:val="single"/>
        <w:lang w:eastAsia="en-US"/>
      </w:rPr>
      <w:t xml:space="preserve">Item </w:t>
    </w:r>
    <w:r w:rsidRPr="00FA68D9">
      <w:rPr>
        <w:rFonts w:ascii="Arial" w:eastAsia="Times New Roman" w:hAnsi="Arial" w:cs="Arial"/>
        <w:b/>
        <w:u w:val="single"/>
        <w:lang w:eastAsia="en-US"/>
      </w:rPr>
      <w:t>3.</w:t>
    </w:r>
    <w:r>
      <w:rPr>
        <w:rFonts w:ascii="Arial" w:eastAsia="Times New Roman" w:hAnsi="Arial" w:cs="Arial"/>
        <w:b/>
        <w:u w:val="single"/>
        <w:lang w:eastAsia="en-US"/>
      </w:rPr>
      <w:t>1</w:t>
    </w:r>
    <w:r w:rsidRPr="00FA68D9">
      <w:rPr>
        <w:rFonts w:ascii="Arial" w:eastAsia="Times New Roman" w:hAnsi="Arial" w:cs="Arial"/>
        <w:u w:val="single"/>
        <w:lang w:eastAsia="en-US"/>
      </w:rPr>
      <w:t xml:space="preserve"> of the Provisional Agenda</w:t>
    </w:r>
  </w:p>
  <w:p w14:paraId="5283A965" w14:textId="77777777" w:rsidR="00FA68D9" w:rsidRPr="00FA68D9" w:rsidRDefault="00FA68D9"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78CE1720" w14:textId="77777777" w:rsidR="00FA68D9" w:rsidRPr="00FA68D9" w:rsidRDefault="00FA68D9"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12B25AD8" w14:textId="56B4CD35" w:rsidR="004B7754" w:rsidRPr="00FA68D9" w:rsidRDefault="00FA68D9" w:rsidP="00E67743">
    <w:pPr>
      <w:pStyle w:val="b"/>
      <w:ind w:left="567" w:firstLine="0"/>
      <w:jc w:val="center"/>
      <w:rPr>
        <w:rFonts w:cs="Arial"/>
        <w:bCs/>
        <w:szCs w:val="22"/>
        <w:lang w:val="en-US"/>
      </w:rPr>
    </w:pPr>
    <w:r w:rsidRPr="00FA68D9">
      <w:rPr>
        <w:rFonts w:ascii="Arial" w:hAnsi="Arial" w:cs="Arial"/>
        <w:b/>
        <w:sz w:val="22"/>
        <w:szCs w:val="22"/>
        <w:lang w:val="en-US"/>
      </w:rPr>
      <w:t xml:space="preserve">REPORT OF THE EXECUTIVE SECRETARY ON THE WORK ACCOMPLISHED </w:t>
    </w:r>
    <w:r w:rsidRPr="00FA68D9">
      <w:rPr>
        <w:rFonts w:ascii="Arial" w:hAnsi="Arial" w:cs="Arial"/>
        <w:b/>
        <w:sz w:val="22"/>
        <w:szCs w:val="22"/>
        <w:lang w:val="en-US"/>
      </w:rPr>
      <w:br/>
      <w:t>SINCE THE THIRTY-</w:t>
    </w:r>
    <w:r w:rsidR="004359DF">
      <w:rPr>
        <w:rFonts w:ascii="Arial" w:hAnsi="Arial" w:cs="Arial"/>
        <w:b/>
        <w:sz w:val="22"/>
        <w:szCs w:val="22"/>
        <w:lang w:val="en-US"/>
      </w:rPr>
      <w:t>SECOND</w:t>
    </w:r>
    <w:r w:rsidRPr="00FA68D9">
      <w:rPr>
        <w:rFonts w:ascii="Arial" w:hAnsi="Arial" w:cs="Arial"/>
        <w:b/>
        <w:sz w:val="22"/>
        <w:szCs w:val="22"/>
        <w:lang w:val="en-US"/>
      </w:rPr>
      <w:t xml:space="preserve"> SESSION OF THE ASSEMBLY (Ju</w:t>
    </w:r>
    <w:r w:rsidR="004359DF">
      <w:rPr>
        <w:rFonts w:ascii="Arial" w:hAnsi="Arial" w:cs="Arial"/>
        <w:b/>
        <w:sz w:val="22"/>
        <w:szCs w:val="22"/>
        <w:lang w:val="en-US"/>
      </w:rPr>
      <w:t>ne</w:t>
    </w:r>
    <w:r w:rsidRPr="00FA68D9">
      <w:rPr>
        <w:rFonts w:ascii="Arial" w:hAnsi="Arial" w:cs="Arial"/>
        <w:b/>
        <w:sz w:val="22"/>
        <w:szCs w:val="22"/>
        <w:lang w:val="en-US"/>
      </w:rPr>
      <w:t xml:space="preserve"> 202</w:t>
    </w:r>
    <w:r w:rsidR="0048289E">
      <w:rPr>
        <w:rFonts w:ascii="Arial" w:hAnsi="Arial" w:cs="Arial"/>
        <w:b/>
        <w:sz w:val="22"/>
        <w:szCs w:val="22"/>
        <w:lang w:val="en-US"/>
      </w:rPr>
      <w:t>3</w:t>
    </w:r>
    <w:r w:rsidRPr="00FA68D9">
      <w:rPr>
        <w:rFonts w:ascii="Arial" w:hAnsi="Arial" w:cs="Arial"/>
        <w:b/>
        <w:sz w:val="22"/>
        <w:szCs w:val="22"/>
        <w:lang w:val="en-US"/>
      </w:rPr>
      <w:t>–May 202</w:t>
    </w:r>
    <w:r w:rsidR="0048289E">
      <w:rPr>
        <w:rFonts w:ascii="Arial" w:hAnsi="Arial" w:cs="Arial"/>
        <w:b/>
        <w:sz w:val="22"/>
        <w:szCs w:val="22"/>
        <w:lang w:val="en-US"/>
      </w:rPr>
      <w:t>4</w:t>
    </w:r>
    <w:r w:rsidRPr="00FA68D9">
      <w:rPr>
        <w:rFonts w:ascii="Arial" w:hAnsi="Arial" w:cs="Arial"/>
        <w:b/>
        <w:sz w:val="22"/>
        <w:szCs w:val="22"/>
        <w:lang w:val="en-US"/>
      </w:rPr>
      <w:t xml:space="preserve">) </w:t>
    </w:r>
    <w:r w:rsidRPr="00A05A4D">
      <w:rPr>
        <w:rFonts w:ascii="Arial" w:hAnsi="Arial" w:cs="Arial"/>
        <w:sz w:val="22"/>
        <w:szCs w:val="22"/>
        <w:lang w:val="en-US"/>
      </w:rPr>
      <w:br/>
    </w:r>
  </w:p>
  <w:p w14:paraId="5F53C7C4" w14:textId="77777777" w:rsidR="004B7754" w:rsidRPr="00FA68D9" w:rsidRDefault="004B7754" w:rsidP="00B17054">
    <w:pPr>
      <w:pStyle w:val="En-tte"/>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31C9"/>
    <w:multiLevelType w:val="hybridMultilevel"/>
    <w:tmpl w:val="43F2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1802D2"/>
    <w:multiLevelType w:val="hybridMultilevel"/>
    <w:tmpl w:val="E392079E"/>
    <w:lvl w:ilvl="0" w:tplc="9CD2B4FE">
      <w:start w:val="1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00789"/>
    <w:multiLevelType w:val="hybridMultilevel"/>
    <w:tmpl w:val="0704798C"/>
    <w:lvl w:ilvl="0" w:tplc="6A1871F0">
      <w:start w:val="1"/>
      <w:numFmt w:val="decimal"/>
      <w:lvlText w:val="%1."/>
      <w:lvlJc w:val="left"/>
      <w:pPr>
        <w:ind w:left="1440" w:hanging="360"/>
      </w:pPr>
      <w:rPr>
        <w:rFonts w:ascii="Arial" w:hAnsi="Arial" w:cs="Arial" w:hint="default"/>
        <w:b w:val="0"/>
        <w:i w:val="0"/>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F92397"/>
    <w:multiLevelType w:val="multilevel"/>
    <w:tmpl w:val="11FC4440"/>
    <w:lvl w:ilvl="0">
      <w:start w:val="1"/>
      <w:numFmt w:val="decimal"/>
      <w:lvlText w:val="%1."/>
      <w:lvlJc w:val="left"/>
      <w:pPr>
        <w:ind w:left="720" w:hanging="360"/>
      </w:pPr>
      <w:rPr>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8FE652D"/>
    <w:multiLevelType w:val="hybridMultilevel"/>
    <w:tmpl w:val="DCE6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10"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36CB5A35"/>
    <w:multiLevelType w:val="hybridMultilevel"/>
    <w:tmpl w:val="A912CC4A"/>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6" w15:restartNumberingAfterBreak="0">
    <w:nsid w:val="7CB91A9C"/>
    <w:multiLevelType w:val="hybridMultilevel"/>
    <w:tmpl w:val="25B05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310506">
    <w:abstractNumId w:val="9"/>
  </w:num>
  <w:num w:numId="2" w16cid:durableId="1085108702">
    <w:abstractNumId w:val="9"/>
  </w:num>
  <w:num w:numId="3" w16cid:durableId="260375341">
    <w:abstractNumId w:val="9"/>
  </w:num>
  <w:num w:numId="4" w16cid:durableId="1106341988">
    <w:abstractNumId w:val="9"/>
  </w:num>
  <w:num w:numId="5" w16cid:durableId="495343918">
    <w:abstractNumId w:val="9"/>
  </w:num>
  <w:num w:numId="6" w16cid:durableId="1561017720">
    <w:abstractNumId w:val="9"/>
  </w:num>
  <w:num w:numId="7" w16cid:durableId="1124153467">
    <w:abstractNumId w:val="9"/>
  </w:num>
  <w:num w:numId="8" w16cid:durableId="465390090">
    <w:abstractNumId w:val="9"/>
  </w:num>
  <w:num w:numId="9" w16cid:durableId="1457599325">
    <w:abstractNumId w:val="9"/>
  </w:num>
  <w:num w:numId="10" w16cid:durableId="421488718">
    <w:abstractNumId w:val="9"/>
  </w:num>
  <w:num w:numId="11" w16cid:durableId="2143844777">
    <w:abstractNumId w:val="15"/>
  </w:num>
  <w:num w:numId="12" w16cid:durableId="17775434">
    <w:abstractNumId w:val="9"/>
  </w:num>
  <w:num w:numId="13" w16cid:durableId="1543207608">
    <w:abstractNumId w:val="5"/>
  </w:num>
  <w:num w:numId="14" w16cid:durableId="559633906">
    <w:abstractNumId w:val="10"/>
  </w:num>
  <w:num w:numId="15" w16cid:durableId="1323388065">
    <w:abstractNumId w:val="4"/>
  </w:num>
  <w:num w:numId="16" w16cid:durableId="1060589360">
    <w:abstractNumId w:val="12"/>
  </w:num>
  <w:num w:numId="17" w16cid:durableId="53816445">
    <w:abstractNumId w:val="8"/>
  </w:num>
  <w:num w:numId="18" w16cid:durableId="1580093580">
    <w:abstractNumId w:val="3"/>
  </w:num>
  <w:num w:numId="19" w16cid:durableId="1162701083">
    <w:abstractNumId w:val="13"/>
  </w:num>
  <w:num w:numId="20" w16cid:durableId="1661425026">
    <w:abstractNumId w:val="14"/>
  </w:num>
  <w:num w:numId="21" w16cid:durableId="1196651110">
    <w:abstractNumId w:val="1"/>
  </w:num>
  <w:num w:numId="22" w16cid:durableId="882133689">
    <w:abstractNumId w:val="2"/>
  </w:num>
  <w:num w:numId="23" w16cid:durableId="1951626247">
    <w:abstractNumId w:val="0"/>
  </w:num>
  <w:num w:numId="24" w16cid:durableId="86267078">
    <w:abstractNumId w:val="16"/>
  </w:num>
  <w:num w:numId="25" w16cid:durableId="1492328046">
    <w:abstractNumId w:val="7"/>
  </w:num>
  <w:num w:numId="26" w16cid:durableId="645748128">
    <w:abstractNumId w:val="6"/>
  </w:num>
  <w:num w:numId="27" w16cid:durableId="20179225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31EF"/>
    <w:rsid w:val="00004725"/>
    <w:rsid w:val="000055C3"/>
    <w:rsid w:val="00006C25"/>
    <w:rsid w:val="00010B89"/>
    <w:rsid w:val="000118CD"/>
    <w:rsid w:val="00013390"/>
    <w:rsid w:val="00017E4B"/>
    <w:rsid w:val="00025A88"/>
    <w:rsid w:val="00026782"/>
    <w:rsid w:val="00027122"/>
    <w:rsid w:val="000319A1"/>
    <w:rsid w:val="00032C8E"/>
    <w:rsid w:val="00033544"/>
    <w:rsid w:val="00034C53"/>
    <w:rsid w:val="00034C70"/>
    <w:rsid w:val="000370E1"/>
    <w:rsid w:val="000431C5"/>
    <w:rsid w:val="000445B8"/>
    <w:rsid w:val="0004582F"/>
    <w:rsid w:val="00060399"/>
    <w:rsid w:val="00060718"/>
    <w:rsid w:val="000658F2"/>
    <w:rsid w:val="00065DEB"/>
    <w:rsid w:val="0006619A"/>
    <w:rsid w:val="0006675E"/>
    <w:rsid w:val="00067605"/>
    <w:rsid w:val="00067E0B"/>
    <w:rsid w:val="000719A5"/>
    <w:rsid w:val="000748A0"/>
    <w:rsid w:val="00075DC0"/>
    <w:rsid w:val="00080B76"/>
    <w:rsid w:val="00080CDD"/>
    <w:rsid w:val="00081592"/>
    <w:rsid w:val="000816BD"/>
    <w:rsid w:val="00082162"/>
    <w:rsid w:val="00083369"/>
    <w:rsid w:val="00085FE9"/>
    <w:rsid w:val="00086071"/>
    <w:rsid w:val="0009246D"/>
    <w:rsid w:val="0009256F"/>
    <w:rsid w:val="00097CDF"/>
    <w:rsid w:val="000A6D08"/>
    <w:rsid w:val="000B1B44"/>
    <w:rsid w:val="000B40F3"/>
    <w:rsid w:val="000C3BB5"/>
    <w:rsid w:val="000D6EB3"/>
    <w:rsid w:val="000D719C"/>
    <w:rsid w:val="000E0533"/>
    <w:rsid w:val="000E05C8"/>
    <w:rsid w:val="000E188E"/>
    <w:rsid w:val="000E55FB"/>
    <w:rsid w:val="000E7E22"/>
    <w:rsid w:val="000F4768"/>
    <w:rsid w:val="000F4909"/>
    <w:rsid w:val="000F4DDB"/>
    <w:rsid w:val="000F7203"/>
    <w:rsid w:val="000F78B3"/>
    <w:rsid w:val="001002FF"/>
    <w:rsid w:val="001026BE"/>
    <w:rsid w:val="00104894"/>
    <w:rsid w:val="00104EE2"/>
    <w:rsid w:val="001056F8"/>
    <w:rsid w:val="00105E15"/>
    <w:rsid w:val="00105EA4"/>
    <w:rsid w:val="00110568"/>
    <w:rsid w:val="00110D3A"/>
    <w:rsid w:val="001127D2"/>
    <w:rsid w:val="00113090"/>
    <w:rsid w:val="00113997"/>
    <w:rsid w:val="00113F97"/>
    <w:rsid w:val="0012374E"/>
    <w:rsid w:val="00123F7E"/>
    <w:rsid w:val="00131529"/>
    <w:rsid w:val="0013238B"/>
    <w:rsid w:val="00134711"/>
    <w:rsid w:val="0013649D"/>
    <w:rsid w:val="00137882"/>
    <w:rsid w:val="00141A44"/>
    <w:rsid w:val="00143B1A"/>
    <w:rsid w:val="0014529C"/>
    <w:rsid w:val="0015046B"/>
    <w:rsid w:val="001506C7"/>
    <w:rsid w:val="001524A3"/>
    <w:rsid w:val="0015561D"/>
    <w:rsid w:val="001579AB"/>
    <w:rsid w:val="00160284"/>
    <w:rsid w:val="0016592F"/>
    <w:rsid w:val="001659AA"/>
    <w:rsid w:val="00165CBD"/>
    <w:rsid w:val="0017022A"/>
    <w:rsid w:val="0017604F"/>
    <w:rsid w:val="001766F9"/>
    <w:rsid w:val="00182096"/>
    <w:rsid w:val="0018253D"/>
    <w:rsid w:val="00182632"/>
    <w:rsid w:val="00183FEA"/>
    <w:rsid w:val="00185B54"/>
    <w:rsid w:val="00185D28"/>
    <w:rsid w:val="0019010A"/>
    <w:rsid w:val="001917AD"/>
    <w:rsid w:val="00192400"/>
    <w:rsid w:val="00192AAB"/>
    <w:rsid w:val="00196759"/>
    <w:rsid w:val="001A033E"/>
    <w:rsid w:val="001A071C"/>
    <w:rsid w:val="001A2943"/>
    <w:rsid w:val="001A6261"/>
    <w:rsid w:val="001A6DDA"/>
    <w:rsid w:val="001A7261"/>
    <w:rsid w:val="001A73F8"/>
    <w:rsid w:val="001B2228"/>
    <w:rsid w:val="001B2807"/>
    <w:rsid w:val="001B4D2C"/>
    <w:rsid w:val="001B5075"/>
    <w:rsid w:val="001B64AC"/>
    <w:rsid w:val="001C18CF"/>
    <w:rsid w:val="001C20FE"/>
    <w:rsid w:val="001C4F30"/>
    <w:rsid w:val="001C53DD"/>
    <w:rsid w:val="001C6221"/>
    <w:rsid w:val="001C6842"/>
    <w:rsid w:val="001C6D83"/>
    <w:rsid w:val="001D11E8"/>
    <w:rsid w:val="001D69B3"/>
    <w:rsid w:val="001E441E"/>
    <w:rsid w:val="001E5FF2"/>
    <w:rsid w:val="001F65B3"/>
    <w:rsid w:val="001F65D5"/>
    <w:rsid w:val="001F6CF5"/>
    <w:rsid w:val="001F7EF6"/>
    <w:rsid w:val="00200519"/>
    <w:rsid w:val="0020169B"/>
    <w:rsid w:val="00203E48"/>
    <w:rsid w:val="0020573A"/>
    <w:rsid w:val="00207581"/>
    <w:rsid w:val="00215B28"/>
    <w:rsid w:val="00216228"/>
    <w:rsid w:val="00225B52"/>
    <w:rsid w:val="00231994"/>
    <w:rsid w:val="00232596"/>
    <w:rsid w:val="00232FAE"/>
    <w:rsid w:val="0023308D"/>
    <w:rsid w:val="00237FCC"/>
    <w:rsid w:val="00240B92"/>
    <w:rsid w:val="00243536"/>
    <w:rsid w:val="00251980"/>
    <w:rsid w:val="00255764"/>
    <w:rsid w:val="00257045"/>
    <w:rsid w:val="002571D5"/>
    <w:rsid w:val="00257562"/>
    <w:rsid w:val="00257884"/>
    <w:rsid w:val="0026233A"/>
    <w:rsid w:val="00265371"/>
    <w:rsid w:val="00265C91"/>
    <w:rsid w:val="00265E4E"/>
    <w:rsid w:val="002660A1"/>
    <w:rsid w:val="0027043E"/>
    <w:rsid w:val="00272866"/>
    <w:rsid w:val="00273C68"/>
    <w:rsid w:val="00274D0A"/>
    <w:rsid w:val="0028078A"/>
    <w:rsid w:val="00282456"/>
    <w:rsid w:val="00282FBC"/>
    <w:rsid w:val="00283515"/>
    <w:rsid w:val="00283B06"/>
    <w:rsid w:val="002854CA"/>
    <w:rsid w:val="00286B3B"/>
    <w:rsid w:val="002A05D9"/>
    <w:rsid w:val="002A3623"/>
    <w:rsid w:val="002A364B"/>
    <w:rsid w:val="002A3D8C"/>
    <w:rsid w:val="002B0438"/>
    <w:rsid w:val="002B0B65"/>
    <w:rsid w:val="002B2870"/>
    <w:rsid w:val="002B2FB7"/>
    <w:rsid w:val="002B3CB5"/>
    <w:rsid w:val="002B58F5"/>
    <w:rsid w:val="002C6A49"/>
    <w:rsid w:val="002D2062"/>
    <w:rsid w:val="002D41F6"/>
    <w:rsid w:val="002D4B35"/>
    <w:rsid w:val="002E0A07"/>
    <w:rsid w:val="002E3B10"/>
    <w:rsid w:val="002E524A"/>
    <w:rsid w:val="002E558B"/>
    <w:rsid w:val="002E5A7D"/>
    <w:rsid w:val="002E6FCC"/>
    <w:rsid w:val="002F0EB7"/>
    <w:rsid w:val="002F11B4"/>
    <w:rsid w:val="002F27AC"/>
    <w:rsid w:val="002F335A"/>
    <w:rsid w:val="002F37FA"/>
    <w:rsid w:val="002F53C8"/>
    <w:rsid w:val="002F577C"/>
    <w:rsid w:val="002F58A0"/>
    <w:rsid w:val="002F6710"/>
    <w:rsid w:val="00304613"/>
    <w:rsid w:val="00306797"/>
    <w:rsid w:val="003118C0"/>
    <w:rsid w:val="00313AB1"/>
    <w:rsid w:val="00315268"/>
    <w:rsid w:val="00320986"/>
    <w:rsid w:val="00321055"/>
    <w:rsid w:val="00322E7B"/>
    <w:rsid w:val="00323A23"/>
    <w:rsid w:val="00323C8D"/>
    <w:rsid w:val="00327059"/>
    <w:rsid w:val="00332421"/>
    <w:rsid w:val="00332534"/>
    <w:rsid w:val="00332785"/>
    <w:rsid w:val="00333BCB"/>
    <w:rsid w:val="0033582A"/>
    <w:rsid w:val="0033741E"/>
    <w:rsid w:val="00337F0B"/>
    <w:rsid w:val="00341FD0"/>
    <w:rsid w:val="0034392B"/>
    <w:rsid w:val="00344E00"/>
    <w:rsid w:val="003515AD"/>
    <w:rsid w:val="00352423"/>
    <w:rsid w:val="00354A10"/>
    <w:rsid w:val="00355A56"/>
    <w:rsid w:val="003563D2"/>
    <w:rsid w:val="003570B3"/>
    <w:rsid w:val="00360F32"/>
    <w:rsid w:val="00365ED5"/>
    <w:rsid w:val="00366C04"/>
    <w:rsid w:val="003774D6"/>
    <w:rsid w:val="00382463"/>
    <w:rsid w:val="00393704"/>
    <w:rsid w:val="0039512E"/>
    <w:rsid w:val="00395A11"/>
    <w:rsid w:val="003B2CC9"/>
    <w:rsid w:val="003B3349"/>
    <w:rsid w:val="003B390E"/>
    <w:rsid w:val="003B4C5D"/>
    <w:rsid w:val="003B64CB"/>
    <w:rsid w:val="003B6DA1"/>
    <w:rsid w:val="003B6ECA"/>
    <w:rsid w:val="003B6FC5"/>
    <w:rsid w:val="003C15F6"/>
    <w:rsid w:val="003C240D"/>
    <w:rsid w:val="003C309A"/>
    <w:rsid w:val="003C4A99"/>
    <w:rsid w:val="003D27BD"/>
    <w:rsid w:val="003D31F1"/>
    <w:rsid w:val="003D4548"/>
    <w:rsid w:val="003E08F0"/>
    <w:rsid w:val="003E26AB"/>
    <w:rsid w:val="003E331B"/>
    <w:rsid w:val="003E5A89"/>
    <w:rsid w:val="003E5DA0"/>
    <w:rsid w:val="003E7B79"/>
    <w:rsid w:val="003F5299"/>
    <w:rsid w:val="003F74E5"/>
    <w:rsid w:val="004032DB"/>
    <w:rsid w:val="00403EB2"/>
    <w:rsid w:val="004047AA"/>
    <w:rsid w:val="00404945"/>
    <w:rsid w:val="00405201"/>
    <w:rsid w:val="004119A8"/>
    <w:rsid w:val="00416FCE"/>
    <w:rsid w:val="00417106"/>
    <w:rsid w:val="00425E51"/>
    <w:rsid w:val="0042612F"/>
    <w:rsid w:val="00431123"/>
    <w:rsid w:val="004359DF"/>
    <w:rsid w:val="00437DB1"/>
    <w:rsid w:val="004414C3"/>
    <w:rsid w:val="00441F29"/>
    <w:rsid w:val="00441FE3"/>
    <w:rsid w:val="00447262"/>
    <w:rsid w:val="00450AA6"/>
    <w:rsid w:val="00452512"/>
    <w:rsid w:val="00452CFD"/>
    <w:rsid w:val="00453CE0"/>
    <w:rsid w:val="00455465"/>
    <w:rsid w:val="00463AB2"/>
    <w:rsid w:val="004750C1"/>
    <w:rsid w:val="004768E8"/>
    <w:rsid w:val="00476A0C"/>
    <w:rsid w:val="00477409"/>
    <w:rsid w:val="0048119B"/>
    <w:rsid w:val="00481C77"/>
    <w:rsid w:val="0048289E"/>
    <w:rsid w:val="00485772"/>
    <w:rsid w:val="00485AA9"/>
    <w:rsid w:val="00486080"/>
    <w:rsid w:val="0049319A"/>
    <w:rsid w:val="00494DB3"/>
    <w:rsid w:val="00495A2B"/>
    <w:rsid w:val="00495A69"/>
    <w:rsid w:val="004966AD"/>
    <w:rsid w:val="004A0A6B"/>
    <w:rsid w:val="004A0F6A"/>
    <w:rsid w:val="004A202F"/>
    <w:rsid w:val="004B3408"/>
    <w:rsid w:val="004B389C"/>
    <w:rsid w:val="004B3D01"/>
    <w:rsid w:val="004B5787"/>
    <w:rsid w:val="004B7754"/>
    <w:rsid w:val="004B7E8C"/>
    <w:rsid w:val="004C14DD"/>
    <w:rsid w:val="004C4469"/>
    <w:rsid w:val="004C586B"/>
    <w:rsid w:val="004C6065"/>
    <w:rsid w:val="004C6FFD"/>
    <w:rsid w:val="004C74F4"/>
    <w:rsid w:val="004C78C5"/>
    <w:rsid w:val="004D3AC6"/>
    <w:rsid w:val="004D4484"/>
    <w:rsid w:val="004D5B62"/>
    <w:rsid w:val="004E084D"/>
    <w:rsid w:val="004E2D89"/>
    <w:rsid w:val="004E3446"/>
    <w:rsid w:val="004E4A23"/>
    <w:rsid w:val="004E6B90"/>
    <w:rsid w:val="004F0BEC"/>
    <w:rsid w:val="004F4AC5"/>
    <w:rsid w:val="004F5686"/>
    <w:rsid w:val="005066B5"/>
    <w:rsid w:val="005105CB"/>
    <w:rsid w:val="00514AC0"/>
    <w:rsid w:val="00515020"/>
    <w:rsid w:val="00523B29"/>
    <w:rsid w:val="00523DF2"/>
    <w:rsid w:val="00524D94"/>
    <w:rsid w:val="00530113"/>
    <w:rsid w:val="00534733"/>
    <w:rsid w:val="0053720B"/>
    <w:rsid w:val="005462A1"/>
    <w:rsid w:val="00552D23"/>
    <w:rsid w:val="00554688"/>
    <w:rsid w:val="00555D7F"/>
    <w:rsid w:val="00556410"/>
    <w:rsid w:val="005616DE"/>
    <w:rsid w:val="00561F97"/>
    <w:rsid w:val="00562F4C"/>
    <w:rsid w:val="0056655B"/>
    <w:rsid w:val="00570881"/>
    <w:rsid w:val="00572116"/>
    <w:rsid w:val="00574F2F"/>
    <w:rsid w:val="00575B63"/>
    <w:rsid w:val="00576EF7"/>
    <w:rsid w:val="005829FE"/>
    <w:rsid w:val="0058628A"/>
    <w:rsid w:val="00587822"/>
    <w:rsid w:val="005878F6"/>
    <w:rsid w:val="00593EC9"/>
    <w:rsid w:val="00594902"/>
    <w:rsid w:val="00596959"/>
    <w:rsid w:val="005A1932"/>
    <w:rsid w:val="005A1B75"/>
    <w:rsid w:val="005A7E87"/>
    <w:rsid w:val="005B0510"/>
    <w:rsid w:val="005B09E3"/>
    <w:rsid w:val="005B0F21"/>
    <w:rsid w:val="005B2606"/>
    <w:rsid w:val="005B6674"/>
    <w:rsid w:val="005B670F"/>
    <w:rsid w:val="005C2768"/>
    <w:rsid w:val="005C565B"/>
    <w:rsid w:val="005C5B67"/>
    <w:rsid w:val="005C6245"/>
    <w:rsid w:val="005C76B4"/>
    <w:rsid w:val="005D0557"/>
    <w:rsid w:val="005D05AB"/>
    <w:rsid w:val="005D0CC4"/>
    <w:rsid w:val="005D36CA"/>
    <w:rsid w:val="005D5313"/>
    <w:rsid w:val="005E0A00"/>
    <w:rsid w:val="005E2BCD"/>
    <w:rsid w:val="005E325F"/>
    <w:rsid w:val="005E4C90"/>
    <w:rsid w:val="005E5050"/>
    <w:rsid w:val="005E661A"/>
    <w:rsid w:val="005F2B83"/>
    <w:rsid w:val="005F39DB"/>
    <w:rsid w:val="005F55BE"/>
    <w:rsid w:val="00600999"/>
    <w:rsid w:val="00602C02"/>
    <w:rsid w:val="0060360F"/>
    <w:rsid w:val="00606699"/>
    <w:rsid w:val="006122F2"/>
    <w:rsid w:val="00612A3E"/>
    <w:rsid w:val="00613F3F"/>
    <w:rsid w:val="006140DB"/>
    <w:rsid w:val="00615D71"/>
    <w:rsid w:val="00615F33"/>
    <w:rsid w:val="0062187D"/>
    <w:rsid w:val="00625EE0"/>
    <w:rsid w:val="00625FE6"/>
    <w:rsid w:val="006327B2"/>
    <w:rsid w:val="006331C8"/>
    <w:rsid w:val="00637621"/>
    <w:rsid w:val="006406D0"/>
    <w:rsid w:val="006408BF"/>
    <w:rsid w:val="00645699"/>
    <w:rsid w:val="00646F26"/>
    <w:rsid w:val="006502B2"/>
    <w:rsid w:val="00650A87"/>
    <w:rsid w:val="00654AA1"/>
    <w:rsid w:val="00657AC1"/>
    <w:rsid w:val="00657EB5"/>
    <w:rsid w:val="006644A7"/>
    <w:rsid w:val="00666085"/>
    <w:rsid w:val="0067098E"/>
    <w:rsid w:val="00671A70"/>
    <w:rsid w:val="00672A6F"/>
    <w:rsid w:val="0067544A"/>
    <w:rsid w:val="00681D60"/>
    <w:rsid w:val="00682998"/>
    <w:rsid w:val="00694BEE"/>
    <w:rsid w:val="00697CE4"/>
    <w:rsid w:val="006A1ED7"/>
    <w:rsid w:val="006A2412"/>
    <w:rsid w:val="006A2C9D"/>
    <w:rsid w:val="006A3196"/>
    <w:rsid w:val="006B2C23"/>
    <w:rsid w:val="006B7AA9"/>
    <w:rsid w:val="006C2500"/>
    <w:rsid w:val="006C48C7"/>
    <w:rsid w:val="006C6875"/>
    <w:rsid w:val="006C6EB1"/>
    <w:rsid w:val="006C7AE8"/>
    <w:rsid w:val="006E0BCF"/>
    <w:rsid w:val="006E33FC"/>
    <w:rsid w:val="006E3403"/>
    <w:rsid w:val="006E3CA0"/>
    <w:rsid w:val="006E5A90"/>
    <w:rsid w:val="006F53F4"/>
    <w:rsid w:val="006F6B09"/>
    <w:rsid w:val="0070039C"/>
    <w:rsid w:val="00702EB4"/>
    <w:rsid w:val="007033D9"/>
    <w:rsid w:val="00704AD8"/>
    <w:rsid w:val="00705DFD"/>
    <w:rsid w:val="00705F29"/>
    <w:rsid w:val="007069A8"/>
    <w:rsid w:val="00713AE4"/>
    <w:rsid w:val="007156EF"/>
    <w:rsid w:val="007169AF"/>
    <w:rsid w:val="007206CD"/>
    <w:rsid w:val="00727C74"/>
    <w:rsid w:val="00727EEF"/>
    <w:rsid w:val="00730172"/>
    <w:rsid w:val="00731536"/>
    <w:rsid w:val="00732AF2"/>
    <w:rsid w:val="0073314B"/>
    <w:rsid w:val="007331F8"/>
    <w:rsid w:val="00735534"/>
    <w:rsid w:val="00735E52"/>
    <w:rsid w:val="007443CA"/>
    <w:rsid w:val="00745B9E"/>
    <w:rsid w:val="007464AB"/>
    <w:rsid w:val="00747591"/>
    <w:rsid w:val="00750F05"/>
    <w:rsid w:val="00753BD3"/>
    <w:rsid w:val="00755DEA"/>
    <w:rsid w:val="00756E80"/>
    <w:rsid w:val="007577B2"/>
    <w:rsid w:val="007628BE"/>
    <w:rsid w:val="00762B2E"/>
    <w:rsid w:val="00766688"/>
    <w:rsid w:val="00770EC7"/>
    <w:rsid w:val="00771A2C"/>
    <w:rsid w:val="00774083"/>
    <w:rsid w:val="007746A7"/>
    <w:rsid w:val="00774FDF"/>
    <w:rsid w:val="007756DF"/>
    <w:rsid w:val="00782F36"/>
    <w:rsid w:val="007869BC"/>
    <w:rsid w:val="00787155"/>
    <w:rsid w:val="00787C77"/>
    <w:rsid w:val="00787E05"/>
    <w:rsid w:val="00790644"/>
    <w:rsid w:val="0079161F"/>
    <w:rsid w:val="00795D13"/>
    <w:rsid w:val="007A264F"/>
    <w:rsid w:val="007A4866"/>
    <w:rsid w:val="007B032D"/>
    <w:rsid w:val="007B0677"/>
    <w:rsid w:val="007B267F"/>
    <w:rsid w:val="007B4E4D"/>
    <w:rsid w:val="007B5C46"/>
    <w:rsid w:val="007B70CA"/>
    <w:rsid w:val="007B79DB"/>
    <w:rsid w:val="007C23B2"/>
    <w:rsid w:val="007C2552"/>
    <w:rsid w:val="007C4C1D"/>
    <w:rsid w:val="007C5399"/>
    <w:rsid w:val="007C58F2"/>
    <w:rsid w:val="007C60C1"/>
    <w:rsid w:val="007C6427"/>
    <w:rsid w:val="007C6D7C"/>
    <w:rsid w:val="007D02E1"/>
    <w:rsid w:val="007D14B6"/>
    <w:rsid w:val="007D3990"/>
    <w:rsid w:val="007D4781"/>
    <w:rsid w:val="007D5C6F"/>
    <w:rsid w:val="007D72B0"/>
    <w:rsid w:val="007E331D"/>
    <w:rsid w:val="007E3BE2"/>
    <w:rsid w:val="007E6267"/>
    <w:rsid w:val="007E6585"/>
    <w:rsid w:val="007E6930"/>
    <w:rsid w:val="007F0FB9"/>
    <w:rsid w:val="007F1A39"/>
    <w:rsid w:val="007F77F4"/>
    <w:rsid w:val="00800665"/>
    <w:rsid w:val="00801A83"/>
    <w:rsid w:val="00806CD3"/>
    <w:rsid w:val="008074BE"/>
    <w:rsid w:val="00811963"/>
    <w:rsid w:val="0081272A"/>
    <w:rsid w:val="008148FD"/>
    <w:rsid w:val="00821ABA"/>
    <w:rsid w:val="0082240E"/>
    <w:rsid w:val="008234DD"/>
    <w:rsid w:val="00823535"/>
    <w:rsid w:val="00825797"/>
    <w:rsid w:val="0083349A"/>
    <w:rsid w:val="008334C8"/>
    <w:rsid w:val="00835997"/>
    <w:rsid w:val="00835F4D"/>
    <w:rsid w:val="008426CA"/>
    <w:rsid w:val="00843E81"/>
    <w:rsid w:val="00845462"/>
    <w:rsid w:val="008457C1"/>
    <w:rsid w:val="00847517"/>
    <w:rsid w:val="00851937"/>
    <w:rsid w:val="00855825"/>
    <w:rsid w:val="00855CEB"/>
    <w:rsid w:val="00856ABB"/>
    <w:rsid w:val="008608E0"/>
    <w:rsid w:val="0086422A"/>
    <w:rsid w:val="00864ABF"/>
    <w:rsid w:val="00866274"/>
    <w:rsid w:val="00866366"/>
    <w:rsid w:val="00867B04"/>
    <w:rsid w:val="0087160D"/>
    <w:rsid w:val="00873AFD"/>
    <w:rsid w:val="00873C36"/>
    <w:rsid w:val="0087409D"/>
    <w:rsid w:val="00876067"/>
    <w:rsid w:val="008840C0"/>
    <w:rsid w:val="008840E6"/>
    <w:rsid w:val="00884332"/>
    <w:rsid w:val="008901AA"/>
    <w:rsid w:val="00890255"/>
    <w:rsid w:val="0089179C"/>
    <w:rsid w:val="00895E0F"/>
    <w:rsid w:val="00896575"/>
    <w:rsid w:val="008967F5"/>
    <w:rsid w:val="008A05D0"/>
    <w:rsid w:val="008A0C1C"/>
    <w:rsid w:val="008A23E5"/>
    <w:rsid w:val="008A6D88"/>
    <w:rsid w:val="008A7D5D"/>
    <w:rsid w:val="008B19BD"/>
    <w:rsid w:val="008B4407"/>
    <w:rsid w:val="008B544A"/>
    <w:rsid w:val="008B6773"/>
    <w:rsid w:val="008B77EB"/>
    <w:rsid w:val="008C15AF"/>
    <w:rsid w:val="008C74FA"/>
    <w:rsid w:val="008D5C30"/>
    <w:rsid w:val="008D7D82"/>
    <w:rsid w:val="008E02B7"/>
    <w:rsid w:val="008E0DC5"/>
    <w:rsid w:val="008E24F7"/>
    <w:rsid w:val="008E280C"/>
    <w:rsid w:val="008E5F82"/>
    <w:rsid w:val="008F0135"/>
    <w:rsid w:val="008F4611"/>
    <w:rsid w:val="008F67D5"/>
    <w:rsid w:val="00900C89"/>
    <w:rsid w:val="00900FD7"/>
    <w:rsid w:val="009028D9"/>
    <w:rsid w:val="00903B13"/>
    <w:rsid w:val="00904ACB"/>
    <w:rsid w:val="00906E3C"/>
    <w:rsid w:val="00910C59"/>
    <w:rsid w:val="00911834"/>
    <w:rsid w:val="00912C72"/>
    <w:rsid w:val="0091479B"/>
    <w:rsid w:val="00920270"/>
    <w:rsid w:val="009205FF"/>
    <w:rsid w:val="00922194"/>
    <w:rsid w:val="00923FC3"/>
    <w:rsid w:val="009263CA"/>
    <w:rsid w:val="00926737"/>
    <w:rsid w:val="009278CB"/>
    <w:rsid w:val="00930078"/>
    <w:rsid w:val="0093392C"/>
    <w:rsid w:val="00935F8E"/>
    <w:rsid w:val="00940BCB"/>
    <w:rsid w:val="00941FC7"/>
    <w:rsid w:val="00942E2B"/>
    <w:rsid w:val="0094308D"/>
    <w:rsid w:val="00943FAE"/>
    <w:rsid w:val="00945D12"/>
    <w:rsid w:val="00952B4D"/>
    <w:rsid w:val="009531A0"/>
    <w:rsid w:val="009533B4"/>
    <w:rsid w:val="00953F37"/>
    <w:rsid w:val="009541DC"/>
    <w:rsid w:val="00955047"/>
    <w:rsid w:val="00957CB2"/>
    <w:rsid w:val="0096155D"/>
    <w:rsid w:val="0096678C"/>
    <w:rsid w:val="009675E0"/>
    <w:rsid w:val="00970D2E"/>
    <w:rsid w:val="0097327C"/>
    <w:rsid w:val="009736C0"/>
    <w:rsid w:val="0097668F"/>
    <w:rsid w:val="0098096C"/>
    <w:rsid w:val="00980AA0"/>
    <w:rsid w:val="00981A92"/>
    <w:rsid w:val="009827C6"/>
    <w:rsid w:val="009832EB"/>
    <w:rsid w:val="00985E78"/>
    <w:rsid w:val="0098794B"/>
    <w:rsid w:val="009905D6"/>
    <w:rsid w:val="009911AA"/>
    <w:rsid w:val="0099223E"/>
    <w:rsid w:val="0099674A"/>
    <w:rsid w:val="00996EE4"/>
    <w:rsid w:val="009A03DB"/>
    <w:rsid w:val="009A1DDC"/>
    <w:rsid w:val="009A6570"/>
    <w:rsid w:val="009A6B84"/>
    <w:rsid w:val="009A7F76"/>
    <w:rsid w:val="009B2FB5"/>
    <w:rsid w:val="009B33B9"/>
    <w:rsid w:val="009B4B8B"/>
    <w:rsid w:val="009B7ED9"/>
    <w:rsid w:val="009C32D0"/>
    <w:rsid w:val="009C5BA0"/>
    <w:rsid w:val="009D460D"/>
    <w:rsid w:val="009E05CD"/>
    <w:rsid w:val="009E4F85"/>
    <w:rsid w:val="009E511B"/>
    <w:rsid w:val="009E51C9"/>
    <w:rsid w:val="009F1EFE"/>
    <w:rsid w:val="009F2CE4"/>
    <w:rsid w:val="009F42E1"/>
    <w:rsid w:val="009F49EA"/>
    <w:rsid w:val="009F5659"/>
    <w:rsid w:val="009F673B"/>
    <w:rsid w:val="00A02887"/>
    <w:rsid w:val="00A02E57"/>
    <w:rsid w:val="00A03BA7"/>
    <w:rsid w:val="00A057C4"/>
    <w:rsid w:val="00A05A4D"/>
    <w:rsid w:val="00A05AB4"/>
    <w:rsid w:val="00A070D7"/>
    <w:rsid w:val="00A126FC"/>
    <w:rsid w:val="00A12E09"/>
    <w:rsid w:val="00A14C22"/>
    <w:rsid w:val="00A25EB2"/>
    <w:rsid w:val="00A265E3"/>
    <w:rsid w:val="00A26DA5"/>
    <w:rsid w:val="00A30AC2"/>
    <w:rsid w:val="00A403AD"/>
    <w:rsid w:val="00A40E60"/>
    <w:rsid w:val="00A45588"/>
    <w:rsid w:val="00A4607A"/>
    <w:rsid w:val="00A529FA"/>
    <w:rsid w:val="00A52B09"/>
    <w:rsid w:val="00A52E04"/>
    <w:rsid w:val="00A54730"/>
    <w:rsid w:val="00A54BD1"/>
    <w:rsid w:val="00A56096"/>
    <w:rsid w:val="00A56440"/>
    <w:rsid w:val="00A62E0B"/>
    <w:rsid w:val="00A63491"/>
    <w:rsid w:val="00A6553E"/>
    <w:rsid w:val="00A7029E"/>
    <w:rsid w:val="00A7062A"/>
    <w:rsid w:val="00A7097D"/>
    <w:rsid w:val="00A72488"/>
    <w:rsid w:val="00A7294C"/>
    <w:rsid w:val="00A74B98"/>
    <w:rsid w:val="00A75239"/>
    <w:rsid w:val="00A7623D"/>
    <w:rsid w:val="00A820F1"/>
    <w:rsid w:val="00AA3077"/>
    <w:rsid w:val="00AA36BB"/>
    <w:rsid w:val="00AA6564"/>
    <w:rsid w:val="00AA6FCA"/>
    <w:rsid w:val="00AB2387"/>
    <w:rsid w:val="00AB346C"/>
    <w:rsid w:val="00AB37B5"/>
    <w:rsid w:val="00AB5A78"/>
    <w:rsid w:val="00AC333C"/>
    <w:rsid w:val="00AC65C5"/>
    <w:rsid w:val="00AC7D27"/>
    <w:rsid w:val="00AD035C"/>
    <w:rsid w:val="00AD1EB6"/>
    <w:rsid w:val="00AD2EC9"/>
    <w:rsid w:val="00AD3E6C"/>
    <w:rsid w:val="00AD64A4"/>
    <w:rsid w:val="00AD6B3B"/>
    <w:rsid w:val="00AD78A2"/>
    <w:rsid w:val="00AE018F"/>
    <w:rsid w:val="00AE0B67"/>
    <w:rsid w:val="00AE187B"/>
    <w:rsid w:val="00AE26F5"/>
    <w:rsid w:val="00AE3537"/>
    <w:rsid w:val="00AE3F49"/>
    <w:rsid w:val="00B00B27"/>
    <w:rsid w:val="00B012D9"/>
    <w:rsid w:val="00B0184D"/>
    <w:rsid w:val="00B02B0A"/>
    <w:rsid w:val="00B046E5"/>
    <w:rsid w:val="00B046EA"/>
    <w:rsid w:val="00B04D6D"/>
    <w:rsid w:val="00B14DDB"/>
    <w:rsid w:val="00B14E7A"/>
    <w:rsid w:val="00B154B8"/>
    <w:rsid w:val="00B17054"/>
    <w:rsid w:val="00B201CC"/>
    <w:rsid w:val="00B2296C"/>
    <w:rsid w:val="00B24A6D"/>
    <w:rsid w:val="00B26B8D"/>
    <w:rsid w:val="00B302AD"/>
    <w:rsid w:val="00B308C0"/>
    <w:rsid w:val="00B344A6"/>
    <w:rsid w:val="00B35F7A"/>
    <w:rsid w:val="00B36DD4"/>
    <w:rsid w:val="00B40033"/>
    <w:rsid w:val="00B44A64"/>
    <w:rsid w:val="00B45A77"/>
    <w:rsid w:val="00B461D5"/>
    <w:rsid w:val="00B53C2C"/>
    <w:rsid w:val="00B5440A"/>
    <w:rsid w:val="00B6146B"/>
    <w:rsid w:val="00B639E3"/>
    <w:rsid w:val="00B64733"/>
    <w:rsid w:val="00B64CA2"/>
    <w:rsid w:val="00B64DE3"/>
    <w:rsid w:val="00B75F3E"/>
    <w:rsid w:val="00B777B1"/>
    <w:rsid w:val="00B820A7"/>
    <w:rsid w:val="00B84521"/>
    <w:rsid w:val="00B848E4"/>
    <w:rsid w:val="00B87A2E"/>
    <w:rsid w:val="00B905CA"/>
    <w:rsid w:val="00B91A3E"/>
    <w:rsid w:val="00B91EC7"/>
    <w:rsid w:val="00B961F7"/>
    <w:rsid w:val="00BA0180"/>
    <w:rsid w:val="00BA1457"/>
    <w:rsid w:val="00BA3009"/>
    <w:rsid w:val="00BA3846"/>
    <w:rsid w:val="00BA5602"/>
    <w:rsid w:val="00BA6559"/>
    <w:rsid w:val="00BB080A"/>
    <w:rsid w:val="00BB37B9"/>
    <w:rsid w:val="00BB3C67"/>
    <w:rsid w:val="00BB3D08"/>
    <w:rsid w:val="00BB66E8"/>
    <w:rsid w:val="00BB7EC3"/>
    <w:rsid w:val="00BC07E0"/>
    <w:rsid w:val="00BC135C"/>
    <w:rsid w:val="00BC1D30"/>
    <w:rsid w:val="00BC5A68"/>
    <w:rsid w:val="00BC7AE6"/>
    <w:rsid w:val="00BD1F89"/>
    <w:rsid w:val="00BE1951"/>
    <w:rsid w:val="00BE2960"/>
    <w:rsid w:val="00BE2EC4"/>
    <w:rsid w:val="00BE4A26"/>
    <w:rsid w:val="00BE76AB"/>
    <w:rsid w:val="00C01CF5"/>
    <w:rsid w:val="00C021AC"/>
    <w:rsid w:val="00C0560F"/>
    <w:rsid w:val="00C073F3"/>
    <w:rsid w:val="00C11112"/>
    <w:rsid w:val="00C161F8"/>
    <w:rsid w:val="00C16A4A"/>
    <w:rsid w:val="00C200DD"/>
    <w:rsid w:val="00C23624"/>
    <w:rsid w:val="00C26F58"/>
    <w:rsid w:val="00C34EE6"/>
    <w:rsid w:val="00C373AB"/>
    <w:rsid w:val="00C37980"/>
    <w:rsid w:val="00C40B1F"/>
    <w:rsid w:val="00C4149E"/>
    <w:rsid w:val="00C45D23"/>
    <w:rsid w:val="00C46D98"/>
    <w:rsid w:val="00C47727"/>
    <w:rsid w:val="00C47D39"/>
    <w:rsid w:val="00C50747"/>
    <w:rsid w:val="00C51DE8"/>
    <w:rsid w:val="00C55047"/>
    <w:rsid w:val="00C571DF"/>
    <w:rsid w:val="00C57455"/>
    <w:rsid w:val="00C57ED9"/>
    <w:rsid w:val="00C6051B"/>
    <w:rsid w:val="00C61B6B"/>
    <w:rsid w:val="00C62EFC"/>
    <w:rsid w:val="00C6503F"/>
    <w:rsid w:val="00C662E9"/>
    <w:rsid w:val="00C67243"/>
    <w:rsid w:val="00C67E4A"/>
    <w:rsid w:val="00C71CFC"/>
    <w:rsid w:val="00C72A49"/>
    <w:rsid w:val="00C74028"/>
    <w:rsid w:val="00C742E6"/>
    <w:rsid w:val="00C75E37"/>
    <w:rsid w:val="00C818D1"/>
    <w:rsid w:val="00C81A70"/>
    <w:rsid w:val="00C849C1"/>
    <w:rsid w:val="00C90C4E"/>
    <w:rsid w:val="00C9174B"/>
    <w:rsid w:val="00C96485"/>
    <w:rsid w:val="00C96BBC"/>
    <w:rsid w:val="00CA03C6"/>
    <w:rsid w:val="00CA2306"/>
    <w:rsid w:val="00CA2BE4"/>
    <w:rsid w:val="00CA3640"/>
    <w:rsid w:val="00CA5EBC"/>
    <w:rsid w:val="00CA69F1"/>
    <w:rsid w:val="00CA7799"/>
    <w:rsid w:val="00CB0125"/>
    <w:rsid w:val="00CB0FC2"/>
    <w:rsid w:val="00CB1845"/>
    <w:rsid w:val="00CB2350"/>
    <w:rsid w:val="00CB30FB"/>
    <w:rsid w:val="00CB5F9B"/>
    <w:rsid w:val="00CB6E5F"/>
    <w:rsid w:val="00CB74DA"/>
    <w:rsid w:val="00CC7C0D"/>
    <w:rsid w:val="00CD31B6"/>
    <w:rsid w:val="00CD50AB"/>
    <w:rsid w:val="00CD7729"/>
    <w:rsid w:val="00CE11E4"/>
    <w:rsid w:val="00CE43C1"/>
    <w:rsid w:val="00CE4E66"/>
    <w:rsid w:val="00CF2D0C"/>
    <w:rsid w:val="00D02605"/>
    <w:rsid w:val="00D039D9"/>
    <w:rsid w:val="00D078CC"/>
    <w:rsid w:val="00D110FE"/>
    <w:rsid w:val="00D12711"/>
    <w:rsid w:val="00D1662F"/>
    <w:rsid w:val="00D204B7"/>
    <w:rsid w:val="00D2050E"/>
    <w:rsid w:val="00D21EBF"/>
    <w:rsid w:val="00D32A15"/>
    <w:rsid w:val="00D36C3E"/>
    <w:rsid w:val="00D42366"/>
    <w:rsid w:val="00D45B02"/>
    <w:rsid w:val="00D473EA"/>
    <w:rsid w:val="00D50B1A"/>
    <w:rsid w:val="00D512DE"/>
    <w:rsid w:val="00D56566"/>
    <w:rsid w:val="00D57367"/>
    <w:rsid w:val="00D61A37"/>
    <w:rsid w:val="00D64782"/>
    <w:rsid w:val="00D67278"/>
    <w:rsid w:val="00D67B8D"/>
    <w:rsid w:val="00D74196"/>
    <w:rsid w:val="00D7566D"/>
    <w:rsid w:val="00D76E20"/>
    <w:rsid w:val="00D8125F"/>
    <w:rsid w:val="00D81B40"/>
    <w:rsid w:val="00D86D5E"/>
    <w:rsid w:val="00D90453"/>
    <w:rsid w:val="00D91F62"/>
    <w:rsid w:val="00D922B1"/>
    <w:rsid w:val="00D923CC"/>
    <w:rsid w:val="00DA1523"/>
    <w:rsid w:val="00DA5F08"/>
    <w:rsid w:val="00DB22A5"/>
    <w:rsid w:val="00DB7370"/>
    <w:rsid w:val="00DC139D"/>
    <w:rsid w:val="00DC2C8A"/>
    <w:rsid w:val="00DC2FF8"/>
    <w:rsid w:val="00DC4666"/>
    <w:rsid w:val="00DC4D2A"/>
    <w:rsid w:val="00DC571F"/>
    <w:rsid w:val="00DC71F3"/>
    <w:rsid w:val="00DD3F5E"/>
    <w:rsid w:val="00DD55DA"/>
    <w:rsid w:val="00DD5ADB"/>
    <w:rsid w:val="00DE0399"/>
    <w:rsid w:val="00DE271E"/>
    <w:rsid w:val="00DE569D"/>
    <w:rsid w:val="00DE6571"/>
    <w:rsid w:val="00DE7784"/>
    <w:rsid w:val="00DF0410"/>
    <w:rsid w:val="00DF39D8"/>
    <w:rsid w:val="00DF419A"/>
    <w:rsid w:val="00DF70D6"/>
    <w:rsid w:val="00DF7F7A"/>
    <w:rsid w:val="00E01FDA"/>
    <w:rsid w:val="00E03C5A"/>
    <w:rsid w:val="00E04B7F"/>
    <w:rsid w:val="00E0531A"/>
    <w:rsid w:val="00E10342"/>
    <w:rsid w:val="00E117F3"/>
    <w:rsid w:val="00E13E5B"/>
    <w:rsid w:val="00E154A0"/>
    <w:rsid w:val="00E15729"/>
    <w:rsid w:val="00E179CF"/>
    <w:rsid w:val="00E202A8"/>
    <w:rsid w:val="00E229C2"/>
    <w:rsid w:val="00E232D1"/>
    <w:rsid w:val="00E2459C"/>
    <w:rsid w:val="00E24C1A"/>
    <w:rsid w:val="00E255B3"/>
    <w:rsid w:val="00E26643"/>
    <w:rsid w:val="00E32C35"/>
    <w:rsid w:val="00E369CE"/>
    <w:rsid w:val="00E417D3"/>
    <w:rsid w:val="00E41948"/>
    <w:rsid w:val="00E45331"/>
    <w:rsid w:val="00E45A2F"/>
    <w:rsid w:val="00E46978"/>
    <w:rsid w:val="00E46DA5"/>
    <w:rsid w:val="00E50A52"/>
    <w:rsid w:val="00E50CAC"/>
    <w:rsid w:val="00E564DA"/>
    <w:rsid w:val="00E574F6"/>
    <w:rsid w:val="00E608F3"/>
    <w:rsid w:val="00E60D6A"/>
    <w:rsid w:val="00E60FEA"/>
    <w:rsid w:val="00E63E82"/>
    <w:rsid w:val="00E65FAA"/>
    <w:rsid w:val="00E665DE"/>
    <w:rsid w:val="00E673A2"/>
    <w:rsid w:val="00E67743"/>
    <w:rsid w:val="00E75460"/>
    <w:rsid w:val="00E7594A"/>
    <w:rsid w:val="00E777DA"/>
    <w:rsid w:val="00E7794D"/>
    <w:rsid w:val="00E77BC6"/>
    <w:rsid w:val="00E77DE7"/>
    <w:rsid w:val="00E83E68"/>
    <w:rsid w:val="00E84A3B"/>
    <w:rsid w:val="00E903F8"/>
    <w:rsid w:val="00E913BA"/>
    <w:rsid w:val="00E94F30"/>
    <w:rsid w:val="00E95B86"/>
    <w:rsid w:val="00E95F76"/>
    <w:rsid w:val="00EA4749"/>
    <w:rsid w:val="00EA56D7"/>
    <w:rsid w:val="00EA7FE0"/>
    <w:rsid w:val="00EB362B"/>
    <w:rsid w:val="00EB56CD"/>
    <w:rsid w:val="00EC22AC"/>
    <w:rsid w:val="00EC2B26"/>
    <w:rsid w:val="00EC5BB8"/>
    <w:rsid w:val="00EC5F29"/>
    <w:rsid w:val="00EC68AC"/>
    <w:rsid w:val="00ED1508"/>
    <w:rsid w:val="00ED324B"/>
    <w:rsid w:val="00EE171A"/>
    <w:rsid w:val="00EE2F00"/>
    <w:rsid w:val="00EE7052"/>
    <w:rsid w:val="00EF0BFF"/>
    <w:rsid w:val="00EF225C"/>
    <w:rsid w:val="00EF2790"/>
    <w:rsid w:val="00EF5E12"/>
    <w:rsid w:val="00EF6431"/>
    <w:rsid w:val="00EF661D"/>
    <w:rsid w:val="00EF748B"/>
    <w:rsid w:val="00F01066"/>
    <w:rsid w:val="00F051B9"/>
    <w:rsid w:val="00F13454"/>
    <w:rsid w:val="00F15E89"/>
    <w:rsid w:val="00F17FBE"/>
    <w:rsid w:val="00F2236C"/>
    <w:rsid w:val="00F2704F"/>
    <w:rsid w:val="00F2742F"/>
    <w:rsid w:val="00F32E45"/>
    <w:rsid w:val="00F34A3F"/>
    <w:rsid w:val="00F3686B"/>
    <w:rsid w:val="00F36D40"/>
    <w:rsid w:val="00F37E9A"/>
    <w:rsid w:val="00F40E3D"/>
    <w:rsid w:val="00F4275D"/>
    <w:rsid w:val="00F450E2"/>
    <w:rsid w:val="00F459B3"/>
    <w:rsid w:val="00F469C0"/>
    <w:rsid w:val="00F51365"/>
    <w:rsid w:val="00F54707"/>
    <w:rsid w:val="00F54E57"/>
    <w:rsid w:val="00F57317"/>
    <w:rsid w:val="00F615EE"/>
    <w:rsid w:val="00F625D4"/>
    <w:rsid w:val="00F62B21"/>
    <w:rsid w:val="00F62C19"/>
    <w:rsid w:val="00F6596B"/>
    <w:rsid w:val="00F65E15"/>
    <w:rsid w:val="00F7261E"/>
    <w:rsid w:val="00F74E91"/>
    <w:rsid w:val="00F76CC9"/>
    <w:rsid w:val="00F77F91"/>
    <w:rsid w:val="00F80390"/>
    <w:rsid w:val="00F82600"/>
    <w:rsid w:val="00F8262B"/>
    <w:rsid w:val="00F83DB4"/>
    <w:rsid w:val="00F90174"/>
    <w:rsid w:val="00F9085A"/>
    <w:rsid w:val="00F91FD6"/>
    <w:rsid w:val="00F92D39"/>
    <w:rsid w:val="00F92EBD"/>
    <w:rsid w:val="00F94A51"/>
    <w:rsid w:val="00F95414"/>
    <w:rsid w:val="00F96614"/>
    <w:rsid w:val="00F97256"/>
    <w:rsid w:val="00FA1BE4"/>
    <w:rsid w:val="00FA5456"/>
    <w:rsid w:val="00FA5B2A"/>
    <w:rsid w:val="00FA68D9"/>
    <w:rsid w:val="00FA6FB3"/>
    <w:rsid w:val="00FB10B3"/>
    <w:rsid w:val="00FB44DD"/>
    <w:rsid w:val="00FB4EDC"/>
    <w:rsid w:val="00FC2702"/>
    <w:rsid w:val="00FC2A2B"/>
    <w:rsid w:val="00FC2BEC"/>
    <w:rsid w:val="00FC58B3"/>
    <w:rsid w:val="00FC65BB"/>
    <w:rsid w:val="00FD08CC"/>
    <w:rsid w:val="00FD12DC"/>
    <w:rsid w:val="00FD65AE"/>
    <w:rsid w:val="00FE0520"/>
    <w:rsid w:val="00FE33E1"/>
    <w:rsid w:val="00FE6ADA"/>
    <w:rsid w:val="00FF2C58"/>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Titre1">
    <w:name w:val="heading 1"/>
    <w:basedOn w:val="Normal"/>
    <w:next w:val="Marge"/>
    <w:qFormat/>
    <w:pPr>
      <w:keepNext/>
      <w:keepLines/>
      <w:spacing w:before="240" w:after="240"/>
      <w:jc w:val="center"/>
      <w:outlineLvl w:val="0"/>
    </w:pPr>
    <w:rPr>
      <w:rFonts w:eastAsia="Times New Roman"/>
      <w:b/>
      <w:bCs/>
      <w:kern w:val="28"/>
      <w:lang w:val="fr-FR" w:eastAsia="en-US"/>
    </w:rPr>
  </w:style>
  <w:style w:type="paragraph" w:styleId="Titre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Titre3">
    <w:name w:val="heading 3"/>
    <w:basedOn w:val="Normal"/>
    <w:next w:val="Marge"/>
    <w:qFormat/>
    <w:pPr>
      <w:keepNext/>
      <w:keepLines/>
      <w:spacing w:after="240"/>
      <w:ind w:left="567" w:hanging="567"/>
      <w:outlineLvl w:val="2"/>
    </w:pPr>
    <w:rPr>
      <w:rFonts w:eastAsia="Times New Roman"/>
      <w:b/>
      <w:bCs/>
      <w:lang w:eastAsia="en-US"/>
    </w:rPr>
  </w:style>
  <w:style w:type="paragraph" w:styleId="Titre4">
    <w:name w:val="heading 4"/>
    <w:basedOn w:val="Normal"/>
    <w:next w:val="Marge"/>
    <w:qFormat/>
    <w:pPr>
      <w:keepNext/>
      <w:keepLines/>
      <w:spacing w:after="240"/>
      <w:outlineLvl w:val="3"/>
    </w:pPr>
    <w:rPr>
      <w:rFonts w:eastAsia="Times New Roman"/>
      <w:b/>
      <w:bCs/>
      <w:lang w:eastAsia="en-US"/>
    </w:rPr>
  </w:style>
  <w:style w:type="paragraph" w:styleId="Titre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Titre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Titre7">
    <w:name w:val="heading 7"/>
    <w:basedOn w:val="Normal"/>
    <w:next w:val="Normal"/>
    <w:link w:val="Titre7C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Pieddepage">
    <w:name w:val="footer"/>
    <w:basedOn w:val="Normal"/>
    <w:pPr>
      <w:tabs>
        <w:tab w:val="center" w:pos="4153"/>
        <w:tab w:val="right" w:pos="8306"/>
      </w:tabs>
    </w:pPr>
    <w:rPr>
      <w:rFonts w:eastAsia="Times New Roman"/>
      <w:lang w:val="fr-FR" w:eastAsia="en-US"/>
    </w:rPr>
  </w:style>
  <w:style w:type="character" w:styleId="Appelnotedebasdep">
    <w:name w:val="footnote reference"/>
    <w:aliases w:val="16 Point,Superscript 6 Point,BVI fnr,nota pié di pagina,ftref,Footnote Refernece,Footnote Reference Number,Footnotes refss,Footnote Reference1, BVI fnr,FO,footnote ref,(NECG) Footnote Reference,Ref,de nota al pie,Footnote,note bp"/>
    <w:basedOn w:val="Policepardfaut"/>
    <w:link w:val="CarattereCharCarattereCarattereCharCarattereCharCarattereCharCharCharCharChar"/>
    <w:qFormat/>
    <w:rPr>
      <w:vertAlign w:val="superscript"/>
    </w:rPr>
  </w:style>
  <w:style w:type="paragraph" w:styleId="Notedebasdepage">
    <w:name w:val="footnote text"/>
    <w:basedOn w:val="Normal"/>
    <w:semiHidden/>
    <w:pPr>
      <w:ind w:left="567" w:hanging="567"/>
    </w:pPr>
    <w:rPr>
      <w:rFonts w:eastAsia="Times New Roman"/>
      <w:sz w:val="20"/>
      <w:szCs w:val="20"/>
      <w:lang w:eastAsia="en-US"/>
    </w:rPr>
  </w:style>
  <w:style w:type="paragraph" w:styleId="En-tte">
    <w:name w:val="header"/>
    <w:basedOn w:val="Normal"/>
    <w:link w:val="En-tteC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En-tteCar">
    <w:name w:val="En-tête Car"/>
    <w:basedOn w:val="Policepardfaut"/>
    <w:link w:val="En-tte"/>
    <w:uiPriority w:val="99"/>
    <w:locked/>
    <w:rsid w:val="004B7754"/>
    <w:rPr>
      <w:rFonts w:eastAsia="Times New Roman"/>
      <w:snapToGrid w:val="0"/>
      <w:sz w:val="24"/>
      <w:szCs w:val="24"/>
      <w:lang w:val="en-GB" w:eastAsia="en-US"/>
    </w:rPr>
  </w:style>
  <w:style w:type="table" w:styleId="Grilledutableau">
    <w:name w:val="Table Grid"/>
    <w:basedOn w:val="Tableau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rsid w:val="00835997"/>
    <w:rPr>
      <w:rFonts w:ascii="Tahoma" w:hAnsi="Tahoma" w:cs="Tahoma"/>
      <w:sz w:val="16"/>
      <w:szCs w:val="16"/>
    </w:rPr>
  </w:style>
  <w:style w:type="character" w:customStyle="1" w:styleId="TextedebullesCar">
    <w:name w:val="Texte de bulles Car"/>
    <w:basedOn w:val="Policepardfaut"/>
    <w:link w:val="Textedebulles"/>
    <w:uiPriority w:val="99"/>
    <w:rsid w:val="00835997"/>
    <w:rPr>
      <w:rFonts w:ascii="Tahoma" w:hAnsi="Tahoma" w:cs="Tahoma"/>
      <w:snapToGrid w:val="0"/>
      <w:sz w:val="16"/>
      <w:szCs w:val="16"/>
      <w:lang w:val="en-GB"/>
    </w:rPr>
  </w:style>
  <w:style w:type="character" w:styleId="Lienhypertexte">
    <w:name w:val="Hyperlink"/>
    <w:basedOn w:val="Policepardfaut"/>
    <w:rsid w:val="001A2943"/>
    <w:rPr>
      <w:color w:val="0000FF" w:themeColor="hyperlink"/>
      <w:u w:val="single"/>
    </w:rPr>
  </w:style>
  <w:style w:type="character" w:styleId="Marquedecommentaire">
    <w:name w:val="annotation reference"/>
    <w:basedOn w:val="Policepardfaut"/>
    <w:uiPriority w:val="99"/>
    <w:rsid w:val="008F4611"/>
    <w:rPr>
      <w:sz w:val="16"/>
      <w:szCs w:val="16"/>
    </w:rPr>
  </w:style>
  <w:style w:type="paragraph" w:styleId="Commentaire">
    <w:name w:val="annotation text"/>
    <w:basedOn w:val="Normal"/>
    <w:link w:val="CommentaireCar"/>
    <w:uiPriority w:val="99"/>
    <w:rsid w:val="008F4611"/>
    <w:rPr>
      <w:sz w:val="20"/>
      <w:szCs w:val="20"/>
    </w:rPr>
  </w:style>
  <w:style w:type="character" w:customStyle="1" w:styleId="CommentaireCar">
    <w:name w:val="Commentaire Car"/>
    <w:basedOn w:val="Policepardfaut"/>
    <w:link w:val="Commentaire"/>
    <w:uiPriority w:val="99"/>
    <w:rsid w:val="008F4611"/>
    <w:rPr>
      <w:snapToGrid w:val="0"/>
      <w:lang w:val="en-GB"/>
    </w:rPr>
  </w:style>
  <w:style w:type="paragraph" w:styleId="Objetducommentaire">
    <w:name w:val="annotation subject"/>
    <w:basedOn w:val="Commentaire"/>
    <w:next w:val="Commentaire"/>
    <w:link w:val="ObjetducommentaireCar"/>
    <w:rsid w:val="008F4611"/>
    <w:rPr>
      <w:b/>
      <w:bCs/>
    </w:rPr>
  </w:style>
  <w:style w:type="character" w:customStyle="1" w:styleId="ObjetducommentaireCar">
    <w:name w:val="Objet du commentaire Car"/>
    <w:basedOn w:val="CommentaireCar"/>
    <w:link w:val="Objetducommentaire"/>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Policepardfaut"/>
    <w:uiPriority w:val="99"/>
    <w:semiHidden/>
    <w:unhideWhenUsed/>
    <w:rsid w:val="00B848E4"/>
    <w:rPr>
      <w:color w:val="605E5C"/>
      <w:shd w:val="clear" w:color="auto" w:fill="E1DFDD"/>
    </w:rPr>
  </w:style>
  <w:style w:type="character" w:customStyle="1" w:styleId="Titre7Car">
    <w:name w:val="Titre 7 Car"/>
    <w:basedOn w:val="Policepardfaut"/>
    <w:link w:val="Titre7"/>
    <w:semiHidden/>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Appelnotedebasdep"/>
    <w:rsid w:val="007C4C1D"/>
    <w:pPr>
      <w:tabs>
        <w:tab w:val="clear" w:pos="567"/>
      </w:tabs>
      <w:snapToGrid/>
      <w:spacing w:before="120" w:after="160" w:line="240" w:lineRule="exact"/>
    </w:pPr>
    <w:rPr>
      <w:snapToGrid/>
      <w:sz w:val="20"/>
      <w:szCs w:val="20"/>
      <w:vertAlign w:val="superscript"/>
      <w:lang w:val="fr-FR"/>
    </w:rPr>
  </w:style>
  <w:style w:type="paragraph" w:styleId="Paragraphedeliste">
    <w:name w:val="List Paragraph"/>
    <w:basedOn w:val="Normal"/>
    <w:uiPriority w:val="34"/>
    <w:qFormat/>
    <w:rsid w:val="009C5BA0"/>
    <w:pPr>
      <w:ind w:left="720"/>
      <w:contextualSpacing/>
    </w:pPr>
  </w:style>
  <w:style w:type="character" w:styleId="Lienhypertextesuivivisit">
    <w:name w:val="FollowedHyperlink"/>
    <w:basedOn w:val="Policepardfaut"/>
    <w:semiHidden/>
    <w:unhideWhenUsed/>
    <w:rsid w:val="00615F33"/>
    <w:rPr>
      <w:color w:val="800080" w:themeColor="followedHyperlink"/>
      <w:u w:val="single"/>
    </w:rPr>
  </w:style>
  <w:style w:type="character" w:customStyle="1" w:styleId="UnresolvedMention2">
    <w:name w:val="Unresolved Mention2"/>
    <w:basedOn w:val="Policepardfaut"/>
    <w:uiPriority w:val="99"/>
    <w:semiHidden/>
    <w:unhideWhenUsed/>
    <w:rsid w:val="00615F33"/>
    <w:rPr>
      <w:color w:val="605E5C"/>
      <w:shd w:val="clear" w:color="auto" w:fill="E1DFDD"/>
    </w:rPr>
  </w:style>
  <w:style w:type="paragraph" w:styleId="Rvision">
    <w:name w:val="Revision"/>
    <w:hidden/>
    <w:uiPriority w:val="99"/>
    <w:semiHidden/>
    <w:rsid w:val="00141A44"/>
    <w:rPr>
      <w:snapToGrid w:val="0"/>
      <w:sz w:val="24"/>
      <w:szCs w:val="24"/>
      <w:lang w:val="en-GB"/>
    </w:rPr>
  </w:style>
  <w:style w:type="character" w:styleId="Mentionnonrsolue">
    <w:name w:val="Unresolved Mention"/>
    <w:basedOn w:val="Policepardfaut"/>
    <w:uiPriority w:val="99"/>
    <w:semiHidden/>
    <w:unhideWhenUsed/>
    <w:rsid w:val="00730172"/>
    <w:rPr>
      <w:color w:val="605E5C"/>
      <w:shd w:val="clear" w:color="auto" w:fill="E1DFDD"/>
    </w:rPr>
  </w:style>
  <w:style w:type="character" w:customStyle="1" w:styleId="apple-converted-space">
    <w:name w:val="apple-converted-space"/>
    <w:basedOn w:val="Policepardfaut"/>
    <w:rsid w:val="00C9174B"/>
  </w:style>
  <w:style w:type="paragraph" w:customStyle="1" w:styleId="xmsonormal">
    <w:name w:val="x_msonormal"/>
    <w:basedOn w:val="Normal"/>
    <w:rsid w:val="002660A1"/>
    <w:pPr>
      <w:tabs>
        <w:tab w:val="clear" w:pos="567"/>
      </w:tabs>
      <w:snapToGrid/>
    </w:pPr>
    <w:rPr>
      <w:rFonts w:ascii="Calibri" w:eastAsiaTheme="minorEastAsia" w:hAnsi="Calibri" w:cs="Calibri"/>
      <w:snapToGrid/>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146018142">
      <w:bodyDiv w:val="1"/>
      <w:marLeft w:val="0"/>
      <w:marRight w:val="0"/>
      <w:marTop w:val="0"/>
      <w:marBottom w:val="0"/>
      <w:divBdr>
        <w:top w:val="none" w:sz="0" w:space="0" w:color="auto"/>
        <w:left w:val="none" w:sz="0" w:space="0" w:color="auto"/>
        <w:bottom w:val="none" w:sz="0" w:space="0" w:color="auto"/>
        <w:right w:val="none" w:sz="0" w:space="0" w:color="auto"/>
      </w:divBdr>
    </w:div>
    <w:div w:id="335690884">
      <w:bodyDiv w:val="1"/>
      <w:marLeft w:val="0"/>
      <w:marRight w:val="0"/>
      <w:marTop w:val="0"/>
      <w:marBottom w:val="0"/>
      <w:divBdr>
        <w:top w:val="none" w:sz="0" w:space="0" w:color="auto"/>
        <w:left w:val="none" w:sz="0" w:space="0" w:color="auto"/>
        <w:bottom w:val="none" w:sz="0" w:space="0" w:color="auto"/>
        <w:right w:val="none" w:sz="0" w:space="0" w:color="auto"/>
      </w:divBdr>
    </w:div>
    <w:div w:id="438456386">
      <w:bodyDiv w:val="1"/>
      <w:marLeft w:val="0"/>
      <w:marRight w:val="0"/>
      <w:marTop w:val="0"/>
      <w:marBottom w:val="0"/>
      <w:divBdr>
        <w:top w:val="none" w:sz="0" w:space="0" w:color="auto"/>
        <w:left w:val="none" w:sz="0" w:space="0" w:color="auto"/>
        <w:bottom w:val="none" w:sz="0" w:space="0" w:color="auto"/>
        <w:right w:val="none" w:sz="0" w:space="0" w:color="auto"/>
      </w:divBdr>
    </w:div>
    <w:div w:id="474952765">
      <w:bodyDiv w:val="1"/>
      <w:marLeft w:val="0"/>
      <w:marRight w:val="0"/>
      <w:marTop w:val="0"/>
      <w:marBottom w:val="0"/>
      <w:divBdr>
        <w:top w:val="none" w:sz="0" w:space="0" w:color="auto"/>
        <w:left w:val="none" w:sz="0" w:space="0" w:color="auto"/>
        <w:bottom w:val="none" w:sz="0" w:space="0" w:color="auto"/>
        <w:right w:val="none" w:sz="0" w:space="0" w:color="auto"/>
      </w:divBdr>
    </w:div>
    <w:div w:id="541555638">
      <w:bodyDiv w:val="1"/>
      <w:marLeft w:val="0"/>
      <w:marRight w:val="0"/>
      <w:marTop w:val="0"/>
      <w:marBottom w:val="0"/>
      <w:divBdr>
        <w:top w:val="none" w:sz="0" w:space="0" w:color="auto"/>
        <w:left w:val="none" w:sz="0" w:space="0" w:color="auto"/>
        <w:bottom w:val="none" w:sz="0" w:space="0" w:color="auto"/>
        <w:right w:val="none" w:sz="0" w:space="0" w:color="auto"/>
      </w:divBdr>
    </w:div>
    <w:div w:id="610822085">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69150910">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008554881">
      <w:bodyDiv w:val="1"/>
      <w:marLeft w:val="0"/>
      <w:marRight w:val="0"/>
      <w:marTop w:val="0"/>
      <w:marBottom w:val="0"/>
      <w:divBdr>
        <w:top w:val="none" w:sz="0" w:space="0" w:color="auto"/>
        <w:left w:val="none" w:sz="0" w:space="0" w:color="auto"/>
        <w:bottom w:val="none" w:sz="0" w:space="0" w:color="auto"/>
        <w:right w:val="none" w:sz="0" w:space="0" w:color="auto"/>
      </w:divBdr>
    </w:div>
    <w:div w:id="2041928298">
      <w:bodyDiv w:val="1"/>
      <w:marLeft w:val="0"/>
      <w:marRight w:val="0"/>
      <w:marTop w:val="0"/>
      <w:marBottom w:val="0"/>
      <w:divBdr>
        <w:top w:val="none" w:sz="0" w:space="0" w:color="auto"/>
        <w:left w:val="none" w:sz="0" w:space="0" w:color="auto"/>
        <w:bottom w:val="none" w:sz="0" w:space="0" w:color="auto"/>
        <w:right w:val="none" w:sz="0" w:space="0" w:color="auto"/>
      </w:divBdr>
    </w:div>
    <w:div w:id="208687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decade.org/news/barcelona-statement-identifies-the-priority-areas-of-action-for-the-ocean-decade-in-coming-years/"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nesdoc.unesco.org/ark:/48223/pf0000388790_eng.locale=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nfccc.int/topics/global-stocktake/about-the-global-stocktake/frequently-asked-questions-about-the-global-stocktake" TargetMode="External"/><Relationship Id="rId1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E09C5-C779-4A3F-8C2B-695DABF13F8D}">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9</Pages>
  <Words>2312</Words>
  <Characters>13403</Characters>
  <Application>Microsoft Office Word</Application>
  <DocSecurity>4</DocSecurity>
  <Lines>111</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Company>UNESCO</Company>
  <LinksUpToDate>false</LinksUpToDate>
  <CharactersWithSpaces>15684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provisional agenda of the forty-seventh session of the Executive Council of the Intergovernmental Oceanographic Commission</dc:title>
  <dc:subject>IOC/EC-XLVII/1 PROV. REV.</dc:subject>
  <dc:creator>UNESCO</dc:creator>
  <cp:keywords>1210.14E</cp:keywords>
  <cp:lastModifiedBy>Boned, Patrice</cp:lastModifiedBy>
  <cp:revision>2</cp:revision>
  <cp:lastPrinted>2020-03-09T11:40:00Z</cp:lastPrinted>
  <dcterms:created xsi:type="dcterms:W3CDTF">2024-04-25T14:08:00Z</dcterms:created>
  <dcterms:modified xsi:type="dcterms:W3CDTF">2024-04-25T14:08:00Z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85549</vt:i4>
  </property>
  <property fmtid="{D5CDD505-2E9C-101B-9397-08002B2CF9AE}" pid="3" name="JobDMS">
    <vt:r8>1210.14</vt:r8>
  </property>
  <property fmtid="{D5CDD505-2E9C-101B-9397-08002B2CF9AE}" pid="4" name="Language">
    <vt:lpwstr>E</vt:lpwstr>
  </property>
</Properties>
</file>