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FD078F">
      <w:pPr>
        <w:pStyle w:val="Heading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0C79DDD5" w:rsidR="00EB3895" w:rsidRPr="00E54757" w:rsidRDefault="00E54757" w:rsidP="00562336">
      <w:pPr>
        <w:pStyle w:val="Marge"/>
        <w:spacing w:after="600"/>
        <w:rPr>
          <w:u w:val="single"/>
        </w:rPr>
      </w:pPr>
      <w:r w:rsidRPr="00E54757">
        <w:rPr>
          <w:u w:val="single"/>
        </w:rPr>
        <w:t xml:space="preserve">Point </w:t>
      </w:r>
      <w:r w:rsidRPr="00E54757">
        <w:rPr>
          <w:b/>
          <w:bCs/>
          <w:u w:val="single"/>
        </w:rPr>
        <w:t>4.6</w:t>
      </w:r>
      <w:r w:rsidRPr="00E54757">
        <w:rPr>
          <w:u w:val="single"/>
        </w:rPr>
        <w:t xml:space="preserve"> de l’ordre du jour provisoire</w:t>
      </w:r>
    </w:p>
    <w:p w14:paraId="4D532EDB" w14:textId="487552B8" w:rsidR="00B2519D" w:rsidRDefault="00E54757" w:rsidP="00562336">
      <w:pPr>
        <w:pStyle w:val="Heading1"/>
        <w:spacing w:after="360"/>
      </w:pPr>
      <w:r w:rsidRPr="00E54757">
        <w:t xml:space="preserve">MISE EN ŒUVRE DE LA STRATÉGIE DE LA COI POUR LE DÉVELOPPEMENT </w:t>
      </w:r>
      <w:r w:rsidRPr="00E54757">
        <w:br/>
        <w:t>DES CAPACITÉS (2023-2030)</w:t>
      </w:r>
    </w:p>
    <w:tbl>
      <w:tblPr>
        <w:tblStyle w:val="Grilledutableau1"/>
        <w:tblW w:w="7083" w:type="dxa"/>
        <w:jc w:val="center"/>
        <w:tblLayout w:type="fixed"/>
        <w:tblLook w:val="04A0" w:firstRow="1" w:lastRow="0" w:firstColumn="1" w:lastColumn="0" w:noHBand="0" w:noVBand="1"/>
      </w:tblPr>
      <w:tblGrid>
        <w:gridCol w:w="7083"/>
      </w:tblGrid>
      <w:tr w:rsidR="00562336" w:rsidRPr="00562336" w14:paraId="39DE0B67" w14:textId="77777777" w:rsidTr="00562336">
        <w:trPr>
          <w:trHeight w:val="4350"/>
          <w:jc w:val="center"/>
        </w:trPr>
        <w:tc>
          <w:tcPr>
            <w:tcW w:w="7083"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051DA561" w14:textId="77777777" w:rsidR="00562336" w:rsidRPr="00527CA2" w:rsidRDefault="00562336" w:rsidP="00562336">
            <w:pPr>
              <w:tabs>
                <w:tab w:val="clear" w:pos="567"/>
              </w:tabs>
              <w:snapToGrid/>
              <w:spacing w:after="240"/>
              <w:ind w:left="283" w:right="283"/>
              <w:jc w:val="both"/>
              <w:rPr>
                <w:rFonts w:cs="Arial"/>
                <w:szCs w:val="22"/>
                <w:lang w:eastAsia="en-US"/>
              </w:rPr>
            </w:pPr>
            <w:r w:rsidRPr="00562336">
              <w:rPr>
                <w:rFonts w:cs="Arial"/>
                <w:szCs w:val="22"/>
                <w:lang w:eastAsia="en-US"/>
              </w:rPr>
              <w:t>Par sa décision A-32/4.3, l’Assemblée a adopté, à sa 32</w:t>
            </w:r>
            <w:r w:rsidRPr="00562336">
              <w:rPr>
                <w:rFonts w:cs="Arial"/>
                <w:szCs w:val="22"/>
                <w:vertAlign w:val="superscript"/>
                <w:lang w:eastAsia="en-US"/>
              </w:rPr>
              <w:t>e</w:t>
            </w:r>
            <w:r w:rsidRPr="00562336">
              <w:rPr>
                <w:rFonts w:cs="Arial"/>
                <w:szCs w:val="22"/>
                <w:lang w:eastAsia="en-US"/>
              </w:rPr>
              <w:t xml:space="preserve"> session, la Stratégie de la COI pour le développement des capacités (2023-2030) (IOC/INF-1433), ainsi que le plan de sensibilisation et de communication correspondant. </w:t>
            </w:r>
          </w:p>
          <w:p w14:paraId="5D5E2D30" w14:textId="16B328EC" w:rsidR="00562336" w:rsidRPr="00527CA2" w:rsidRDefault="00562336" w:rsidP="00562336">
            <w:pPr>
              <w:tabs>
                <w:tab w:val="clear" w:pos="567"/>
              </w:tabs>
              <w:snapToGrid/>
              <w:spacing w:after="240"/>
              <w:ind w:left="283" w:right="283"/>
              <w:jc w:val="both"/>
              <w:rPr>
                <w:rFonts w:cs="Arial"/>
                <w:szCs w:val="22"/>
                <w:lang w:eastAsia="en-US"/>
              </w:rPr>
            </w:pPr>
            <w:r w:rsidRPr="00562336">
              <w:rPr>
                <w:rFonts w:cs="Arial"/>
                <w:szCs w:val="22"/>
                <w:lang w:eastAsia="en-US"/>
              </w:rPr>
              <w:t>Le présent document fournit des informations détaillées sur les mesures prises et à prendre à la suite de l’adoption de la nouvelle Stratégie, en particulier dans le cadre du rapport sur les activités du Groupe d’experts sur le développement des capacités à sa cinquième réunion (</w:t>
            </w:r>
            <w:hyperlink r:id="rId8" w:history="1">
              <w:r w:rsidRPr="00562336">
                <w:rPr>
                  <w:rStyle w:val="Hyperlink"/>
                  <w:rFonts w:cs="Arial"/>
                  <w:szCs w:val="22"/>
                  <w:lang w:eastAsia="en-US"/>
                </w:rPr>
                <w:t>IOC/GE-CD-V/3</w:t>
              </w:r>
            </w:hyperlink>
            <w:r w:rsidRPr="00562336">
              <w:rPr>
                <w:rFonts w:cs="Arial"/>
                <w:szCs w:val="22"/>
                <w:lang w:eastAsia="en-US"/>
              </w:rPr>
              <w:t>, 27-29</w:t>
            </w:r>
            <w:r w:rsidR="00B11A91">
              <w:rPr>
                <w:rFonts w:cs="Arial"/>
                <w:szCs w:val="22"/>
                <w:lang w:eastAsia="en-US"/>
              </w:rPr>
              <w:t> </w:t>
            </w:r>
            <w:r w:rsidRPr="00562336">
              <w:rPr>
                <w:rFonts w:cs="Arial"/>
                <w:szCs w:val="22"/>
                <w:lang w:eastAsia="en-US"/>
              </w:rPr>
              <w:t>février 2024). Il est proposé, compte tenu de ces informations, de maintenir le Groupe d’experts avec un mandat révisé.</w:t>
            </w:r>
          </w:p>
          <w:p w14:paraId="2DF562DA" w14:textId="5D1BEFEF" w:rsidR="00562336" w:rsidRPr="00562336" w:rsidRDefault="00562336" w:rsidP="00562336">
            <w:pPr>
              <w:tabs>
                <w:tab w:val="clear" w:pos="567"/>
              </w:tabs>
              <w:snapToGrid/>
              <w:spacing w:after="240"/>
              <w:ind w:left="283" w:right="283"/>
              <w:jc w:val="both"/>
              <w:rPr>
                <w:rFonts w:cs="Arial"/>
                <w:b/>
                <w:bCs/>
                <w:spacing w:val="-3"/>
                <w:szCs w:val="22"/>
                <w:lang w:eastAsia="en-US"/>
              </w:rPr>
            </w:pPr>
            <w:r w:rsidRPr="00562336">
              <w:rPr>
                <w:rFonts w:cs="Arial"/>
                <w:spacing w:val="-3"/>
                <w:szCs w:val="22"/>
                <w:lang w:eastAsia="en-US"/>
              </w:rPr>
              <w:t xml:space="preserve">La </w:t>
            </w:r>
            <w:r w:rsidRPr="00562336">
              <w:rPr>
                <w:rFonts w:cs="Arial"/>
                <w:spacing w:val="-3"/>
                <w:szCs w:val="22"/>
                <w:u w:val="single"/>
                <w:lang w:eastAsia="en-US"/>
              </w:rPr>
              <w:t>décision proposée</w:t>
            </w:r>
            <w:r w:rsidRPr="00562336">
              <w:rPr>
                <w:rFonts w:cs="Arial"/>
                <w:spacing w:val="-3"/>
                <w:szCs w:val="22"/>
                <w:lang w:eastAsia="en-US"/>
              </w:rPr>
              <w:t xml:space="preserve"> porte la cote EC-57/4.6 dans le Document relatif aux décisions à adopter (projet de document IOC/EC</w:t>
            </w:r>
            <w:r w:rsidRPr="00562336">
              <w:rPr>
                <w:rFonts w:cs="Arial"/>
                <w:spacing w:val="-3"/>
                <w:szCs w:val="22"/>
                <w:lang w:eastAsia="en-US"/>
              </w:rPr>
              <w:noBreakHyphen/>
              <w:t>57/AP).</w:t>
            </w:r>
          </w:p>
        </w:tc>
      </w:tr>
    </w:tbl>
    <w:p w14:paraId="5C238DF7" w14:textId="77777777" w:rsidR="00E54757" w:rsidRDefault="00E54757" w:rsidP="00E54757">
      <w:pPr>
        <w:pStyle w:val="Marge"/>
      </w:pPr>
    </w:p>
    <w:p w14:paraId="2E979F20" w14:textId="4FADF084" w:rsidR="00436275" w:rsidRDefault="00436275">
      <w:pPr>
        <w:tabs>
          <w:tab w:val="clear" w:pos="567"/>
        </w:tabs>
        <w:snapToGrid/>
        <w:rPr>
          <w:rFonts w:eastAsia="Times New Roman"/>
          <w:lang w:eastAsia="en-US"/>
        </w:rPr>
      </w:pPr>
      <w:r>
        <w:br w:type="page"/>
      </w:r>
    </w:p>
    <w:p w14:paraId="4FEF1063" w14:textId="77777777" w:rsidR="00436275" w:rsidRPr="00527CA2" w:rsidRDefault="00436275" w:rsidP="00436275">
      <w:pPr>
        <w:tabs>
          <w:tab w:val="clear" w:pos="567"/>
        </w:tabs>
        <w:snapToGrid/>
        <w:spacing w:after="240"/>
        <w:jc w:val="both"/>
        <w:rPr>
          <w:rFonts w:cs="Arial"/>
          <w:szCs w:val="22"/>
          <w:lang w:eastAsia="en-US"/>
        </w:rPr>
      </w:pPr>
      <w:r w:rsidRPr="00436275">
        <w:rPr>
          <w:rFonts w:eastAsia="Times New Roman" w:cs="Arial"/>
          <w:b/>
          <w:bCs/>
          <w:snapToGrid/>
          <w:szCs w:val="22"/>
          <w:lang w:eastAsia="en-US"/>
        </w:rPr>
        <w:lastRenderedPageBreak/>
        <w:t>Contexte</w:t>
      </w:r>
      <w:r w:rsidRPr="00436275">
        <w:rPr>
          <w:rFonts w:eastAsia="Times New Roman" w:cs="Arial"/>
          <w:snapToGrid/>
          <w:szCs w:val="22"/>
          <w:lang w:eastAsia="en-US"/>
        </w:rPr>
        <w:t xml:space="preserve"> </w:t>
      </w:r>
      <w:bookmarkStart w:id="0" w:name="_Toc163216996"/>
      <w:bookmarkStart w:id="1" w:name="_Toc130909576"/>
      <w:bookmarkEnd w:id="0"/>
    </w:p>
    <w:p w14:paraId="21547B76" w14:textId="11654EB3"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1.</w:t>
      </w:r>
      <w:r w:rsidRPr="00436275">
        <w:rPr>
          <w:rFonts w:eastAsia="Times New Roman" w:cs="Arial"/>
          <w:snapToGrid/>
          <w:szCs w:val="22"/>
          <w:lang w:eastAsia="en-US"/>
        </w:rPr>
        <w:tab/>
        <w:t>Peu après l’adoption de la Stratégie de la COI pour le développement des capacités (2015</w:t>
      </w:r>
      <w:r w:rsidR="00B11A91">
        <w:rPr>
          <w:rFonts w:eastAsia="Times New Roman" w:cs="Arial"/>
          <w:snapToGrid/>
          <w:szCs w:val="22"/>
          <w:lang w:eastAsia="en-US"/>
        </w:rPr>
        <w:noBreakHyphen/>
      </w:r>
      <w:r w:rsidRPr="00436275">
        <w:rPr>
          <w:rFonts w:eastAsia="Times New Roman" w:cs="Arial"/>
          <w:snapToGrid/>
          <w:szCs w:val="22"/>
          <w:lang w:eastAsia="en-US"/>
        </w:rPr>
        <w:t xml:space="preserve">2021), l’Assemblée de la COI a créé en 2017, par sa décision </w:t>
      </w:r>
      <w:hyperlink r:id="rId9" w:history="1">
        <w:r w:rsidRPr="00436275">
          <w:rPr>
            <w:rFonts w:eastAsia="Times New Roman" w:cs="Arial"/>
            <w:snapToGrid/>
            <w:color w:val="0000FF"/>
            <w:szCs w:val="22"/>
            <w:u w:val="single"/>
            <w:lang w:eastAsia="en-US"/>
          </w:rPr>
          <w:t>IOC-XXIX/10.1</w:t>
        </w:r>
      </w:hyperlink>
      <w:r w:rsidRPr="00436275">
        <w:rPr>
          <w:rFonts w:eastAsia="Times New Roman" w:cs="Arial"/>
          <w:snapToGrid/>
          <w:szCs w:val="22"/>
          <w:lang w:eastAsia="en-US"/>
        </w:rPr>
        <w:t>, le Groupe d’experts de la COI sur le développement des capacités, afin d’aider les programmes mondiaux et régionaux dans le domaine du développement des capacités conformément aux objectifs de la nouvelle Stratégie. Le Groupe les a encouragés à évaluer les besoins, à élaborer des plans de travail et à mobiliser des ressources, ainsi qu’à proposer des méthodes de travail et des outils relatifs au développement des capacités.</w:t>
      </w:r>
    </w:p>
    <w:p w14:paraId="41111B02" w14:textId="67D101C9"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2.</w:t>
      </w:r>
      <w:r w:rsidRPr="00436275">
        <w:rPr>
          <w:rFonts w:eastAsia="Times New Roman" w:cs="Arial"/>
          <w:snapToGrid/>
          <w:szCs w:val="22"/>
          <w:lang w:eastAsia="en-US"/>
        </w:rPr>
        <w:tab/>
        <w:t>Mettant à profit l’expertise des membres du Groupe, l’Assemblée a chargé celui-ci, en</w:t>
      </w:r>
      <w:r w:rsidR="00B11A91">
        <w:rPr>
          <w:rFonts w:eastAsia="Times New Roman" w:cs="Arial"/>
          <w:snapToGrid/>
          <w:szCs w:val="22"/>
          <w:lang w:eastAsia="en-US"/>
        </w:rPr>
        <w:t> </w:t>
      </w:r>
      <w:r w:rsidRPr="00436275">
        <w:rPr>
          <w:rFonts w:eastAsia="Times New Roman" w:cs="Arial"/>
          <w:snapToGrid/>
          <w:szCs w:val="22"/>
          <w:lang w:eastAsia="en-US"/>
        </w:rPr>
        <w:t xml:space="preserve">2021, de procéder à un examen de la Stratégie de la COI pour le développement des capacités pour la période postérieure à 2021, et a révisé son mandat en conséquence par sa décision </w:t>
      </w:r>
      <w:hyperlink r:id="rId10" w:history="1">
        <w:r w:rsidRPr="00436275">
          <w:rPr>
            <w:rFonts w:eastAsia="Times New Roman" w:cs="Arial"/>
            <w:snapToGrid/>
            <w:color w:val="0000FF"/>
            <w:szCs w:val="22"/>
            <w:u w:val="single"/>
            <w:lang w:eastAsia="en-US"/>
          </w:rPr>
          <w:t>A-31/3.5.3</w:t>
        </w:r>
      </w:hyperlink>
      <w:r w:rsidRPr="00436275">
        <w:rPr>
          <w:rFonts w:eastAsia="Times New Roman" w:cs="Arial"/>
          <w:snapToGrid/>
          <w:szCs w:val="22"/>
          <w:lang w:eastAsia="en-US"/>
        </w:rPr>
        <w:t xml:space="preserve">. </w:t>
      </w:r>
    </w:p>
    <w:p w14:paraId="4845FDF5" w14:textId="04FE31DE"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3.</w:t>
      </w:r>
      <w:r w:rsidRPr="00436275">
        <w:rPr>
          <w:rFonts w:eastAsia="Times New Roman" w:cs="Arial"/>
          <w:snapToGrid/>
          <w:szCs w:val="22"/>
          <w:lang w:eastAsia="en-US"/>
        </w:rPr>
        <w:tab/>
        <w:t>À la 32</w:t>
      </w:r>
      <w:r w:rsidRPr="00436275">
        <w:rPr>
          <w:rFonts w:eastAsia="Times New Roman" w:cs="Arial"/>
          <w:snapToGrid/>
          <w:szCs w:val="22"/>
          <w:vertAlign w:val="superscript"/>
          <w:lang w:eastAsia="en-US"/>
        </w:rPr>
        <w:t>e</w:t>
      </w:r>
      <w:r w:rsidRPr="00436275">
        <w:rPr>
          <w:rFonts w:eastAsia="Times New Roman" w:cs="Arial"/>
          <w:snapToGrid/>
          <w:szCs w:val="22"/>
          <w:lang w:eastAsia="en-US"/>
        </w:rPr>
        <w:t> session de l’Assemblée, en 2023, le Groupe a soumis trois documents : (i)</w:t>
      </w:r>
      <w:r w:rsidR="00B11A91">
        <w:rPr>
          <w:rFonts w:eastAsia="Times New Roman" w:cs="Arial"/>
          <w:snapToGrid/>
          <w:szCs w:val="22"/>
          <w:lang w:eastAsia="en-US"/>
        </w:rPr>
        <w:t> </w:t>
      </w:r>
      <w:r w:rsidRPr="00436275">
        <w:rPr>
          <w:rFonts w:eastAsia="Times New Roman" w:cs="Arial"/>
          <w:snapToGrid/>
          <w:szCs w:val="22"/>
          <w:lang w:eastAsia="en-US"/>
        </w:rPr>
        <w:t xml:space="preserve">le </w:t>
      </w:r>
      <w:hyperlink r:id="rId11" w:history="1">
        <w:r w:rsidRPr="00436275">
          <w:rPr>
            <w:rFonts w:eastAsia="Times New Roman" w:cs="Arial"/>
            <w:snapToGrid/>
            <w:color w:val="0000FF"/>
            <w:szCs w:val="22"/>
            <w:u w:val="single"/>
            <w:lang w:eastAsia="en-US"/>
          </w:rPr>
          <w:t>document IOC/A-32/4.3.Doc(1)</w:t>
        </w:r>
      </w:hyperlink>
      <w:r w:rsidRPr="00436275">
        <w:rPr>
          <w:rFonts w:eastAsia="Times New Roman" w:cs="Arial"/>
          <w:snapToGrid/>
          <w:szCs w:val="22"/>
          <w:lang w:eastAsia="en-US"/>
        </w:rPr>
        <w:t>, intitulé « Stratégie de la COI pour le développement des capacités (2023</w:t>
      </w:r>
      <w:r w:rsidR="00B11A91">
        <w:rPr>
          <w:rFonts w:eastAsia="Times New Roman" w:cs="Arial"/>
          <w:snapToGrid/>
          <w:szCs w:val="22"/>
          <w:lang w:eastAsia="en-US"/>
        </w:rPr>
        <w:noBreakHyphen/>
      </w:r>
      <w:r w:rsidRPr="00436275">
        <w:rPr>
          <w:rFonts w:eastAsia="Times New Roman" w:cs="Arial"/>
          <w:snapToGrid/>
          <w:szCs w:val="22"/>
          <w:lang w:eastAsia="en-US"/>
        </w:rPr>
        <w:t>2030) », qui propose un cadre stratégique articulé autour de six résultats composés d’activités et d’actions ; (ii)</w:t>
      </w:r>
      <w:r w:rsidR="00B11A91">
        <w:rPr>
          <w:rFonts w:eastAsia="Times New Roman" w:cs="Arial"/>
          <w:snapToGrid/>
          <w:szCs w:val="22"/>
          <w:lang w:eastAsia="en-US"/>
        </w:rPr>
        <w:t> </w:t>
      </w:r>
      <w:hyperlink r:id="rId12" w:history="1">
        <w:r w:rsidRPr="00436275">
          <w:rPr>
            <w:rFonts w:eastAsia="Times New Roman" w:cs="Arial"/>
            <w:snapToGrid/>
            <w:color w:val="0000FF"/>
            <w:szCs w:val="22"/>
            <w:u w:val="single"/>
            <w:lang w:eastAsia="en-US"/>
          </w:rPr>
          <w:t>l’addendum au document IOC/A-32/4.3.Doc(1)</w:t>
        </w:r>
      </w:hyperlink>
      <w:r w:rsidRPr="00436275">
        <w:rPr>
          <w:rFonts w:eastAsia="Times New Roman" w:cs="Arial"/>
          <w:snapToGrid/>
          <w:szCs w:val="22"/>
          <w:lang w:eastAsia="en-US"/>
        </w:rPr>
        <w:t xml:space="preserve"> qui contient des informations générales détaillées relatives au processus d’examen et de révision de la Stratégie, en vue de son actualisation ; et (iii)</w:t>
      </w:r>
      <w:r w:rsidR="00B11A91">
        <w:rPr>
          <w:rFonts w:eastAsia="Times New Roman" w:cs="Arial"/>
          <w:snapToGrid/>
          <w:szCs w:val="22"/>
          <w:lang w:eastAsia="en-US"/>
        </w:rPr>
        <w:t> </w:t>
      </w:r>
      <w:r w:rsidRPr="00436275">
        <w:rPr>
          <w:rFonts w:eastAsia="Times New Roman" w:cs="Arial"/>
          <w:snapToGrid/>
          <w:szCs w:val="22"/>
          <w:lang w:eastAsia="en-US"/>
        </w:rPr>
        <w:t xml:space="preserve">le </w:t>
      </w:r>
      <w:hyperlink r:id="rId13" w:history="1">
        <w:r w:rsidRPr="00436275">
          <w:rPr>
            <w:rFonts w:eastAsia="Times New Roman" w:cs="Arial"/>
            <w:snapToGrid/>
            <w:color w:val="0000FF"/>
            <w:szCs w:val="22"/>
            <w:u w:val="single"/>
            <w:lang w:eastAsia="en-US"/>
          </w:rPr>
          <w:t>document IOC-32/4.3.Doc(2)</w:t>
        </w:r>
      </w:hyperlink>
      <w:r w:rsidRPr="00436275">
        <w:rPr>
          <w:rFonts w:eastAsia="Times New Roman" w:cs="Arial"/>
          <w:snapToGrid/>
          <w:szCs w:val="22"/>
          <w:lang w:eastAsia="en-US"/>
        </w:rPr>
        <w:t xml:space="preserve">, qui présente en détail le plan de sensibilisation et de communication (de la Stratégie) pour promouvoir sa visibilité et sa portée. </w:t>
      </w:r>
    </w:p>
    <w:p w14:paraId="402C7EDD" w14:textId="77777777"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4.</w:t>
      </w:r>
      <w:r w:rsidRPr="00436275">
        <w:rPr>
          <w:rFonts w:eastAsia="Times New Roman" w:cs="Arial"/>
          <w:snapToGrid/>
          <w:szCs w:val="22"/>
          <w:lang w:eastAsia="en-US"/>
        </w:rPr>
        <w:tab/>
        <w:t xml:space="preserve">Par sa </w:t>
      </w:r>
      <w:hyperlink r:id="rId14" w:history="1">
        <w:r w:rsidRPr="00436275">
          <w:rPr>
            <w:rFonts w:eastAsia="Times New Roman" w:cs="Arial"/>
            <w:snapToGrid/>
            <w:color w:val="0000FF"/>
            <w:szCs w:val="22"/>
            <w:u w:val="single"/>
            <w:lang w:eastAsia="en-US"/>
          </w:rPr>
          <w:t>décision A-32/4.3</w:t>
        </w:r>
      </w:hyperlink>
      <w:r w:rsidRPr="00436275">
        <w:rPr>
          <w:rFonts w:eastAsia="Times New Roman" w:cs="Arial"/>
          <w:snapToGrid/>
          <w:szCs w:val="22"/>
          <w:lang w:eastAsia="en-US"/>
        </w:rPr>
        <w:t xml:space="preserve">, l’Assemblée a adopté la Stratégie de la COI pour le développement des capacités (2023-2030) (IOC/INF-1433) ainsi que le plan de sensibilisation et de communication correspondant. </w:t>
      </w:r>
    </w:p>
    <w:p w14:paraId="060BBC7B" w14:textId="77777777"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5.</w:t>
      </w:r>
      <w:r w:rsidRPr="00436275">
        <w:rPr>
          <w:rFonts w:eastAsia="Times New Roman" w:cs="Arial"/>
          <w:snapToGrid/>
          <w:szCs w:val="22"/>
          <w:lang w:eastAsia="en-US"/>
        </w:rPr>
        <w:tab/>
        <w:t>Ce cadre stratégique reflète une reconnaissance accrue du rôle de l’océan dans les milieux</w:t>
      </w:r>
      <w:r w:rsidRPr="00527CA2">
        <w:rPr>
          <w:rFonts w:eastAsia="Times New Roman" w:cs="Arial"/>
          <w:snapToGrid/>
          <w:szCs w:val="22"/>
          <w:lang w:eastAsia="en-US"/>
        </w:rPr>
        <w:t xml:space="preserve"> </w:t>
      </w:r>
      <w:r w:rsidRPr="00436275">
        <w:rPr>
          <w:rFonts w:eastAsia="Times New Roman" w:cs="Arial"/>
          <w:snapToGrid/>
          <w:szCs w:val="22"/>
          <w:lang w:eastAsia="en-US"/>
        </w:rPr>
        <w:t xml:space="preserve">politiques, commerciaux et scientifiques et dans la société, ainsi que de l’importance du développement des capacités dans la réalisation de la Décennie des Nations Unies pour les sciences océaniques au service du développement durable (2021-2030). Il souligne également le rôle essentiel de la COI dans la promotion de la coopération internationale, tout en utilisant la Stratégie comme une incitation à élaborer un plan de mise en œuvre, </w:t>
      </w:r>
      <w:proofErr w:type="gramStart"/>
      <w:r w:rsidRPr="00436275">
        <w:rPr>
          <w:rFonts w:eastAsia="Times New Roman" w:cs="Arial"/>
          <w:snapToGrid/>
          <w:szCs w:val="22"/>
          <w:lang w:eastAsia="en-US"/>
        </w:rPr>
        <w:t>de façon à ce</w:t>
      </w:r>
      <w:proofErr w:type="gramEnd"/>
      <w:r w:rsidRPr="00436275">
        <w:rPr>
          <w:rFonts w:eastAsia="Times New Roman" w:cs="Arial"/>
          <w:snapToGrid/>
          <w:szCs w:val="22"/>
          <w:lang w:eastAsia="en-US"/>
        </w:rPr>
        <w:t xml:space="preserve"> que les activités de développement des capacités de la COI soient clairement énoncées et que leur utilité ressorte plus clairement. </w:t>
      </w:r>
    </w:p>
    <w:p w14:paraId="0B4A6625" w14:textId="77777777"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6.</w:t>
      </w:r>
      <w:r w:rsidRPr="00436275">
        <w:rPr>
          <w:rFonts w:eastAsia="Times New Roman" w:cs="Arial"/>
          <w:snapToGrid/>
          <w:szCs w:val="22"/>
          <w:lang w:eastAsia="en-US"/>
        </w:rPr>
        <w:tab/>
        <w:t>Le cadre stratégique fournit des indications générales sur les éléments fondamentaux du développement des capacités, mais un plan d’exécution reste à élaborer, et de nouveaux moyens de renforcer l’impact de la COI à l’échelle souhaitée doivent encore être examinés.</w:t>
      </w:r>
    </w:p>
    <w:p w14:paraId="403D5A68" w14:textId="77777777" w:rsidR="00436275" w:rsidRPr="00527CA2" w:rsidRDefault="00436275" w:rsidP="00436275">
      <w:pPr>
        <w:tabs>
          <w:tab w:val="clear" w:pos="567"/>
        </w:tabs>
        <w:snapToGrid/>
        <w:spacing w:after="240"/>
        <w:jc w:val="both"/>
        <w:rPr>
          <w:rFonts w:cs="Arial"/>
          <w:b/>
          <w:spacing w:val="-4"/>
          <w:szCs w:val="22"/>
          <w:lang w:eastAsia="en-US"/>
        </w:rPr>
      </w:pPr>
      <w:r w:rsidRPr="00DC4341">
        <w:rPr>
          <w:rFonts w:eastAsia="Times New Roman" w:cs="Arial"/>
          <w:b/>
          <w:bCs/>
          <w:snapToGrid/>
          <w:spacing w:val="-4"/>
          <w:szCs w:val="22"/>
          <w:lang w:eastAsia="en-US"/>
        </w:rPr>
        <w:t>Proposition tendant à reformer le Groupe d’experts de la COI sur le développement des capacités avec un mandat révisé</w:t>
      </w:r>
    </w:p>
    <w:p w14:paraId="0CC20DC5" w14:textId="7851B851" w:rsidR="00436275" w:rsidRPr="00527CA2"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7.</w:t>
      </w:r>
      <w:r w:rsidRPr="00436275">
        <w:rPr>
          <w:rFonts w:eastAsia="Times New Roman" w:cs="Arial"/>
          <w:snapToGrid/>
          <w:szCs w:val="22"/>
          <w:lang w:eastAsia="en-US"/>
        </w:rPr>
        <w:tab/>
        <w:t>La cinquième réunion du Groupe d’experts de la COI sur le développement des capacités (</w:t>
      </w:r>
      <w:hyperlink r:id="rId15" w:history="1">
        <w:r w:rsidRPr="00436275">
          <w:rPr>
            <w:rFonts w:eastAsia="Times New Roman" w:cs="Arial"/>
            <w:snapToGrid/>
            <w:color w:val="0000FF"/>
            <w:szCs w:val="22"/>
            <w:u w:val="single"/>
            <w:lang w:eastAsia="en-US"/>
          </w:rPr>
          <w:t>IOC/GE-CD-V/3</w:t>
        </w:r>
      </w:hyperlink>
      <w:r w:rsidRPr="00436275">
        <w:rPr>
          <w:rFonts w:eastAsia="Times New Roman" w:cs="Arial"/>
          <w:snapToGrid/>
          <w:szCs w:val="22"/>
          <w:lang w:eastAsia="en-US"/>
        </w:rPr>
        <w:t>), qui s’est tenue du 27 au 29</w:t>
      </w:r>
      <w:r w:rsidR="00B11A91">
        <w:rPr>
          <w:rFonts w:eastAsia="Times New Roman" w:cs="Arial"/>
          <w:snapToGrid/>
          <w:szCs w:val="22"/>
          <w:lang w:eastAsia="en-US"/>
        </w:rPr>
        <w:t> </w:t>
      </w:r>
      <w:r w:rsidRPr="00436275">
        <w:rPr>
          <w:rFonts w:eastAsia="Times New Roman" w:cs="Arial"/>
          <w:snapToGrid/>
          <w:szCs w:val="22"/>
          <w:lang w:eastAsia="en-US"/>
        </w:rPr>
        <w:t xml:space="preserve">février 2024, a été l’occasion d’évaluer les travaux du Groupe et ses résultats à l’appui de l’unité du Secrétariat de la COI chargée du renforcement des capacités. Outre la révision de la Stratégie de la COI pour le développement des capacités, le Groupe aide au développement des projets Ocean </w:t>
      </w:r>
      <w:proofErr w:type="spellStart"/>
      <w:r w:rsidRPr="00436275">
        <w:rPr>
          <w:rFonts w:eastAsia="Times New Roman" w:cs="Arial"/>
          <w:snapToGrid/>
          <w:szCs w:val="22"/>
          <w:lang w:eastAsia="en-US"/>
        </w:rPr>
        <w:t>InfoHub</w:t>
      </w:r>
      <w:proofErr w:type="spellEnd"/>
      <w:r w:rsidRPr="00436275">
        <w:rPr>
          <w:rFonts w:eastAsia="Times New Roman" w:cs="Arial"/>
          <w:snapToGrid/>
          <w:szCs w:val="22"/>
          <w:lang w:eastAsia="en-US"/>
        </w:rPr>
        <w:t xml:space="preserve"> et Ocean CD-Hub et </w:t>
      </w:r>
      <w:proofErr w:type="gramStart"/>
      <w:r w:rsidRPr="00436275">
        <w:rPr>
          <w:rFonts w:eastAsia="Times New Roman" w:cs="Arial"/>
          <w:snapToGrid/>
          <w:szCs w:val="22"/>
          <w:lang w:eastAsia="en-US"/>
        </w:rPr>
        <w:t>donne</w:t>
      </w:r>
      <w:proofErr w:type="gramEnd"/>
      <w:r w:rsidRPr="00436275">
        <w:rPr>
          <w:rFonts w:eastAsia="Times New Roman" w:cs="Arial"/>
          <w:snapToGrid/>
          <w:szCs w:val="22"/>
          <w:lang w:eastAsia="en-US"/>
        </w:rPr>
        <w:t xml:space="preserve"> des conseils sur la conception et le suivi de l’enquête biennale d’évaluation des besoins en matière de renforcement des capacités (2018, 2020, 2023). Dans le cadre de la Décennie des Nations</w:t>
      </w:r>
      <w:r w:rsidR="00B11A91">
        <w:rPr>
          <w:rFonts w:eastAsia="Times New Roman" w:cs="Arial"/>
          <w:snapToGrid/>
          <w:szCs w:val="22"/>
          <w:lang w:eastAsia="en-US"/>
        </w:rPr>
        <w:t> </w:t>
      </w:r>
      <w:r w:rsidRPr="00436275">
        <w:rPr>
          <w:rFonts w:eastAsia="Times New Roman" w:cs="Arial"/>
          <w:snapToGrid/>
          <w:szCs w:val="22"/>
          <w:lang w:eastAsia="en-US"/>
        </w:rPr>
        <w:t xml:space="preserve">Unies pour les sciences océaniques au service du développement durable (2021-2030), le Groupe d’experts est consulté en ce qui concerne la mise en œuvre du dispositif de développement des capacités (CDF) de la Décennie de l’Océan, qui instaure une communauté de pratique entre les PMA, les PEID et les jeunes spécialistes des océans dans la région des Caraïbes et de l’Afrique. En outre, le Groupe contribue à l’examen public du </w:t>
      </w:r>
      <w:hyperlink r:id="rId16" w:history="1">
        <w:r w:rsidRPr="00436275">
          <w:rPr>
            <w:rFonts w:eastAsia="Times New Roman" w:cs="Arial"/>
            <w:snapToGrid/>
            <w:color w:val="0000FF"/>
            <w:szCs w:val="22"/>
            <w:u w:val="single"/>
            <w:lang w:eastAsia="en-US"/>
          </w:rPr>
          <w:t>livre blanc sur le défi</w:t>
        </w:r>
        <w:r w:rsidR="00226B0D">
          <w:rPr>
            <w:rFonts w:eastAsia="Times New Roman" w:cs="Arial"/>
            <w:snapToGrid/>
            <w:color w:val="0000FF"/>
            <w:szCs w:val="22"/>
            <w:u w:val="single"/>
            <w:lang w:eastAsia="en-US"/>
          </w:rPr>
          <w:t> </w:t>
        </w:r>
        <w:r w:rsidRPr="00436275">
          <w:rPr>
            <w:rFonts w:eastAsia="Times New Roman" w:cs="Arial"/>
            <w:snapToGrid/>
            <w:color w:val="0000FF"/>
            <w:szCs w:val="22"/>
            <w:u w:val="single"/>
            <w:lang w:eastAsia="en-US"/>
          </w:rPr>
          <w:t>9 de la Décennie de l’Océan</w:t>
        </w:r>
      </w:hyperlink>
      <w:r w:rsidRPr="00436275">
        <w:rPr>
          <w:rFonts w:eastAsia="Times New Roman" w:cs="Arial"/>
          <w:snapToGrid/>
          <w:szCs w:val="22"/>
          <w:lang w:eastAsia="en-US"/>
        </w:rPr>
        <w:t> : Compétences, connaissances et technologies pour tous, présenté lors</w:t>
      </w:r>
      <w:r w:rsidR="00DC4341">
        <w:rPr>
          <w:rFonts w:eastAsia="Times New Roman" w:cs="Arial"/>
          <w:snapToGrid/>
          <w:szCs w:val="22"/>
          <w:lang w:eastAsia="en-US"/>
        </w:rPr>
        <w:t xml:space="preserve"> de</w:t>
      </w:r>
      <w:r w:rsidRPr="00436275">
        <w:rPr>
          <w:rFonts w:eastAsia="Times New Roman" w:cs="Arial"/>
          <w:snapToGrid/>
          <w:szCs w:val="22"/>
          <w:lang w:eastAsia="en-US"/>
        </w:rPr>
        <w:t xml:space="preserve"> l’édition</w:t>
      </w:r>
      <w:r w:rsidR="00B11A91">
        <w:rPr>
          <w:rFonts w:eastAsia="Times New Roman" w:cs="Arial"/>
          <w:snapToGrid/>
          <w:szCs w:val="22"/>
          <w:lang w:eastAsia="en-US"/>
        </w:rPr>
        <w:t> </w:t>
      </w:r>
      <w:r w:rsidRPr="00436275">
        <w:rPr>
          <w:rFonts w:eastAsia="Times New Roman" w:cs="Arial"/>
          <w:snapToGrid/>
          <w:szCs w:val="22"/>
          <w:lang w:eastAsia="en-US"/>
        </w:rPr>
        <w:t>2024 de la Conférence de la Décennie de l’Océan (Barcelone (Espagne), 10-12</w:t>
      </w:r>
      <w:r w:rsidR="00226B0D">
        <w:rPr>
          <w:rFonts w:eastAsia="Times New Roman" w:cs="Arial"/>
          <w:snapToGrid/>
          <w:szCs w:val="22"/>
          <w:lang w:eastAsia="en-US"/>
        </w:rPr>
        <w:t> </w:t>
      </w:r>
      <w:r w:rsidRPr="00436275">
        <w:rPr>
          <w:rFonts w:eastAsia="Times New Roman" w:cs="Arial"/>
          <w:snapToGrid/>
          <w:szCs w:val="22"/>
          <w:lang w:eastAsia="en-US"/>
        </w:rPr>
        <w:t xml:space="preserve">avril 2024). </w:t>
      </w:r>
    </w:p>
    <w:p w14:paraId="0B96E4B5" w14:textId="71B70F33"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lastRenderedPageBreak/>
        <w:t>8.</w:t>
      </w:r>
      <w:r w:rsidRPr="00436275">
        <w:rPr>
          <w:rFonts w:eastAsia="Times New Roman" w:cs="Arial"/>
          <w:snapToGrid/>
          <w:szCs w:val="22"/>
          <w:lang w:eastAsia="en-US"/>
        </w:rPr>
        <w:tab/>
        <w:t>Sur la base de ce contexte, de la nouvelle Stratégie de la COI pour le développement des capacités (2023-2030) et du plan de sensibilisation et de communication correspondant, il est proposé que le Conseil exécutif reconduise le Groupe d’experts sur le développement des capacités avec un mandat révisé pour englober la poursuite des travaux décrits ci-dessus et l’élaboration d’un plan d’exécution de la Stratégie de la COI pour le développement des capacités qui sera présenté à l’Assemblée de la COI à sa 33</w:t>
      </w:r>
      <w:r w:rsidRPr="00436275">
        <w:rPr>
          <w:rFonts w:eastAsia="Times New Roman" w:cs="Arial"/>
          <w:snapToGrid/>
          <w:szCs w:val="22"/>
          <w:vertAlign w:val="superscript"/>
          <w:lang w:eastAsia="en-US"/>
        </w:rPr>
        <w:t>e</w:t>
      </w:r>
      <w:r w:rsidRPr="00436275">
        <w:rPr>
          <w:rFonts w:eastAsia="Times New Roman" w:cs="Arial"/>
          <w:snapToGrid/>
          <w:szCs w:val="22"/>
          <w:lang w:eastAsia="en-US"/>
        </w:rPr>
        <w:t> session, en 2025. De cette manière, les initiatives et les efforts</w:t>
      </w:r>
      <w:r w:rsidR="00B11A91">
        <w:rPr>
          <w:rFonts w:eastAsia="Times New Roman" w:cs="Arial"/>
          <w:snapToGrid/>
          <w:szCs w:val="22"/>
          <w:lang w:eastAsia="en-US"/>
        </w:rPr>
        <w:t> </w:t>
      </w:r>
      <w:r w:rsidRPr="00436275">
        <w:rPr>
          <w:rFonts w:eastAsia="Times New Roman" w:cs="Arial"/>
          <w:snapToGrid/>
          <w:szCs w:val="22"/>
          <w:lang w:eastAsia="en-US"/>
        </w:rPr>
        <w:t>nouveaux et en cours en matière de développement des capacités menés à l’appui des six résultats (comportant 16</w:t>
      </w:r>
      <w:r w:rsidR="00B11A91">
        <w:rPr>
          <w:rFonts w:eastAsia="Times New Roman" w:cs="Arial"/>
          <w:snapToGrid/>
          <w:szCs w:val="22"/>
          <w:lang w:eastAsia="en-US"/>
        </w:rPr>
        <w:t> </w:t>
      </w:r>
      <w:r w:rsidRPr="00436275">
        <w:rPr>
          <w:rFonts w:eastAsia="Times New Roman" w:cs="Arial"/>
          <w:snapToGrid/>
          <w:szCs w:val="22"/>
          <w:lang w:eastAsia="en-US"/>
        </w:rPr>
        <w:t>activités détaillées en 31</w:t>
      </w:r>
      <w:r w:rsidR="00B11A91">
        <w:rPr>
          <w:rFonts w:eastAsia="Times New Roman" w:cs="Arial"/>
          <w:snapToGrid/>
          <w:szCs w:val="22"/>
          <w:lang w:eastAsia="en-US"/>
        </w:rPr>
        <w:t> </w:t>
      </w:r>
      <w:r w:rsidRPr="00436275">
        <w:rPr>
          <w:rFonts w:eastAsia="Times New Roman" w:cs="Arial"/>
          <w:snapToGrid/>
          <w:szCs w:val="22"/>
          <w:lang w:eastAsia="en-US"/>
        </w:rPr>
        <w:t>actions) de la nouvelle Stratégie de la COI continueront à</w:t>
      </w:r>
      <w:r w:rsidR="00B11A91">
        <w:rPr>
          <w:rFonts w:eastAsia="Times New Roman" w:cs="Arial"/>
          <w:snapToGrid/>
          <w:szCs w:val="22"/>
          <w:lang w:eastAsia="en-US"/>
        </w:rPr>
        <w:t> </w:t>
      </w:r>
      <w:r w:rsidRPr="00436275">
        <w:rPr>
          <w:rFonts w:eastAsia="Times New Roman" w:cs="Arial"/>
          <w:snapToGrid/>
          <w:szCs w:val="22"/>
          <w:lang w:eastAsia="en-US"/>
        </w:rPr>
        <w:t>bénéficier de l’action du Groupe d’experts consistant à informer l’unité chargée du développement des capacités et, le cas échéant, à l’aider à mettre en œuvre les activités de la COI dans ce domaine.</w:t>
      </w:r>
    </w:p>
    <w:p w14:paraId="36D0B8B0" w14:textId="77777777"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9.</w:t>
      </w:r>
      <w:r w:rsidRPr="00436275">
        <w:rPr>
          <w:rFonts w:eastAsia="Times New Roman" w:cs="Arial"/>
          <w:snapToGrid/>
          <w:szCs w:val="22"/>
          <w:lang w:eastAsia="en-US"/>
        </w:rPr>
        <w:tab/>
        <w:t xml:space="preserve">À sa cinquième réunion, le Groupe d’experts sur le développement des capacités a proposé un mandat révisé conformément aux exigences de la nouvelle Stratégie de la COI pour le développement des capacités (2023-2030), en tenant compte des consultations avec les programmes mondiaux et les organes subsidiaires régionaux concernant leurs plans de travail régionaux en matière de développement des capacités. </w:t>
      </w:r>
    </w:p>
    <w:p w14:paraId="004A15FA" w14:textId="77777777"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10.</w:t>
      </w:r>
      <w:r w:rsidRPr="00436275">
        <w:rPr>
          <w:rFonts w:eastAsia="Times New Roman" w:cs="Arial"/>
          <w:snapToGrid/>
          <w:szCs w:val="22"/>
          <w:lang w:eastAsia="en-US"/>
        </w:rPr>
        <w:tab/>
        <w:t xml:space="preserve">Le mandat révisé du Groupe d’experts est présenté au Conseil exécutif dans le projet de décision EC-57/4.6 du Document relatif aux décisions à adopter au cours de sa session. </w:t>
      </w:r>
    </w:p>
    <w:p w14:paraId="3539C9B9" w14:textId="77777777"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11.</w:t>
      </w:r>
      <w:r w:rsidRPr="00436275">
        <w:rPr>
          <w:rFonts w:eastAsia="Times New Roman" w:cs="Arial"/>
          <w:snapToGrid/>
          <w:szCs w:val="22"/>
          <w:lang w:eastAsia="en-US"/>
        </w:rPr>
        <w:tab/>
        <w:t xml:space="preserve">Le Groupe d’experts en exercice cessera ses activités dès que le Conseil exécutif aura approuvé le mandat révisé du Groupe : les États membres seront donc invités à désigner des candidats appropriés pour composer le Groupe et à communiquer les renseignements les concernant, dont un CV actualisé, accompagné d’une brève biographie présentant leur expérience et leur expertise en matière de développement des capacités. </w:t>
      </w:r>
    </w:p>
    <w:p w14:paraId="04FC9701" w14:textId="53048AB1"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12.</w:t>
      </w:r>
      <w:r w:rsidRPr="00436275">
        <w:rPr>
          <w:rFonts w:eastAsia="Times New Roman" w:cs="Arial"/>
          <w:snapToGrid/>
          <w:szCs w:val="22"/>
          <w:lang w:eastAsia="en-US"/>
        </w:rPr>
        <w:tab/>
        <w:t>Les membres actuels du Groupe d’experts qui souhaiteraient continuer à en faire partie devront également suivre le processus de candidature et être à nouveau désignés par leur gouvernement respectif. L’appel à candidature sera ouvert jusqu’à la fin du mois de juillet</w:t>
      </w:r>
      <w:r w:rsidR="00B11A91">
        <w:rPr>
          <w:rFonts w:eastAsia="Times New Roman" w:cs="Arial"/>
          <w:snapToGrid/>
          <w:szCs w:val="22"/>
          <w:lang w:eastAsia="en-US"/>
        </w:rPr>
        <w:t> </w:t>
      </w:r>
      <w:r w:rsidRPr="00436275">
        <w:rPr>
          <w:rFonts w:eastAsia="Times New Roman" w:cs="Arial"/>
          <w:snapToGrid/>
          <w:szCs w:val="22"/>
          <w:lang w:eastAsia="en-US"/>
        </w:rPr>
        <w:t>2024, puis la liste des experts sélectionnés sera soumise à l’approbation du Secrétaire exécutif, idéalement en août</w:t>
      </w:r>
      <w:r w:rsidR="00B11A91">
        <w:rPr>
          <w:rFonts w:eastAsia="Times New Roman" w:cs="Arial"/>
          <w:snapToGrid/>
          <w:szCs w:val="22"/>
          <w:lang w:eastAsia="en-US"/>
        </w:rPr>
        <w:t> </w:t>
      </w:r>
      <w:r w:rsidRPr="00436275">
        <w:rPr>
          <w:rFonts w:eastAsia="Times New Roman" w:cs="Arial"/>
          <w:snapToGrid/>
          <w:szCs w:val="22"/>
          <w:lang w:eastAsia="en-US"/>
        </w:rPr>
        <w:t xml:space="preserve">2024, afin que le nouveau groupe débute ses travaux en septembre 2024. </w:t>
      </w:r>
    </w:p>
    <w:p w14:paraId="6939A63A" w14:textId="519933A7" w:rsidR="00436275" w:rsidRPr="00527CA2" w:rsidRDefault="00436275" w:rsidP="00B11A91">
      <w:pPr>
        <w:tabs>
          <w:tab w:val="clear" w:pos="567"/>
        </w:tabs>
        <w:snapToGrid/>
        <w:spacing w:after="220"/>
        <w:jc w:val="both"/>
        <w:rPr>
          <w:rFonts w:cs="Arial"/>
          <w:szCs w:val="22"/>
          <w:lang w:eastAsia="en-US"/>
        </w:rPr>
      </w:pPr>
      <w:bookmarkStart w:id="2" w:name="_Toc163216999"/>
      <w:r w:rsidRPr="00436275">
        <w:rPr>
          <w:rFonts w:eastAsia="Times New Roman" w:cs="Arial"/>
          <w:b/>
          <w:bCs/>
          <w:snapToGrid/>
          <w:szCs w:val="22"/>
          <w:lang w:eastAsia="en-US"/>
        </w:rPr>
        <w:t>Mesures à prendre en vue de la 33</w:t>
      </w:r>
      <w:r w:rsidRPr="00436275">
        <w:rPr>
          <w:rFonts w:eastAsia="Times New Roman" w:cs="Arial"/>
          <w:b/>
          <w:bCs/>
          <w:snapToGrid/>
          <w:szCs w:val="22"/>
          <w:vertAlign w:val="superscript"/>
          <w:lang w:eastAsia="en-US"/>
        </w:rPr>
        <w:t>e</w:t>
      </w:r>
      <w:r w:rsidR="00B11A91">
        <w:rPr>
          <w:rFonts w:eastAsia="Times New Roman" w:cs="Arial"/>
          <w:b/>
          <w:bCs/>
          <w:snapToGrid/>
          <w:szCs w:val="22"/>
          <w:lang w:eastAsia="en-US"/>
        </w:rPr>
        <w:t> </w:t>
      </w:r>
      <w:r w:rsidRPr="00436275">
        <w:rPr>
          <w:rFonts w:eastAsia="Times New Roman" w:cs="Arial"/>
          <w:b/>
          <w:bCs/>
          <w:snapToGrid/>
          <w:szCs w:val="22"/>
          <w:lang w:eastAsia="en-US"/>
        </w:rPr>
        <w:t>session de l’Assemblée de la COI</w:t>
      </w:r>
      <w:bookmarkEnd w:id="2"/>
    </w:p>
    <w:p w14:paraId="63AAE6FE" w14:textId="4F0A43CC"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13.</w:t>
      </w:r>
      <w:r w:rsidRPr="00436275">
        <w:rPr>
          <w:rFonts w:eastAsia="Times New Roman" w:cs="Arial"/>
          <w:snapToGrid/>
          <w:szCs w:val="22"/>
          <w:lang w:eastAsia="en-US"/>
        </w:rPr>
        <w:tab/>
        <w:t>À la cinquième réunion du Groupe d’experts sur le développement des capacités, l’ensemble des programmes mondiaux et des sous-commissions régionales ont été priés de fournir des informations sur la manière dont ils envisageaient de donner suite aux six résultats escomptés de la Stratégie de la COI pour le développement des capacités en fonction de leurs priorités et de leurs besoins régionaux spécifiques. Le Groupe a recommandé que les programmes mondiaux et régionaux envisagent d’effectuer un état des lieux permettant d’élaborer des plans de travail régionaux en matière de développement des capacités qui seraient examinés à la prochaine réunion du Groupe d’experts, si le Conseil en décide ainsi, en vue de leur soumission à l’Assemblée de la</w:t>
      </w:r>
      <w:r w:rsidR="00B11A91">
        <w:rPr>
          <w:rFonts w:eastAsia="Times New Roman" w:cs="Arial"/>
          <w:snapToGrid/>
          <w:szCs w:val="22"/>
          <w:lang w:eastAsia="en-US"/>
        </w:rPr>
        <w:t> </w:t>
      </w:r>
      <w:r w:rsidRPr="00436275">
        <w:rPr>
          <w:rFonts w:eastAsia="Times New Roman" w:cs="Arial"/>
          <w:snapToGrid/>
          <w:szCs w:val="22"/>
          <w:lang w:eastAsia="en-US"/>
        </w:rPr>
        <w:t>COI à sa 33</w:t>
      </w:r>
      <w:r w:rsidRPr="00436275">
        <w:rPr>
          <w:rFonts w:eastAsia="Times New Roman" w:cs="Arial"/>
          <w:snapToGrid/>
          <w:szCs w:val="22"/>
          <w:vertAlign w:val="superscript"/>
          <w:lang w:eastAsia="en-US"/>
        </w:rPr>
        <w:t>e</w:t>
      </w:r>
      <w:r w:rsidRPr="00436275">
        <w:rPr>
          <w:rFonts w:eastAsia="Times New Roman" w:cs="Arial"/>
          <w:snapToGrid/>
          <w:szCs w:val="22"/>
          <w:lang w:eastAsia="en-US"/>
        </w:rPr>
        <w:t> session, en juin 2025.</w:t>
      </w:r>
    </w:p>
    <w:p w14:paraId="2E6C9C01" w14:textId="0AA6BE3B" w:rsidR="00436275" w:rsidRPr="00527CA2" w:rsidRDefault="00436275" w:rsidP="00B11A91">
      <w:pPr>
        <w:tabs>
          <w:tab w:val="clear" w:pos="567"/>
        </w:tabs>
        <w:snapToGrid/>
        <w:spacing w:after="220"/>
        <w:jc w:val="both"/>
        <w:rPr>
          <w:rFonts w:eastAsia="Times New Roman" w:cs="Arial"/>
          <w:snapToGrid/>
          <w:szCs w:val="22"/>
          <w:lang w:eastAsia="en-US"/>
        </w:rPr>
      </w:pPr>
      <w:r w:rsidRPr="00436275">
        <w:rPr>
          <w:rFonts w:eastAsia="Times New Roman" w:cs="Arial"/>
          <w:snapToGrid/>
          <w:szCs w:val="22"/>
          <w:lang w:eastAsia="en-US"/>
        </w:rPr>
        <w:t>14.</w:t>
      </w:r>
      <w:r w:rsidRPr="00436275">
        <w:rPr>
          <w:rFonts w:eastAsia="Times New Roman" w:cs="Arial"/>
          <w:snapToGrid/>
          <w:szCs w:val="22"/>
          <w:lang w:eastAsia="en-US"/>
        </w:rPr>
        <w:tab/>
        <w:t>Les plans de travail en matière de développement des capacités des programmes mondiaux et des sous-commissions régionales ont été élaborés lors de réunions conjointes avec les programmes mondiaux et les organes subsidiaires régionaux au cours du premier semestre</w:t>
      </w:r>
      <w:r w:rsidR="00B11A91">
        <w:rPr>
          <w:rFonts w:eastAsia="Times New Roman" w:cs="Arial"/>
          <w:snapToGrid/>
          <w:szCs w:val="22"/>
          <w:lang w:eastAsia="en-US"/>
        </w:rPr>
        <w:t> </w:t>
      </w:r>
      <w:r w:rsidRPr="00436275">
        <w:rPr>
          <w:rFonts w:eastAsia="Times New Roman" w:cs="Arial"/>
          <w:snapToGrid/>
          <w:szCs w:val="22"/>
          <w:lang w:eastAsia="en-US"/>
        </w:rPr>
        <w:t>2024. Les éléments relatifs au développement des capacités de leurs plans de travail sont présentés dans une matrice et mis en correspondance avec les résultats escomptés de la Stratégie de la COI pour le développement des capacités (2023-2030).</w:t>
      </w:r>
    </w:p>
    <w:p w14:paraId="17A9A443" w14:textId="77777777" w:rsidR="00436275" w:rsidRPr="00527CA2" w:rsidRDefault="00436275" w:rsidP="00B11A91">
      <w:pPr>
        <w:tabs>
          <w:tab w:val="clear" w:pos="567"/>
        </w:tabs>
        <w:snapToGrid/>
        <w:spacing w:after="120"/>
        <w:jc w:val="both"/>
        <w:rPr>
          <w:rFonts w:eastAsia="Times New Roman" w:cs="Arial"/>
          <w:bCs/>
          <w:snapToGrid/>
          <w:szCs w:val="22"/>
          <w:lang w:eastAsia="en-US"/>
        </w:rPr>
      </w:pPr>
      <w:r w:rsidRPr="00436275">
        <w:rPr>
          <w:rFonts w:eastAsia="Times New Roman" w:cs="Arial"/>
          <w:snapToGrid/>
          <w:szCs w:val="22"/>
          <w:lang w:eastAsia="en-US"/>
        </w:rPr>
        <w:t>15.</w:t>
      </w:r>
      <w:r w:rsidRPr="00436275">
        <w:rPr>
          <w:rFonts w:eastAsia="Times New Roman" w:cs="Arial"/>
          <w:snapToGrid/>
          <w:szCs w:val="22"/>
          <w:lang w:eastAsia="en-US"/>
        </w:rPr>
        <w:tab/>
        <w:t xml:space="preserve">L’utilisation de la matrice permettra d’identifier les lacunes lorsqu’il n’est pas donné suite, pour le moment, à un résultat, à une activité ou à une action, et d’identifier les efforts et les besoins en ressources correspondants pour combler ces lacunes. Cela permettra de déterminer dans quels domaines une assistance et des orientations seront le plus nécessaire et le plus utile, ce qui pourra ensuite orienter l’élaboration de propositions de projets et d’autres initiatives nouvelles avec l’aide </w:t>
      </w:r>
      <w:r w:rsidRPr="00436275">
        <w:rPr>
          <w:rFonts w:eastAsia="Times New Roman" w:cs="Arial"/>
          <w:snapToGrid/>
          <w:szCs w:val="22"/>
          <w:lang w:eastAsia="en-US"/>
        </w:rPr>
        <w:lastRenderedPageBreak/>
        <w:t>de l’unité du Secrétariat de la COI chargée du développement des capacités, en vue de les soumettre aux donateurs intéressés.</w:t>
      </w:r>
      <w:bookmarkEnd w:id="1"/>
    </w:p>
    <w:sectPr w:rsidR="00436275" w:rsidRPr="00527CA2" w:rsidSect="00727624">
      <w:headerReference w:type="even" r:id="rId17"/>
      <w:headerReference w:type="default" r:id="rId18"/>
      <w:headerReference w:type="first" r:id="rId19"/>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EA90" w14:textId="77777777" w:rsidR="00727624" w:rsidRDefault="00727624">
      <w:r>
        <w:separator/>
      </w:r>
    </w:p>
  </w:endnote>
  <w:endnote w:type="continuationSeparator" w:id="0">
    <w:p w14:paraId="1477442E" w14:textId="77777777" w:rsidR="00727624" w:rsidRDefault="0072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E32F" w14:textId="77777777" w:rsidR="00727624" w:rsidRDefault="00727624">
      <w:r>
        <w:separator/>
      </w:r>
    </w:p>
  </w:footnote>
  <w:footnote w:type="continuationSeparator" w:id="0">
    <w:p w14:paraId="6DDE36FF" w14:textId="77777777" w:rsidR="00727624" w:rsidRDefault="0072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7411A54B" w:rsidR="00755CED" w:rsidRPr="00B11A91" w:rsidRDefault="003F3C42" w:rsidP="00B11A91">
    <w:pPr>
      <w:pStyle w:val="Header"/>
      <w:spacing w:after="240"/>
      <w:rPr>
        <w:rFonts w:cs="Arial"/>
        <w:bCs/>
        <w:szCs w:val="22"/>
      </w:rPr>
    </w:pPr>
    <w:r w:rsidRPr="00352423">
      <w:rPr>
        <w:rFonts w:cs="Arial"/>
        <w:bCs/>
        <w:szCs w:val="22"/>
      </w:rPr>
      <w:t>IOC/EC-5</w:t>
    </w:r>
    <w:r w:rsidR="00F60534">
      <w:rPr>
        <w:rFonts w:cs="Arial"/>
        <w:bCs/>
        <w:szCs w:val="22"/>
      </w:rPr>
      <w:t>7</w:t>
    </w:r>
    <w:r w:rsidRPr="00352423">
      <w:rPr>
        <w:rFonts w:cs="Arial"/>
        <w:bCs/>
        <w:szCs w:val="22"/>
      </w:rPr>
      <w:t>/</w:t>
    </w:r>
    <w:r w:rsidR="00562336">
      <w:rPr>
        <w:rFonts w:cs="Arial"/>
        <w:bCs/>
        <w:szCs w:val="22"/>
      </w:rPr>
      <w:t>4</w:t>
    </w:r>
    <w:r w:rsidRPr="00352423">
      <w:rPr>
        <w:rFonts w:cs="Arial"/>
        <w:bCs/>
        <w:szCs w:val="22"/>
      </w:rPr>
      <w:t>.</w:t>
    </w:r>
    <w:proofErr w:type="gramStart"/>
    <w:r w:rsidR="00562336">
      <w:rPr>
        <w:rFonts w:cs="Arial"/>
        <w:bCs/>
        <w:szCs w:val="22"/>
      </w:rPr>
      <w:t>6</w:t>
    </w:r>
    <w:r>
      <w:rPr>
        <w:rFonts w:cs="Arial"/>
        <w:bCs/>
        <w:szCs w:val="22"/>
      </w:rPr>
      <w:t>.</w:t>
    </w:r>
    <w:r w:rsidRPr="00352423">
      <w:rPr>
        <w:rFonts w:cs="Arial"/>
        <w:bCs/>
        <w:szCs w:val="22"/>
      </w:rPr>
      <w:t>Doc</w:t>
    </w:r>
    <w:proofErr w:type="gramEnd"/>
    <w:r w:rsidR="00562336">
      <w:rPr>
        <w:rFonts w:cs="Arial"/>
        <w:bCs/>
        <w:szCs w:val="22"/>
      </w:rPr>
      <w:t>(1)</w:t>
    </w:r>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2F4629ED" w:rsidR="00755CED" w:rsidRPr="00562336" w:rsidRDefault="00562336" w:rsidP="00562336">
    <w:pPr>
      <w:pStyle w:val="Header"/>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proofErr w:type="gramStart"/>
    <w:r>
      <w:rPr>
        <w:rFonts w:cs="Arial"/>
        <w:bCs/>
        <w:szCs w:val="22"/>
      </w:rPr>
      <w:t>6.</w:t>
    </w:r>
    <w:r w:rsidRPr="00352423">
      <w:rPr>
        <w:rFonts w:cs="Arial"/>
        <w:bCs/>
        <w:szCs w:val="22"/>
      </w:rPr>
      <w:t>Doc</w:t>
    </w:r>
    <w:proofErr w:type="gramEnd"/>
    <w:r>
      <w:rPr>
        <w:rFonts w:cs="Arial"/>
        <w:bCs/>
        <w:szCs w:val="22"/>
      </w:rPr>
      <w:t>(1)</w:t>
    </w:r>
    <w:r w:rsidRPr="00FF54F5">
      <w:rPr>
        <w:rFonts w:cs="Arial"/>
        <w:bCs/>
        <w:szCs w:val="22"/>
      </w:rPr>
      <w:t xml:space="preserve"> – page </w:t>
    </w:r>
    <w:sdt>
      <w:sdtPr>
        <w:rPr>
          <w:rFonts w:cs="Arial"/>
          <w:bCs/>
          <w:szCs w:val="22"/>
        </w:rPr>
        <w:id w:val="-57473948"/>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74D62C4C" w:rsidR="00EB3895" w:rsidRDefault="00562336">
    <w:pPr>
      <w:pStyle w:val="Header"/>
    </w:pPr>
    <w:r>
      <w:rPr>
        <w:noProof/>
      </w:rPr>
      <mc:AlternateContent>
        <mc:Choice Requires="wps">
          <w:drawing>
            <wp:anchor distT="45720" distB="45720" distL="114300" distR="114300" simplePos="0" relativeHeight="251661312" behindDoc="0" locked="0" layoutInCell="1" allowOverlap="1" wp14:anchorId="695F0820" wp14:editId="3E401BEA">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6C6242B4" w14:textId="3DBF7BC0" w:rsidR="00EB3895" w:rsidRPr="002A5D14" w:rsidRDefault="00EB3895" w:rsidP="00EB3895">
                          <w:pPr>
                            <w:pStyle w:val="Marge"/>
                            <w:tabs>
                              <w:tab w:val="left" w:pos="6237"/>
                              <w:tab w:val="left" w:pos="7088"/>
                            </w:tabs>
                            <w:spacing w:after="0"/>
                            <w:rPr>
                              <w:rFonts w:cs="Arial"/>
                              <w:b/>
                              <w:sz w:val="36"/>
                              <w:szCs w:val="36"/>
                            </w:rPr>
                          </w:pPr>
                          <w:bookmarkStart w:id="3"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62336">
                            <w:rPr>
                              <w:rFonts w:cs="Arial"/>
                              <w:b/>
                              <w:sz w:val="36"/>
                              <w:szCs w:val="36"/>
                            </w:rPr>
                            <w:t>4</w:t>
                          </w:r>
                          <w:r w:rsidRPr="002A5D14">
                            <w:rPr>
                              <w:rFonts w:cs="Arial"/>
                              <w:b/>
                              <w:sz w:val="36"/>
                              <w:szCs w:val="36"/>
                            </w:rPr>
                            <w:t>.</w:t>
                          </w:r>
                          <w:proofErr w:type="gramStart"/>
                          <w:r w:rsidR="00562336">
                            <w:rPr>
                              <w:rFonts w:cs="Arial"/>
                              <w:b/>
                              <w:sz w:val="36"/>
                              <w:szCs w:val="36"/>
                            </w:rPr>
                            <w:t>6</w:t>
                          </w:r>
                          <w:r w:rsidRPr="002A5D14">
                            <w:rPr>
                              <w:rFonts w:cs="Arial"/>
                              <w:b/>
                              <w:sz w:val="36"/>
                              <w:szCs w:val="36"/>
                            </w:rPr>
                            <w:t>.Doc</w:t>
                          </w:r>
                          <w:bookmarkEnd w:id="3"/>
                          <w:proofErr w:type="gramEnd"/>
                          <w:r w:rsidR="00562336">
                            <w:rPr>
                              <w:rFonts w:cs="Arial"/>
                              <w:b/>
                              <w:sz w:val="36"/>
                              <w:szCs w:val="36"/>
                            </w:rPr>
                            <w:t>(1)</w:t>
                          </w:r>
                        </w:p>
                        <w:p w14:paraId="10A5E3DC" w14:textId="0EFCB0EC"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36275">
                            <w:rPr>
                              <w:rFonts w:cs="Arial"/>
                              <w:szCs w:val="22"/>
                            </w:rPr>
                            <w:t>9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6C6242B4" w14:textId="3DBF7BC0" w:rsidR="00EB3895" w:rsidRPr="002A5D14" w:rsidRDefault="00EB3895" w:rsidP="00EB3895">
                    <w:pPr>
                      <w:pStyle w:val="Marge"/>
                      <w:tabs>
                        <w:tab w:val="left" w:pos="6237"/>
                        <w:tab w:val="left" w:pos="7088"/>
                      </w:tabs>
                      <w:spacing w:after="0"/>
                      <w:rPr>
                        <w:rFonts w:cs="Arial"/>
                        <w:b/>
                        <w:sz w:val="36"/>
                        <w:szCs w:val="36"/>
                      </w:rPr>
                    </w:pPr>
                    <w:bookmarkStart w:id="4"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62336">
                      <w:rPr>
                        <w:rFonts w:cs="Arial"/>
                        <w:b/>
                        <w:sz w:val="36"/>
                        <w:szCs w:val="36"/>
                      </w:rPr>
                      <w:t>4</w:t>
                    </w:r>
                    <w:r w:rsidRPr="002A5D14">
                      <w:rPr>
                        <w:rFonts w:cs="Arial"/>
                        <w:b/>
                        <w:sz w:val="36"/>
                        <w:szCs w:val="36"/>
                      </w:rPr>
                      <w:t>.</w:t>
                    </w:r>
                    <w:r w:rsidR="00562336">
                      <w:rPr>
                        <w:rFonts w:cs="Arial"/>
                        <w:b/>
                        <w:sz w:val="36"/>
                        <w:szCs w:val="36"/>
                      </w:rPr>
                      <w:t>6</w:t>
                    </w:r>
                    <w:r w:rsidRPr="002A5D14">
                      <w:rPr>
                        <w:rFonts w:cs="Arial"/>
                        <w:b/>
                        <w:sz w:val="36"/>
                        <w:szCs w:val="36"/>
                      </w:rPr>
                      <w:t>.Doc</w:t>
                    </w:r>
                    <w:bookmarkEnd w:id="4"/>
                    <w:r w:rsidR="00562336">
                      <w:rPr>
                        <w:rFonts w:cs="Arial"/>
                        <w:b/>
                        <w:sz w:val="36"/>
                        <w:szCs w:val="36"/>
                      </w:rPr>
                      <w:t>(1)</w:t>
                    </w:r>
                  </w:p>
                  <w:p w14:paraId="10A5E3DC" w14:textId="0EFCB0EC"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36275">
                      <w:rPr>
                        <w:rFonts w:cs="Arial"/>
                        <w:szCs w:val="22"/>
                      </w:rPr>
                      <w:t>9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074C1DB4">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7"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4"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679115">
    <w:abstractNumId w:val="8"/>
  </w:num>
  <w:num w:numId="2" w16cid:durableId="1912617826">
    <w:abstractNumId w:val="8"/>
  </w:num>
  <w:num w:numId="3" w16cid:durableId="1882814434">
    <w:abstractNumId w:val="5"/>
  </w:num>
  <w:num w:numId="4" w16cid:durableId="855845934">
    <w:abstractNumId w:val="18"/>
  </w:num>
  <w:num w:numId="5" w16cid:durableId="1469274244">
    <w:abstractNumId w:val="10"/>
  </w:num>
  <w:num w:numId="6" w16cid:durableId="1110856358">
    <w:abstractNumId w:val="12"/>
  </w:num>
  <w:num w:numId="7" w16cid:durableId="1678538405">
    <w:abstractNumId w:val="22"/>
  </w:num>
  <w:num w:numId="8" w16cid:durableId="1203321601">
    <w:abstractNumId w:val="17"/>
  </w:num>
  <w:num w:numId="9" w16cid:durableId="482090277">
    <w:abstractNumId w:val="5"/>
  </w:num>
  <w:num w:numId="10" w16cid:durableId="750273364">
    <w:abstractNumId w:val="5"/>
  </w:num>
  <w:num w:numId="11" w16cid:durableId="135606834">
    <w:abstractNumId w:val="5"/>
  </w:num>
  <w:num w:numId="12" w16cid:durableId="477651858">
    <w:abstractNumId w:val="5"/>
  </w:num>
  <w:num w:numId="13" w16cid:durableId="454371606">
    <w:abstractNumId w:val="14"/>
  </w:num>
  <w:num w:numId="14" w16cid:durableId="41638138">
    <w:abstractNumId w:val="1"/>
  </w:num>
  <w:num w:numId="15" w16cid:durableId="1048645409">
    <w:abstractNumId w:val="13"/>
  </w:num>
  <w:num w:numId="16" w16cid:durableId="585189556">
    <w:abstractNumId w:val="5"/>
  </w:num>
  <w:num w:numId="17" w16cid:durableId="831026069">
    <w:abstractNumId w:val="2"/>
  </w:num>
  <w:num w:numId="18" w16cid:durableId="2123071220">
    <w:abstractNumId w:val="5"/>
  </w:num>
  <w:num w:numId="19" w16cid:durableId="1803887249">
    <w:abstractNumId w:val="0"/>
  </w:num>
  <w:num w:numId="20" w16cid:durableId="251355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26909">
    <w:abstractNumId w:val="16"/>
  </w:num>
  <w:num w:numId="22" w16cid:durableId="1707096208">
    <w:abstractNumId w:val="6"/>
  </w:num>
  <w:num w:numId="23" w16cid:durableId="6564277">
    <w:abstractNumId w:val="24"/>
  </w:num>
  <w:num w:numId="24" w16cid:durableId="247009484">
    <w:abstractNumId w:val="3"/>
  </w:num>
  <w:num w:numId="25" w16cid:durableId="972752190">
    <w:abstractNumId w:val="20"/>
  </w:num>
  <w:num w:numId="26" w16cid:durableId="304773390">
    <w:abstractNumId w:val="7"/>
  </w:num>
  <w:num w:numId="27" w16cid:durableId="733890571">
    <w:abstractNumId w:val="19"/>
  </w:num>
  <w:num w:numId="28" w16cid:durableId="541597133">
    <w:abstractNumId w:val="11"/>
  </w:num>
  <w:num w:numId="29" w16cid:durableId="2110197955">
    <w:abstractNumId w:val="25"/>
  </w:num>
  <w:num w:numId="30" w16cid:durableId="519009268">
    <w:abstractNumId w:val="15"/>
  </w:num>
  <w:num w:numId="31" w16cid:durableId="1661233601">
    <w:abstractNumId w:val="21"/>
  </w:num>
  <w:num w:numId="32" w16cid:durableId="990329989">
    <w:abstractNumId w:val="9"/>
  </w:num>
  <w:num w:numId="33" w16cid:durableId="1950120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B0E4E"/>
    <w:rsid w:val="000D39FC"/>
    <w:rsid w:val="000D4E4C"/>
    <w:rsid w:val="000E7AEA"/>
    <w:rsid w:val="000F1DBA"/>
    <w:rsid w:val="000F258B"/>
    <w:rsid w:val="00100A35"/>
    <w:rsid w:val="0011081B"/>
    <w:rsid w:val="0011114C"/>
    <w:rsid w:val="0011169E"/>
    <w:rsid w:val="00177B08"/>
    <w:rsid w:val="001912E2"/>
    <w:rsid w:val="001A6E27"/>
    <w:rsid w:val="001C6211"/>
    <w:rsid w:val="001E413E"/>
    <w:rsid w:val="001F1F04"/>
    <w:rsid w:val="001F5D62"/>
    <w:rsid w:val="00201171"/>
    <w:rsid w:val="00213953"/>
    <w:rsid w:val="00226B0D"/>
    <w:rsid w:val="00234C33"/>
    <w:rsid w:val="00261E65"/>
    <w:rsid w:val="002750C1"/>
    <w:rsid w:val="002B4B18"/>
    <w:rsid w:val="002D2C1D"/>
    <w:rsid w:val="002E70A1"/>
    <w:rsid w:val="00310E5D"/>
    <w:rsid w:val="00311ECE"/>
    <w:rsid w:val="003210F7"/>
    <w:rsid w:val="0034355C"/>
    <w:rsid w:val="00346C46"/>
    <w:rsid w:val="003557A8"/>
    <w:rsid w:val="00363D04"/>
    <w:rsid w:val="003829C6"/>
    <w:rsid w:val="00397DEC"/>
    <w:rsid w:val="003B58D6"/>
    <w:rsid w:val="003D46DA"/>
    <w:rsid w:val="003D4875"/>
    <w:rsid w:val="003D675F"/>
    <w:rsid w:val="003E2147"/>
    <w:rsid w:val="003E27AC"/>
    <w:rsid w:val="003F3C42"/>
    <w:rsid w:val="00401C01"/>
    <w:rsid w:val="0041299F"/>
    <w:rsid w:val="00436275"/>
    <w:rsid w:val="004573F3"/>
    <w:rsid w:val="004618DE"/>
    <w:rsid w:val="00463EA2"/>
    <w:rsid w:val="00484032"/>
    <w:rsid w:val="00494C58"/>
    <w:rsid w:val="004A327F"/>
    <w:rsid w:val="004B08C6"/>
    <w:rsid w:val="004C100E"/>
    <w:rsid w:val="004C1526"/>
    <w:rsid w:val="004C1D3F"/>
    <w:rsid w:val="004C3E47"/>
    <w:rsid w:val="004D05D2"/>
    <w:rsid w:val="004D0F08"/>
    <w:rsid w:val="00513180"/>
    <w:rsid w:val="005169D0"/>
    <w:rsid w:val="00527CA2"/>
    <w:rsid w:val="00533732"/>
    <w:rsid w:val="00562336"/>
    <w:rsid w:val="00572AC5"/>
    <w:rsid w:val="00596B7E"/>
    <w:rsid w:val="005B5EF5"/>
    <w:rsid w:val="005D54DD"/>
    <w:rsid w:val="00612922"/>
    <w:rsid w:val="00623957"/>
    <w:rsid w:val="006519AE"/>
    <w:rsid w:val="00655725"/>
    <w:rsid w:val="00673F0C"/>
    <w:rsid w:val="006835E4"/>
    <w:rsid w:val="00695BA3"/>
    <w:rsid w:val="0069684F"/>
    <w:rsid w:val="006A3031"/>
    <w:rsid w:val="006C2C65"/>
    <w:rsid w:val="006D052A"/>
    <w:rsid w:val="006D36DB"/>
    <w:rsid w:val="006D6768"/>
    <w:rsid w:val="006E2A83"/>
    <w:rsid w:val="00727624"/>
    <w:rsid w:val="007449EA"/>
    <w:rsid w:val="00753AFA"/>
    <w:rsid w:val="00755CED"/>
    <w:rsid w:val="0076217F"/>
    <w:rsid w:val="007701CE"/>
    <w:rsid w:val="00773D5C"/>
    <w:rsid w:val="00783CE9"/>
    <w:rsid w:val="007A3E25"/>
    <w:rsid w:val="007A45CC"/>
    <w:rsid w:val="007A49EB"/>
    <w:rsid w:val="007A7EC6"/>
    <w:rsid w:val="007C403E"/>
    <w:rsid w:val="007E6082"/>
    <w:rsid w:val="007F2BA5"/>
    <w:rsid w:val="00814BE9"/>
    <w:rsid w:val="00835BC3"/>
    <w:rsid w:val="0085153D"/>
    <w:rsid w:val="008608E4"/>
    <w:rsid w:val="00863317"/>
    <w:rsid w:val="008735A8"/>
    <w:rsid w:val="00873BED"/>
    <w:rsid w:val="008852E4"/>
    <w:rsid w:val="008A6802"/>
    <w:rsid w:val="008B33AC"/>
    <w:rsid w:val="008C24D0"/>
    <w:rsid w:val="008C3D95"/>
    <w:rsid w:val="008C59A5"/>
    <w:rsid w:val="00902342"/>
    <w:rsid w:val="00904C98"/>
    <w:rsid w:val="009053BE"/>
    <w:rsid w:val="009063B7"/>
    <w:rsid w:val="00907D3B"/>
    <w:rsid w:val="009173FE"/>
    <w:rsid w:val="00920B40"/>
    <w:rsid w:val="00932970"/>
    <w:rsid w:val="00972BBF"/>
    <w:rsid w:val="0098415A"/>
    <w:rsid w:val="009E53F6"/>
    <w:rsid w:val="009E6CEB"/>
    <w:rsid w:val="00A00B63"/>
    <w:rsid w:val="00A23875"/>
    <w:rsid w:val="00A33021"/>
    <w:rsid w:val="00A36041"/>
    <w:rsid w:val="00A70F48"/>
    <w:rsid w:val="00B11A91"/>
    <w:rsid w:val="00B143FE"/>
    <w:rsid w:val="00B243F2"/>
    <w:rsid w:val="00B2519D"/>
    <w:rsid w:val="00B54018"/>
    <w:rsid w:val="00B54421"/>
    <w:rsid w:val="00B557FF"/>
    <w:rsid w:val="00B80382"/>
    <w:rsid w:val="00B872CA"/>
    <w:rsid w:val="00BC1245"/>
    <w:rsid w:val="00BD5A86"/>
    <w:rsid w:val="00BE3F20"/>
    <w:rsid w:val="00BE6632"/>
    <w:rsid w:val="00C05FC8"/>
    <w:rsid w:val="00C108A8"/>
    <w:rsid w:val="00C138E0"/>
    <w:rsid w:val="00C3501E"/>
    <w:rsid w:val="00C41845"/>
    <w:rsid w:val="00C84B6A"/>
    <w:rsid w:val="00C91036"/>
    <w:rsid w:val="00CA1880"/>
    <w:rsid w:val="00CA48CF"/>
    <w:rsid w:val="00CC085D"/>
    <w:rsid w:val="00CC3A67"/>
    <w:rsid w:val="00CC501A"/>
    <w:rsid w:val="00CE5093"/>
    <w:rsid w:val="00CE7C2F"/>
    <w:rsid w:val="00D23B0B"/>
    <w:rsid w:val="00D23EDD"/>
    <w:rsid w:val="00D302AD"/>
    <w:rsid w:val="00D4515E"/>
    <w:rsid w:val="00D86646"/>
    <w:rsid w:val="00DA71B9"/>
    <w:rsid w:val="00DC1F0C"/>
    <w:rsid w:val="00DC4341"/>
    <w:rsid w:val="00DC7F96"/>
    <w:rsid w:val="00DD53BA"/>
    <w:rsid w:val="00DD6E32"/>
    <w:rsid w:val="00DF1829"/>
    <w:rsid w:val="00E174A3"/>
    <w:rsid w:val="00E54757"/>
    <w:rsid w:val="00E55EEC"/>
    <w:rsid w:val="00E5717B"/>
    <w:rsid w:val="00E621C7"/>
    <w:rsid w:val="00E62C51"/>
    <w:rsid w:val="00E65D5E"/>
    <w:rsid w:val="00E71F05"/>
    <w:rsid w:val="00E80CF6"/>
    <w:rsid w:val="00E912CA"/>
    <w:rsid w:val="00EB0EBC"/>
    <w:rsid w:val="00EB3895"/>
    <w:rsid w:val="00ED39E0"/>
    <w:rsid w:val="00F017CE"/>
    <w:rsid w:val="00F04FBD"/>
    <w:rsid w:val="00F077E7"/>
    <w:rsid w:val="00F60534"/>
    <w:rsid w:val="00F90CD8"/>
    <w:rsid w:val="00F92310"/>
    <w:rsid w:val="00F94805"/>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Normal"/>
    <w:next w:val="TableGrid"/>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973" TargetMode="External"/><Relationship Id="rId13" Type="http://schemas.openxmlformats.org/officeDocument/2006/relationships/hyperlink" Target="https://oceanexpert.org/document/325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25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35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541" TargetMode="External"/><Relationship Id="rId5" Type="http://schemas.openxmlformats.org/officeDocument/2006/relationships/webSettings" Target="webSettings.xml"/><Relationship Id="rId15" Type="http://schemas.openxmlformats.org/officeDocument/2006/relationships/hyperlink" Target="https://oceanexpert.org/document/33973" TargetMode="External"/><Relationship Id="rId10" Type="http://schemas.openxmlformats.org/officeDocument/2006/relationships/hyperlink" Target="https://oceanexpert.org/document/2865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67678.locale=en.page=73" TargetMode="External"/><Relationship Id="rId14" Type="http://schemas.openxmlformats.org/officeDocument/2006/relationships/hyperlink" Target="https://oceanexpert.org/document/32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1509</Words>
  <Characters>8672</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4.6 de l'ordre du jour provisoire – Mise en œuvre de la Stratégie de la COI pour le développement des c</vt:lpstr>
    </vt:vector>
  </TitlesOfParts>
  <Company>Unesco</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 4.6 de l'ordre du jour provisoire – Mise en œuvre de la Stratégie de la COI pour le développement des capacités (2023-2030)</dc:title>
  <dc:subject>IOC/EC-57/4.6.Doc(1)</dc:subject>
  <dc:creator>as.machu@unesco.org</dc:creator>
  <cp:keywords>18.12F</cp:keywords>
  <dc:description/>
  <cp:lastModifiedBy>Boned, Patrice</cp:lastModifiedBy>
  <cp:revision>2</cp:revision>
  <cp:lastPrinted>2012-08-02T14:52:00Z</cp:lastPrinted>
  <dcterms:created xsi:type="dcterms:W3CDTF">2024-04-19T08:38:00Z</dcterms:created>
  <dcterms:modified xsi:type="dcterms:W3CDTF">2024-04-19T08:38:00Z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202402706</vt:lpwstr>
  </property>
</Properties>
</file>