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6"/>
      </w:tblGrid>
      <w:tr w:rsidR="00B83068" w:rsidRPr="00C0739D" w14:paraId="4F95A71E" w14:textId="77777777" w:rsidTr="00F84F55">
        <w:trPr>
          <w:jc w:val="center"/>
        </w:trPr>
        <w:tc>
          <w:tcPr>
            <w:tcW w:w="8506" w:type="dxa"/>
            <w:tcMar>
              <w:top w:w="170" w:type="dxa"/>
              <w:left w:w="170" w:type="dxa"/>
              <w:bottom w:w="170" w:type="dxa"/>
              <w:right w:w="170" w:type="dxa"/>
            </w:tcMar>
            <w:vAlign w:val="center"/>
          </w:tcPr>
          <w:p w14:paraId="3D94E858" w14:textId="77777777" w:rsidR="00C94502" w:rsidRPr="00832412" w:rsidRDefault="00C94502" w:rsidP="00C94502">
            <w:pPr>
              <w:pStyle w:val="Marge"/>
              <w:jc w:val="center"/>
              <w:rPr>
                <w:rFonts w:cs="Arial"/>
                <w:szCs w:val="22"/>
                <w:lang w:val="ru-RU"/>
              </w:rPr>
            </w:pPr>
            <w:r>
              <w:rPr>
                <w:u w:val="single"/>
                <w:lang w:val="ru-RU"/>
              </w:rPr>
              <w:t>Резюме</w:t>
            </w:r>
          </w:p>
          <w:p w14:paraId="4430042A" w14:textId="3127903B" w:rsidR="00824A5F" w:rsidRPr="00832412" w:rsidRDefault="00C94502" w:rsidP="00C94502">
            <w:pPr>
              <w:pStyle w:val="Marge"/>
              <w:spacing w:after="120"/>
              <w:rPr>
                <w:lang w:val="ru-RU"/>
              </w:rPr>
            </w:pPr>
            <w:r>
              <w:rPr>
                <w:lang w:val="ru-RU"/>
              </w:rPr>
              <w:t>В настоящем документе содержится призыв к проведению широких консультаций относительно возможностей дальнейшего максимального расширения общественно полезного характера работы МОК и о будущем развитии МОК в направлении производства и эффективного использования необходимых нам научных знаний в интересах океана, каким мы хотим его видеть.</w:t>
            </w:r>
          </w:p>
          <w:p w14:paraId="270A968D" w14:textId="40913B1B" w:rsidR="00C94502" w:rsidRPr="005E350A" w:rsidRDefault="00824A5F" w:rsidP="00C94502">
            <w:pPr>
              <w:pStyle w:val="Marge"/>
              <w:spacing w:after="120"/>
              <w:rPr>
                <w:lang w:val="ru-RU"/>
              </w:rPr>
            </w:pPr>
            <w:r>
              <w:rPr>
                <w:lang w:val="ru-RU"/>
              </w:rPr>
              <w:t xml:space="preserve">Это предложение согласуется со сложившейся в МОК культуре скрупулезного самоанализа и стратегического планирования, а также с работой по привлечению средств. Самым последним свидетельством этого стала проведенная департаментом внутреннего надзора ЮНЕСКО в 2021 г. </w:t>
            </w:r>
            <w:hyperlink r:id="rId8" w:history="1">
              <w:r w:rsidRPr="00832412">
                <w:rPr>
                  <w:rStyle w:val="Hyperlink"/>
                  <w:lang w:val="ru-RU"/>
                </w:rPr>
                <w:t>оценка</w:t>
              </w:r>
            </w:hyperlink>
            <w:r>
              <w:rPr>
                <w:lang w:val="ru-RU"/>
              </w:rPr>
              <w:t xml:space="preserve"> стратегического позиционирования МОК. Проект плана действий </w:t>
            </w:r>
            <w:proofErr w:type="gramStart"/>
            <w:r>
              <w:rPr>
                <w:lang w:val="ru-RU"/>
              </w:rPr>
              <w:t>по выполнению</w:t>
            </w:r>
            <w:proofErr w:type="gramEnd"/>
            <w:r>
              <w:rPr>
                <w:lang w:val="ru-RU"/>
              </w:rPr>
              <w:t xml:space="preserve"> сформулированных по итогам оценки шести рекомендаций будет рассмотрен в рамках пунктов 6.3 и 6.4 повестки дня Ассамблеи. На своей 55-й сессии (Штаб-квартира ЮНЕСКО, Париж, 14-17 июня 2022 г.) Исполнительный совет МОК обсудил вышеупомянутые оценку и план действий и принял решение IOC/EC-55/3.2 и резолюцию IOC/EC-55/2, в которых он просил Исполнительного секретаря подготовить смету бюджетных расходов, включая потребности в кадровых ресурсах для устойчивого осуществления текущих основных программ МОК и координации Десятилетия океана. Эта смета была затем направлена государствам</w:t>
            </w:r>
            <w:r w:rsidR="00EB27A1">
              <w:rPr>
                <w:lang w:val="ru-RU"/>
              </w:rPr>
              <w:t xml:space="preserve"> – </w:t>
            </w:r>
            <w:r>
              <w:rPr>
                <w:lang w:val="ru-RU"/>
              </w:rPr>
              <w:t xml:space="preserve">членам МОК 22 октября 2022 г. циркулярным письмом </w:t>
            </w:r>
            <w:hyperlink r:id="rId9" w:history="1">
              <w:r w:rsidRPr="00832412">
                <w:rPr>
                  <w:rStyle w:val="Hyperlink"/>
                  <w:lang w:val="ru-RU"/>
                </w:rPr>
                <w:t>№ 2912</w:t>
              </w:r>
            </w:hyperlink>
            <w:r>
              <w:rPr>
                <w:lang w:val="ru-RU"/>
              </w:rPr>
              <w:t xml:space="preserve">, она также прилагается к настоящему документу. </w:t>
            </w:r>
          </w:p>
          <w:p w14:paraId="14A257BB" w14:textId="681C1757" w:rsidR="00C94502" w:rsidRPr="00832412" w:rsidRDefault="00EF15F2" w:rsidP="00C94502">
            <w:pPr>
              <w:pStyle w:val="Marge"/>
              <w:spacing w:after="120"/>
              <w:rPr>
                <w:lang w:val="ru-RU"/>
              </w:rPr>
            </w:pPr>
            <w:r>
              <w:rPr>
                <w:lang w:val="ru-RU"/>
              </w:rPr>
              <w:t>Смета вызвала положительную реакцию государств</w:t>
            </w:r>
            <w:r w:rsidR="00EB27A1">
              <w:rPr>
                <w:lang w:val="ru-RU"/>
              </w:rPr>
              <w:t xml:space="preserve"> – </w:t>
            </w:r>
            <w:r>
              <w:rPr>
                <w:lang w:val="ru-RU"/>
              </w:rPr>
              <w:t xml:space="preserve">членов ЮНЕСКО, и Исполнительный совет ЮНЕСКО на своей 216-й сессии в мае 2023 г. принял решение о значительном увеличении бюджета обычной программы МОК. </w:t>
            </w:r>
            <w:proofErr w:type="gramStart"/>
            <w:r>
              <w:rPr>
                <w:lang w:val="ru-RU"/>
              </w:rPr>
              <w:t>Вместе с тем,</w:t>
            </w:r>
            <w:proofErr w:type="gramEnd"/>
            <w:r>
              <w:rPr>
                <w:lang w:val="ru-RU"/>
              </w:rPr>
              <w:t xml:space="preserve"> необходимо продолжать совместную разработку будущей концепции МОК. Ассамблее будет предложено рассмотреть вопрос о проведении новых консультаций по этому вопросу.  </w:t>
            </w:r>
          </w:p>
          <w:p w14:paraId="735644AD" w14:textId="240EB55E" w:rsidR="00737A18" w:rsidRPr="00832412" w:rsidRDefault="00C94502" w:rsidP="00C94502">
            <w:pPr>
              <w:pStyle w:val="Marge"/>
              <w:spacing w:after="120"/>
              <w:rPr>
                <w:rFonts w:cs="Arial"/>
                <w:szCs w:val="22"/>
                <w:lang w:val="ru-RU"/>
              </w:rPr>
            </w:pPr>
            <w:r>
              <w:rPr>
                <w:u w:val="single"/>
                <w:lang w:val="ru-RU"/>
              </w:rPr>
              <w:t>Предлагаемое решение</w:t>
            </w:r>
            <w:r>
              <w:rPr>
                <w:lang w:val="ru-RU"/>
              </w:rPr>
              <w:t>: проект решения содержится в документе о принятых и предлагаемых мерах (IOC-32/AP Prov.) под номером IOC-32/5.</w:t>
            </w:r>
          </w:p>
        </w:tc>
      </w:tr>
    </w:tbl>
    <w:p w14:paraId="2CFF973D" w14:textId="77777777" w:rsidR="0032183D" w:rsidRDefault="0032183D" w:rsidP="00385DFB">
      <w:pPr>
        <w:pStyle w:val="COI"/>
        <w:rPr>
          <w:lang w:val="ru-RU"/>
        </w:rPr>
        <w:sectPr w:rsidR="0032183D" w:rsidSect="00597D6E">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134" w:left="1134" w:header="709" w:footer="680" w:gutter="0"/>
          <w:pgNumType w:start="1"/>
          <w:cols w:space="708"/>
          <w:titlePg/>
          <w:docGrid w:linePitch="360"/>
        </w:sectPr>
      </w:pPr>
      <w:bookmarkStart w:id="0" w:name="_heading=h.gjdgxs" w:colFirst="0" w:colLast="0"/>
      <w:bookmarkStart w:id="1" w:name="_heading=h.3qu7dnhqs92r" w:colFirst="0" w:colLast="0"/>
      <w:bookmarkStart w:id="2" w:name="_heading=h.ue9yua3spry9" w:colFirst="0" w:colLast="0"/>
      <w:bookmarkEnd w:id="0"/>
      <w:bookmarkEnd w:id="1"/>
      <w:bookmarkEnd w:id="2"/>
    </w:p>
    <w:p w14:paraId="4DCF4967" w14:textId="2E46D528" w:rsidR="00902AD3" w:rsidRPr="005E350A" w:rsidRDefault="00902AD3" w:rsidP="00385DFB">
      <w:pPr>
        <w:pStyle w:val="COI"/>
        <w:rPr>
          <w:lang w:val="ru-RU"/>
        </w:rPr>
      </w:pPr>
      <w:r>
        <w:rPr>
          <w:lang w:val="ru-RU"/>
        </w:rPr>
        <w:lastRenderedPageBreak/>
        <w:t>Человечество приближается к историческому моменту в своих отношениях с Мировым океаном. Благодаря новым научным данным появляется шанс обратить процесс ухудшения состояния океана вспять и начать жить в гармонии с ним. Путь к прогрессу заключается в разработке концепции оптимального с точки зрения климата, экологически ориентированного, этичного управления океаном на основе научно обоснованного океанического планирования в интересах устойчивой океанической экономики. Эта работа требует проведения прогностических консультаций относительно положения дел с решением вопросов, касающихся океана, развития ситуации и возможностей, а также соответствующей роли МОК.</w:t>
      </w:r>
    </w:p>
    <w:p w14:paraId="1FDBF975" w14:textId="7A888C91" w:rsidR="00657CA8" w:rsidRPr="00832412" w:rsidRDefault="00902AD3" w:rsidP="00385DFB">
      <w:pPr>
        <w:pStyle w:val="COI"/>
        <w:rPr>
          <w:lang w:val="ru-RU"/>
        </w:rPr>
      </w:pPr>
      <w:r>
        <w:rPr>
          <w:lang w:val="ru-RU"/>
        </w:rPr>
        <w:t xml:space="preserve">Существует целый ряд рамочных нормативных документов, частично или полностью связанных с океаном: Повестка-2030 и ее цель 14, касающаяся устойчивого развития океана, РКИК ООН и ее Парижское соглашение, Конвенция о биологическом разнообразии и ее </w:t>
      </w:r>
      <w:proofErr w:type="spellStart"/>
      <w:r>
        <w:rPr>
          <w:lang w:val="ru-RU"/>
        </w:rPr>
        <w:t>Куньминско</w:t>
      </w:r>
      <w:proofErr w:type="spellEnd"/>
      <w:r>
        <w:rPr>
          <w:lang w:val="ru-RU"/>
        </w:rPr>
        <w:t xml:space="preserve">-Монреальская глобальная рамочная программа в области биоразнообразия, </w:t>
      </w:r>
      <w:proofErr w:type="spellStart"/>
      <w:r>
        <w:rPr>
          <w:lang w:val="ru-RU"/>
        </w:rPr>
        <w:t>Сендайская</w:t>
      </w:r>
      <w:proofErr w:type="spellEnd"/>
      <w:r>
        <w:rPr>
          <w:lang w:val="ru-RU"/>
        </w:rPr>
        <w:t xml:space="preserve"> рамочная программа ООН по снижению риска бедствий, программа </w:t>
      </w:r>
      <w:r w:rsidR="00C96C53">
        <w:rPr>
          <w:lang w:val="ru-RU"/>
        </w:rPr>
        <w:t>«</w:t>
      </w:r>
      <w:r>
        <w:rPr>
          <w:lang w:val="ru-RU"/>
        </w:rPr>
        <w:t>Путь САМОА</w:t>
      </w:r>
      <w:r w:rsidR="00C96C53">
        <w:rPr>
          <w:lang w:val="ru-RU"/>
        </w:rPr>
        <w:t>»</w:t>
      </w:r>
      <w:r>
        <w:rPr>
          <w:lang w:val="ru-RU"/>
        </w:rPr>
        <w:t xml:space="preserve"> для МОСРГ, новый международный юридически обязательный документ в рамках ЮНКЛОС по сохранению и устойчивому использованию морского биологического разнообразия в районах за пределами национальной юрисдикции, ожидающий ратификации, а также множество региональных и тематических соглашений, имеющих непосредственное отношение к океану. В то же время некоторые из важнейших проблем океана, такие как повышение уровня моря и химическое загрязнение, еще не отражены в соглашениях и для их решения на международном уровне не были установлены целевые показатели. Хотя повышение уровня моря тесно связано с глобальным потеплением, для адаптации к нему не было создано международного механизма координации</w:t>
      </w:r>
      <w:r w:rsidR="00C96C53">
        <w:rPr>
          <w:lang w:val="ru-RU"/>
        </w:rPr>
        <w:t>.</w:t>
      </w:r>
    </w:p>
    <w:p w14:paraId="27B674CA" w14:textId="00A0A550" w:rsidR="00072359" w:rsidRPr="005E350A" w:rsidRDefault="00657CA8" w:rsidP="000D562C">
      <w:pPr>
        <w:pStyle w:val="COI"/>
        <w:rPr>
          <w:lang w:val="ru-RU"/>
        </w:rPr>
      </w:pPr>
      <w:r>
        <w:rPr>
          <w:lang w:val="ru-RU"/>
        </w:rPr>
        <w:t>В области здоровья океана есть положительные результаты в плане повышения осведомленности об этой проблеме, однако не наблюдается достаточного прогресса в плане принятия соответствующих мер. Проведенная ООН в 2022 г. оценка работы по задачам ЦУР 14 показала, что ни одна из задач, решение которых было запланировано на 2020 г., не была решена, несмотря на общий прогресс по всем задачам. Вполне вероятно, что из-за выбросов парниковых газов и их высокого содержания в атмосфере уровень глобального потепления к 2100</w:t>
      </w:r>
      <w:r w:rsidR="00C96C53">
        <w:rPr>
          <w:lang w:val="en-US"/>
        </w:rPr>
        <w:t> </w:t>
      </w:r>
      <w:r>
        <w:rPr>
          <w:lang w:val="ru-RU"/>
        </w:rPr>
        <w:t xml:space="preserve">г. значительно превысит целевой показатель в </w:t>
      </w:r>
      <w:r w:rsidR="000D562C" w:rsidRPr="000D562C">
        <w:rPr>
          <w:lang w:val="ru-RU"/>
        </w:rPr>
        <w:t>2</w:t>
      </w:r>
      <w:proofErr w:type="spellStart"/>
      <w:r w:rsidR="000D562C">
        <w:rPr>
          <w:vertAlign w:val="superscript"/>
        </w:rPr>
        <w:t>o</w:t>
      </w:r>
      <w:r w:rsidR="000D562C">
        <w:t>C</w:t>
      </w:r>
      <w:proofErr w:type="spellEnd"/>
      <w:r>
        <w:rPr>
          <w:lang w:val="ru-RU"/>
        </w:rPr>
        <w:t xml:space="preserve">. Продолжается массовое вымирание видов и загрязнение океана. Одной из бросающихся в глаза особенностей работы по вопросам океана в рамках существующих конвенций и рамок является изолированный подход (как если бы пациента с множеством заболеваний лечили несколько врачей, в основном сосредоточенных на своей специализации и почти не общающихся друг с другом). Как отметил Генеральный секретарь ООН Антониу </w:t>
      </w:r>
      <w:proofErr w:type="spellStart"/>
      <w:r>
        <w:rPr>
          <w:lang w:val="ru-RU"/>
        </w:rPr>
        <w:t>Гутерриш</w:t>
      </w:r>
      <w:proofErr w:type="spellEnd"/>
      <w:r>
        <w:rPr>
          <w:lang w:val="ru-RU"/>
        </w:rPr>
        <w:t xml:space="preserve"> в своем выступлении на КС-27, цивилизация проложила себе </w:t>
      </w:r>
      <w:r w:rsidR="00C96C53">
        <w:rPr>
          <w:lang w:val="ru-RU"/>
        </w:rPr>
        <w:t>«</w:t>
      </w:r>
      <w:r>
        <w:rPr>
          <w:lang w:val="ru-RU"/>
        </w:rPr>
        <w:t>шоссе в климатический ад</w:t>
      </w:r>
      <w:r w:rsidR="00C96C53">
        <w:rPr>
          <w:lang w:val="ru-RU"/>
        </w:rPr>
        <w:t>»</w:t>
      </w:r>
      <w:r>
        <w:rPr>
          <w:lang w:val="ru-RU"/>
        </w:rPr>
        <w:t>. Однако текущая работа по вопросам океана может помочь свернуть с этого шоссе и двигаться к более устойчивому будущему.</w:t>
      </w:r>
    </w:p>
    <w:p w14:paraId="637D0DC8" w14:textId="0F8438BD" w:rsidR="003113EC" w:rsidRPr="00832412" w:rsidRDefault="003113EC" w:rsidP="00385DFB">
      <w:pPr>
        <w:pStyle w:val="COI"/>
        <w:rPr>
          <w:lang w:val="ru-RU"/>
        </w:rPr>
      </w:pPr>
      <w:r>
        <w:rPr>
          <w:lang w:val="ru-RU"/>
        </w:rPr>
        <w:t xml:space="preserve">Формирующаяся концепция устойчивого океанического планирования, которая была разработана экспертным сообществом группы высокого уровня по устойчивой экономике океана, является чрезвычайно перспективной с точки зрения обращения вспять тенденции ухудшения здоровья океана и начала рационального использования его ресурсов, восстановления и поддержания его здоровья и сохранения жизни в нем. Устойчивое океаническое планирование </w:t>
      </w:r>
      <w:r w:rsidR="00891A52">
        <w:rPr>
          <w:lang w:val="ru-RU"/>
        </w:rPr>
        <w:t>–</w:t>
      </w:r>
      <w:r>
        <w:rPr>
          <w:lang w:val="ru-RU"/>
        </w:rPr>
        <w:t xml:space="preserve"> это пока только концепция, которую необходимо совместно доработать и начать осуществлять.</w:t>
      </w:r>
    </w:p>
    <w:p w14:paraId="7E8B8894" w14:textId="74336108" w:rsidR="003113EC" w:rsidRPr="00AE483B" w:rsidRDefault="00902AD3" w:rsidP="00385DFB">
      <w:pPr>
        <w:pStyle w:val="COI"/>
        <w:rPr>
          <w:lang w:val="ru-RU"/>
        </w:rPr>
      </w:pPr>
      <w:r>
        <w:rPr>
          <w:lang w:val="ru-RU"/>
        </w:rPr>
        <w:t xml:space="preserve">Значительно продвинуться вперед на этом направлении позволила серия океанических конференций ООН. Развитию динамики в работе по вопросам океана способствовал ряд конференций </w:t>
      </w:r>
      <w:r w:rsidR="000D562C">
        <w:rPr>
          <w:lang w:val="ru-RU"/>
        </w:rPr>
        <w:t>«</w:t>
      </w:r>
      <w:r>
        <w:rPr>
          <w:lang w:val="ru-RU"/>
        </w:rPr>
        <w:t>Наш океан</w:t>
      </w:r>
      <w:r w:rsidR="000D562C">
        <w:rPr>
          <w:lang w:val="ru-RU"/>
        </w:rPr>
        <w:t>»</w:t>
      </w:r>
      <w:r>
        <w:rPr>
          <w:lang w:val="ru-RU"/>
        </w:rPr>
        <w:t xml:space="preserve">, Саммит </w:t>
      </w:r>
      <w:r w:rsidR="000D562C">
        <w:rPr>
          <w:lang w:val="ru-RU"/>
        </w:rPr>
        <w:t>«</w:t>
      </w:r>
      <w:r>
        <w:rPr>
          <w:lang w:val="ru-RU"/>
        </w:rPr>
        <w:t>Один океан</w:t>
      </w:r>
      <w:r w:rsidR="000D562C">
        <w:rPr>
          <w:lang w:val="ru-RU"/>
        </w:rPr>
        <w:t>»</w:t>
      </w:r>
      <w:r>
        <w:rPr>
          <w:lang w:val="ru-RU"/>
        </w:rPr>
        <w:t xml:space="preserve">, который состоялся в 2022 г. во Франции, и Всемирные саммиты по океану, проводимые журналом </w:t>
      </w:r>
      <w:r w:rsidR="000D562C">
        <w:rPr>
          <w:lang w:val="ru-RU"/>
        </w:rPr>
        <w:t>«</w:t>
      </w:r>
      <w:r>
        <w:rPr>
          <w:lang w:val="ru-RU"/>
        </w:rPr>
        <w:t>Экономист</w:t>
      </w:r>
      <w:r w:rsidR="000D562C">
        <w:rPr>
          <w:lang w:val="ru-RU"/>
        </w:rPr>
        <w:t>»</w:t>
      </w:r>
      <w:r>
        <w:rPr>
          <w:lang w:val="ru-RU"/>
        </w:rPr>
        <w:t>. МОК является ключевым участником всех этих мероприятий. Новые перспективы связываются с третьей Конференцией ООН по океану, которую совместно организуют Коста-Рика и Франция (Ницца, первая половина июня 2025 г.). Важно не упустить эту возможность.</w:t>
      </w:r>
    </w:p>
    <w:p w14:paraId="17B0ECF3" w14:textId="420F4F35" w:rsidR="00902AD3" w:rsidRPr="005E350A" w:rsidRDefault="003113EC" w:rsidP="00385DFB">
      <w:pPr>
        <w:pStyle w:val="COI"/>
        <w:rPr>
          <w:lang w:val="ru-RU"/>
        </w:rPr>
      </w:pPr>
      <w:r>
        <w:rPr>
          <w:lang w:val="ru-RU"/>
        </w:rPr>
        <w:lastRenderedPageBreak/>
        <w:t xml:space="preserve">Мы являемся свидетелями и участниками важнейших событий в области океанических исследований и наблюдений, проводимых под руководством МОК, в частности, в рамках Десятилетия океана ООН, которое уже стало крупнейшим мероприятием в истории наук об океане. Океанография информирует мир о сложившейся ситуации и задействует все свои возможности с тем, чтобы предложить инновационные решения не только в технической, инженерной и управленческой, но и в общественной сфере, </w:t>
      </w:r>
      <w:r w:rsidR="000D562C">
        <w:rPr>
          <w:lang w:val="ru-RU"/>
        </w:rPr>
        <w:t>–</w:t>
      </w:r>
      <w:r>
        <w:rPr>
          <w:lang w:val="ru-RU"/>
        </w:rPr>
        <w:t xml:space="preserve"> решения, основанные на моральных ценностях, справедливости и этике.</w:t>
      </w:r>
    </w:p>
    <w:p w14:paraId="42F989DE" w14:textId="045B5831" w:rsidR="00800699" w:rsidRPr="00832412" w:rsidRDefault="00800699" w:rsidP="00385DFB">
      <w:pPr>
        <w:pStyle w:val="COI"/>
        <w:rPr>
          <w:lang w:val="ru-RU"/>
        </w:rPr>
      </w:pPr>
      <w:r>
        <w:rPr>
          <w:lang w:val="ru-RU"/>
        </w:rPr>
        <w:t>МОК продолжает развиваться. В 1960 г. она была создана ЮНЕСКО в качестве платформы ООН для международного диалога океанографов из разных политических систем. Однако в последнее время на Комиссию были возложены более широкие функции по использованию науки об океане для решения ключевых глобальных проблем экзистенциального характера. Десятилетие океана является одним из основных преобразующих компонентов текущего портфеля проектов МОК. Начали появляться признаки улучшения ситуации с хроническим острым дефицитом ресурсов. В приложении к настоящему рабочему документу содержится бюджетная смета необходимых в настоящее время средств для более устойчивого осуществления всего спектра текущих мероприятий и создания условий, отвечающих будущим требованиям.</w:t>
      </w:r>
    </w:p>
    <w:p w14:paraId="7AAC5F22" w14:textId="5E816314" w:rsidR="00800699" w:rsidRPr="005E350A" w:rsidRDefault="00902AD3" w:rsidP="00385DFB">
      <w:pPr>
        <w:pStyle w:val="COI"/>
        <w:rPr>
          <w:lang w:val="ru-RU"/>
        </w:rPr>
      </w:pPr>
      <w:r>
        <w:rPr>
          <w:lang w:val="ru-RU"/>
        </w:rPr>
        <w:t>ООН играет ключевую роль в программе работы по вопросам, связанным с Мировым океаном. Наметилось конструктивное разделение труда между различными учреждениями системы ООН, имеющими мандат</w:t>
      </w:r>
      <w:r w:rsidR="00891A52">
        <w:rPr>
          <w:lang w:val="ru-RU"/>
        </w:rPr>
        <w:t xml:space="preserve"> </w:t>
      </w:r>
      <w:r>
        <w:rPr>
          <w:lang w:val="ru-RU"/>
        </w:rPr>
        <w:t>в области океана, при этом МОК все чаще рассматривается в качестве основного поставщика научных данных для таких учреждений. МОК была создана в соответствии с резолюцией Генеральной конференции ЮНЕСКО. В рамках Комиссии не существует соглашения относительно обязательного характера океанических исследований для государств-членов. Однако выводы, основанные на данных океанографии, служат основой для юридически обязывающих и крайне важных конвенций и рамочных нормативных актов. Это означает, что МОК должна усилить свою поддержку международного экологического управления. Ограничивающим фактором является нынешний уровень развития взаимодействия науки об океане и политики. Изначально океан считался безграничным и, следовательно, неукротимым, и описывался соответствующим понятием "</w:t>
      </w:r>
      <w:proofErr w:type="spellStart"/>
      <w:r>
        <w:rPr>
          <w:lang w:val="ru-RU"/>
        </w:rPr>
        <w:t>mare</w:t>
      </w:r>
      <w:proofErr w:type="spellEnd"/>
      <w:r>
        <w:rPr>
          <w:lang w:val="ru-RU"/>
        </w:rPr>
        <w:t xml:space="preserve"> </w:t>
      </w:r>
      <w:proofErr w:type="spellStart"/>
      <w:r>
        <w:rPr>
          <w:lang w:val="ru-RU"/>
        </w:rPr>
        <w:t>liberum</w:t>
      </w:r>
      <w:proofErr w:type="spellEnd"/>
      <w:r>
        <w:rPr>
          <w:lang w:val="ru-RU"/>
        </w:rPr>
        <w:t>" (свободное или открытое море). Концепция устойчивого управления океаном (или планирования) представляет собой практический способ построения более гармоничных отношений с океаном на основе рассмотрения океана как общего наследия человечества. Однако этот подход должен поддерживаться национальными механизмами координации деятельности по вопросам океана, имеющими достаточные полномочия и принимающими ответственные меры на основе постоянно совершенствующейся научной информации и рекомендаций, включая количественное описание и прогнозирование океана. Благодаря такому взаимодействию соответствующие решения и меры станут более прозрачными, поддающимися проверке и ответственными, что будет способствовать повышению эффективности экологического управления.</w:t>
      </w:r>
    </w:p>
    <w:p w14:paraId="2B874F54" w14:textId="2E6DA65F" w:rsidR="00902AD3" w:rsidRPr="00832412" w:rsidRDefault="00902AD3" w:rsidP="00385DFB">
      <w:pPr>
        <w:pStyle w:val="COI"/>
        <w:rPr>
          <w:color w:val="000000"/>
          <w:lang w:val="ru-RU"/>
        </w:rPr>
      </w:pPr>
      <w:r>
        <w:rPr>
          <w:lang w:val="ru-RU"/>
        </w:rPr>
        <w:t xml:space="preserve">В истории МОК было несколько периодов интенсивного и здравого самоанализа, включая дискуссию под лозунгом </w:t>
      </w:r>
      <w:r w:rsidR="000D562C">
        <w:rPr>
          <w:lang w:val="ru-RU"/>
        </w:rPr>
        <w:t>«</w:t>
      </w:r>
      <w:r>
        <w:rPr>
          <w:lang w:val="ru-RU"/>
        </w:rPr>
        <w:t>У нас есть проблема</w:t>
      </w:r>
      <w:r w:rsidR="000D562C">
        <w:rPr>
          <w:lang w:val="ru-RU"/>
        </w:rPr>
        <w:t>»</w:t>
      </w:r>
      <w:r>
        <w:rPr>
          <w:lang w:val="ru-RU"/>
        </w:rPr>
        <w:t xml:space="preserve"> в 2005 г. Текущая работа МОК готовит мир к серьезным изменениям характера связанных с океаном мероприятий. Существует возможность обратить вспять процесс ухудшения здоровья и продуктивности океана благодаря более ориентированному на устойчивое развитие подходу и более активному использованию рекомендаций океанографии и экологии на междисциплинарной основе с более сбалансированным привлечением экономических и социальных исследований. Чтобы создать условия для этих важнейших изменений, МОК необходимо продолжать развиваться, укреплять взаимодействие науки и политики по вопросам океана, развивать весь цикл осуществления своих мероприятий. </w:t>
      </w:r>
    </w:p>
    <w:p w14:paraId="022FEA73" w14:textId="3F6544AE" w:rsidR="00EC1159" w:rsidRPr="00832412" w:rsidRDefault="00902AD3" w:rsidP="00385DFB">
      <w:pPr>
        <w:pStyle w:val="COI"/>
        <w:rPr>
          <w:color w:val="000000"/>
          <w:lang w:val="ru-RU"/>
        </w:rPr>
      </w:pPr>
      <w:r>
        <w:rPr>
          <w:lang w:val="ru-RU"/>
        </w:rPr>
        <w:t xml:space="preserve">Оценка стратегического позиционирования МОК, соответствующий план действий по выполнению ее рекомендаций (пункт 6.3 повестки дня Ассамблеи) и смета необходимых финансовых и кадровых ресурсов, представленная в приложении к настоящему документу, требуют </w:t>
      </w:r>
      <w:r>
        <w:rPr>
          <w:lang w:val="ru-RU"/>
        </w:rPr>
        <w:lastRenderedPageBreak/>
        <w:t>проведения широких консультаций о способах оптимизации и усиления поддержки МОК существующим и разрабатываемым конвенциям и рамочным нормативным актам ООН в целях обеспечения реального прогресса в рассмотрении океанического аспекта важнейших задач, стоящих перед человечеством. В таких консультациях могли бы принять участие органы МОК и внешние партнеры. Исполнительный совет МОК может рассмотреть охват и условия проведения этих консультаций в 2024 г. Их итоги могут лечь в основу подготовки к Конференции ООН по океану в 2025 г. в Ницце. Ассамблее МОК на ее 33-й сессии в 2025 г., запланированной вскоре после завершения Конференции ООН по океану в Ницце, могла бы рассмотреть результаты консультаций с учетом итогов Конференции ООН и согласовать соответствующий курс дальнейших действий МОК. Таким образом, консультации позволят определить перспективы дальнейшего развития МОК в качестве главного океанографического центра системы ООН.</w:t>
      </w:r>
    </w:p>
    <w:p w14:paraId="2B08AEB0" w14:textId="77777777" w:rsidR="001136D1" w:rsidRDefault="001136D1" w:rsidP="00832412">
      <w:pPr>
        <w:jc w:val="center"/>
        <w:rPr>
          <w:b/>
          <w:bCs/>
          <w:lang w:val="ru-RU"/>
        </w:rPr>
        <w:sectPr w:rsidR="001136D1" w:rsidSect="0032183D">
          <w:headerReference w:type="first" r:id="rId16"/>
          <w:type w:val="oddPage"/>
          <w:pgSz w:w="11906" w:h="16838" w:code="9"/>
          <w:pgMar w:top="1418" w:right="1134" w:bottom="1134" w:left="1134" w:header="709" w:footer="680" w:gutter="0"/>
          <w:pgNumType w:start="1"/>
          <w:cols w:space="708"/>
          <w:titlePg/>
          <w:docGrid w:linePitch="360"/>
        </w:sectPr>
      </w:pPr>
    </w:p>
    <w:p w14:paraId="2799CB3E" w14:textId="70EFAE7A" w:rsidR="00597D6E" w:rsidRPr="00832412" w:rsidRDefault="00832412" w:rsidP="00832412">
      <w:pPr>
        <w:jc w:val="center"/>
        <w:rPr>
          <w:b/>
          <w:bCs/>
          <w:lang w:val="ru-RU"/>
        </w:rPr>
      </w:pPr>
      <w:r w:rsidRPr="00832412">
        <w:rPr>
          <w:b/>
          <w:bCs/>
          <w:lang w:val="ru-RU"/>
        </w:rPr>
        <w:lastRenderedPageBreak/>
        <w:t>УСТОЙЧИВОЕ ОСУЩЕСТВЛЕНИЕ И РАСШИРЕНИЕ ДЕЯТЕЛЬНОСТИ МОК: СМЕТА НЕОБХОДИМЫХ БЮДЖЕТНЫХ РЕСУРСОВ, ВКЛЮЧАЯ КАДРОВЫЕ ПОТРЕБНОСТИ</w:t>
      </w:r>
    </w:p>
    <w:p w14:paraId="2FA00D7C" w14:textId="77777777" w:rsidR="00832412" w:rsidRDefault="00832412" w:rsidP="00832412">
      <w:pPr>
        <w:rPr>
          <w:lang w:val="ru-RU"/>
        </w:rPr>
      </w:pPr>
    </w:p>
    <w:p w14:paraId="5DB0297C" w14:textId="16B281A6" w:rsidR="00832412" w:rsidRPr="00C44A91" w:rsidRDefault="00832412" w:rsidP="00C44A91">
      <w:pPr>
        <w:spacing w:after="240"/>
        <w:jc w:val="center"/>
        <w:rPr>
          <w:b/>
          <w:bCs/>
          <w:lang w:val="ru-RU"/>
        </w:rPr>
      </w:pPr>
      <w:r w:rsidRPr="00C44A91">
        <w:rPr>
          <w:b/>
          <w:bCs/>
          <w:lang w:val="ru-RU"/>
        </w:rPr>
        <w:t>Октябрь 2022 г.</w:t>
      </w:r>
    </w:p>
    <w:p w14:paraId="5C43736E" w14:textId="7BF3725E" w:rsidR="00832412" w:rsidRDefault="00832412" w:rsidP="00C44A91">
      <w:pPr>
        <w:jc w:val="center"/>
        <w:rPr>
          <w:lang w:val="ru-RU"/>
        </w:rPr>
      </w:pPr>
      <w:r>
        <w:rPr>
          <w:lang w:val="ru-RU"/>
        </w:rPr>
        <w:t>(документ распространен циркулярным письмом МОК № 2912)</w:t>
      </w:r>
    </w:p>
    <w:p w14:paraId="2E2FD4C2" w14:textId="77777777" w:rsidR="00C44A91" w:rsidRPr="00E63D05" w:rsidRDefault="00C44A91" w:rsidP="00E63D05">
      <w:pPr>
        <w:pStyle w:val="TOCHeading"/>
        <w:spacing w:after="120"/>
        <w:rPr>
          <w:rFonts w:ascii="Arial" w:hAnsi="Arial" w:cs="Arial"/>
          <w:color w:val="auto"/>
          <w:sz w:val="24"/>
          <w:szCs w:val="24"/>
          <w:lang w:val="ru-RU"/>
        </w:rPr>
      </w:pPr>
      <w:r w:rsidRPr="00E63D05">
        <w:rPr>
          <w:rFonts w:ascii="Arial" w:hAnsi="Arial" w:cs="Arial"/>
          <w:color w:val="auto"/>
          <w:sz w:val="24"/>
          <w:szCs w:val="24"/>
          <w:lang w:val="ru-RU"/>
        </w:rPr>
        <w:t>Содержание</w:t>
      </w:r>
    </w:p>
    <w:p w14:paraId="7C01E094" w14:textId="77777777" w:rsidR="00C44A91" w:rsidRPr="00222C85" w:rsidRDefault="00C44A91" w:rsidP="00C44A91">
      <w:pPr>
        <w:pStyle w:val="TOC1"/>
        <w:rPr>
          <w:rFonts w:ascii="Arial" w:eastAsiaTheme="minorEastAsia" w:hAnsi="Arial" w:cs="Arial"/>
          <w:b w:val="0"/>
          <w:bCs w:val="0"/>
          <w:lang w:eastAsia="ru-RU"/>
        </w:rPr>
      </w:pPr>
      <w:r w:rsidRPr="00222C85">
        <w:rPr>
          <w:rFonts w:ascii="Arial" w:hAnsi="Arial" w:cs="Arial"/>
        </w:rPr>
        <w:fldChar w:fldCharType="begin"/>
      </w:r>
      <w:r w:rsidRPr="00222C85">
        <w:rPr>
          <w:rFonts w:ascii="Arial" w:hAnsi="Arial" w:cs="Arial"/>
        </w:rPr>
        <w:instrText xml:space="preserve"> TOC \o "1-3" \h \z \u </w:instrText>
      </w:r>
      <w:r w:rsidRPr="00222C85">
        <w:rPr>
          <w:rFonts w:ascii="Arial" w:hAnsi="Arial" w:cs="Arial"/>
        </w:rPr>
        <w:fldChar w:fldCharType="separate"/>
      </w:r>
      <w:hyperlink w:anchor="_Toc120748655" w:history="1">
        <w:r w:rsidRPr="00222C85">
          <w:rPr>
            <w:rStyle w:val="Hyperlink"/>
            <w:rFonts w:ascii="Arial" w:hAnsi="Arial" w:cs="Arial"/>
          </w:rPr>
          <w:t>Рабочее резюме</w:t>
        </w:r>
        <w:r w:rsidRPr="00222C85">
          <w:rPr>
            <w:rFonts w:ascii="Arial" w:hAnsi="Arial" w:cs="Arial"/>
            <w:webHidden/>
          </w:rPr>
          <w:tab/>
        </w:r>
        <w:r w:rsidRPr="00222C85">
          <w:rPr>
            <w:rFonts w:ascii="Arial" w:hAnsi="Arial" w:cs="Arial"/>
            <w:webHidden/>
          </w:rPr>
          <w:fldChar w:fldCharType="begin"/>
        </w:r>
        <w:r w:rsidRPr="00222C85">
          <w:rPr>
            <w:rFonts w:ascii="Arial" w:hAnsi="Arial" w:cs="Arial"/>
            <w:webHidden/>
          </w:rPr>
          <w:instrText xml:space="preserve"> PAGEREF _Toc120748655 \h </w:instrText>
        </w:r>
        <w:r w:rsidRPr="00222C85">
          <w:rPr>
            <w:rFonts w:ascii="Arial" w:hAnsi="Arial" w:cs="Arial"/>
            <w:webHidden/>
          </w:rPr>
        </w:r>
        <w:r w:rsidRPr="00222C85">
          <w:rPr>
            <w:rFonts w:ascii="Arial" w:hAnsi="Arial" w:cs="Arial"/>
            <w:webHidden/>
          </w:rPr>
          <w:fldChar w:fldCharType="separate"/>
        </w:r>
        <w:r>
          <w:rPr>
            <w:rFonts w:ascii="Arial" w:hAnsi="Arial" w:cs="Arial"/>
            <w:webHidden/>
          </w:rPr>
          <w:t>3</w:t>
        </w:r>
        <w:r w:rsidRPr="00222C85">
          <w:rPr>
            <w:rFonts w:ascii="Arial" w:hAnsi="Arial" w:cs="Arial"/>
            <w:webHidden/>
          </w:rPr>
          <w:fldChar w:fldCharType="end"/>
        </w:r>
      </w:hyperlink>
    </w:p>
    <w:p w14:paraId="6F118041" w14:textId="77777777" w:rsidR="00C44A91" w:rsidRPr="00222C85" w:rsidRDefault="00C0739D" w:rsidP="00C44A91">
      <w:pPr>
        <w:pStyle w:val="TOC1"/>
        <w:rPr>
          <w:rFonts w:ascii="Arial" w:eastAsiaTheme="minorEastAsia" w:hAnsi="Arial" w:cs="Arial"/>
          <w:b w:val="0"/>
          <w:bCs w:val="0"/>
          <w:lang w:eastAsia="ru-RU"/>
        </w:rPr>
      </w:pPr>
      <w:hyperlink w:anchor="_Toc120748656" w:history="1">
        <w:r w:rsidR="00C44A91" w:rsidRPr="00222C85">
          <w:rPr>
            <w:rStyle w:val="Hyperlink"/>
            <w:rFonts w:ascii="Arial" w:hAnsi="Arial" w:cs="Arial"/>
          </w:rPr>
          <w:t>1.</w:t>
        </w:r>
        <w:r w:rsidR="00C44A91" w:rsidRPr="00222C85">
          <w:rPr>
            <w:rFonts w:ascii="Arial" w:eastAsiaTheme="minorEastAsia" w:hAnsi="Arial" w:cs="Arial"/>
            <w:b w:val="0"/>
            <w:bCs w:val="0"/>
            <w:lang w:eastAsia="ru-RU"/>
          </w:rPr>
          <w:tab/>
        </w:r>
        <w:r w:rsidR="00C44A91" w:rsidRPr="00222C85">
          <w:rPr>
            <w:rStyle w:val="Hyperlink"/>
            <w:rFonts w:ascii="Arial" w:hAnsi="Arial" w:cs="Arial"/>
          </w:rPr>
          <w:t>Важные события глобального характера и возросшая роль МОК-ЮНЕСКО</w:t>
        </w:r>
        <w:r w:rsidR="00C44A91" w:rsidRPr="00222C85">
          <w:rPr>
            <w:rFonts w:ascii="Arial" w:hAnsi="Arial" w:cs="Arial"/>
            <w:webHidden/>
          </w:rPr>
          <w:tab/>
        </w:r>
        <w:r w:rsidR="00C44A91" w:rsidRPr="00222C85">
          <w:rPr>
            <w:rFonts w:ascii="Arial" w:hAnsi="Arial" w:cs="Arial"/>
            <w:webHidden/>
          </w:rPr>
          <w:fldChar w:fldCharType="begin"/>
        </w:r>
        <w:r w:rsidR="00C44A91" w:rsidRPr="00222C85">
          <w:rPr>
            <w:rFonts w:ascii="Arial" w:hAnsi="Arial" w:cs="Arial"/>
            <w:webHidden/>
          </w:rPr>
          <w:instrText xml:space="preserve"> PAGEREF _Toc120748656 \h </w:instrText>
        </w:r>
        <w:r w:rsidR="00C44A91" w:rsidRPr="00222C85">
          <w:rPr>
            <w:rFonts w:ascii="Arial" w:hAnsi="Arial" w:cs="Arial"/>
            <w:webHidden/>
          </w:rPr>
        </w:r>
        <w:r w:rsidR="00C44A91" w:rsidRPr="00222C85">
          <w:rPr>
            <w:rFonts w:ascii="Arial" w:hAnsi="Arial" w:cs="Arial"/>
            <w:webHidden/>
          </w:rPr>
          <w:fldChar w:fldCharType="separate"/>
        </w:r>
        <w:r w:rsidR="00C44A91">
          <w:rPr>
            <w:rFonts w:ascii="Arial" w:hAnsi="Arial" w:cs="Arial"/>
            <w:webHidden/>
          </w:rPr>
          <w:t>4</w:t>
        </w:r>
        <w:r w:rsidR="00C44A91" w:rsidRPr="00222C85">
          <w:rPr>
            <w:rFonts w:ascii="Arial" w:hAnsi="Arial" w:cs="Arial"/>
            <w:webHidden/>
          </w:rPr>
          <w:fldChar w:fldCharType="end"/>
        </w:r>
      </w:hyperlink>
    </w:p>
    <w:p w14:paraId="0D722C70" w14:textId="77777777" w:rsidR="00C44A91" w:rsidRPr="00222C85" w:rsidRDefault="00C0739D" w:rsidP="00C44A91">
      <w:pPr>
        <w:pStyle w:val="TOC1"/>
        <w:rPr>
          <w:rFonts w:ascii="Arial" w:eastAsiaTheme="minorEastAsia" w:hAnsi="Arial" w:cs="Arial"/>
          <w:b w:val="0"/>
          <w:bCs w:val="0"/>
          <w:lang w:eastAsia="ru-RU"/>
        </w:rPr>
      </w:pPr>
      <w:hyperlink w:anchor="_Toc120748657" w:history="1">
        <w:r w:rsidR="00C44A91" w:rsidRPr="00222C85">
          <w:rPr>
            <w:rStyle w:val="Hyperlink"/>
            <w:rFonts w:ascii="Arial" w:hAnsi="Arial" w:cs="Arial"/>
          </w:rPr>
          <w:t>2.</w:t>
        </w:r>
        <w:r w:rsidR="00C44A91" w:rsidRPr="00222C85">
          <w:rPr>
            <w:rFonts w:ascii="Arial" w:eastAsiaTheme="minorEastAsia" w:hAnsi="Arial" w:cs="Arial"/>
            <w:b w:val="0"/>
            <w:bCs w:val="0"/>
            <w:lang w:eastAsia="ru-RU"/>
          </w:rPr>
          <w:tab/>
        </w:r>
        <w:r w:rsidR="00C44A91" w:rsidRPr="00222C85">
          <w:rPr>
            <w:rStyle w:val="Hyperlink"/>
            <w:rFonts w:ascii="Arial" w:hAnsi="Arial" w:cs="Arial"/>
          </w:rPr>
          <w:t>Текущие цели, положение дел и основные проблемы</w:t>
        </w:r>
        <w:r w:rsidR="00C44A91" w:rsidRPr="00222C85">
          <w:rPr>
            <w:rFonts w:ascii="Arial" w:hAnsi="Arial" w:cs="Arial"/>
            <w:webHidden/>
          </w:rPr>
          <w:tab/>
        </w:r>
        <w:r w:rsidR="00C44A91" w:rsidRPr="00222C85">
          <w:rPr>
            <w:rFonts w:ascii="Arial" w:hAnsi="Arial" w:cs="Arial"/>
            <w:webHidden/>
          </w:rPr>
          <w:fldChar w:fldCharType="begin"/>
        </w:r>
        <w:r w:rsidR="00C44A91" w:rsidRPr="00222C85">
          <w:rPr>
            <w:rFonts w:ascii="Arial" w:hAnsi="Arial" w:cs="Arial"/>
            <w:webHidden/>
          </w:rPr>
          <w:instrText xml:space="preserve"> PAGEREF _Toc120748657 \h </w:instrText>
        </w:r>
        <w:r w:rsidR="00C44A91" w:rsidRPr="00222C85">
          <w:rPr>
            <w:rFonts w:ascii="Arial" w:hAnsi="Arial" w:cs="Arial"/>
            <w:webHidden/>
          </w:rPr>
        </w:r>
        <w:r w:rsidR="00C44A91" w:rsidRPr="00222C85">
          <w:rPr>
            <w:rFonts w:ascii="Arial" w:hAnsi="Arial" w:cs="Arial"/>
            <w:webHidden/>
          </w:rPr>
          <w:fldChar w:fldCharType="separate"/>
        </w:r>
        <w:r w:rsidR="00C44A91">
          <w:rPr>
            <w:rFonts w:ascii="Arial" w:hAnsi="Arial" w:cs="Arial"/>
            <w:webHidden/>
          </w:rPr>
          <w:t>5</w:t>
        </w:r>
        <w:r w:rsidR="00C44A91" w:rsidRPr="00222C85">
          <w:rPr>
            <w:rFonts w:ascii="Arial" w:hAnsi="Arial" w:cs="Arial"/>
            <w:webHidden/>
          </w:rPr>
          <w:fldChar w:fldCharType="end"/>
        </w:r>
      </w:hyperlink>
    </w:p>
    <w:p w14:paraId="701F6AAC" w14:textId="77777777" w:rsidR="00C44A91" w:rsidRPr="00222C85" w:rsidRDefault="00C0739D" w:rsidP="00C44A91">
      <w:pPr>
        <w:pStyle w:val="TOC2"/>
        <w:tabs>
          <w:tab w:val="right" w:leader="dot" w:pos="9062"/>
        </w:tabs>
        <w:rPr>
          <w:rFonts w:ascii="Arial" w:eastAsiaTheme="minorEastAsia" w:hAnsi="Arial" w:cs="Arial"/>
          <w:noProof/>
          <w:sz w:val="22"/>
          <w:szCs w:val="22"/>
          <w:lang w:eastAsia="ru-RU"/>
        </w:rPr>
      </w:pPr>
      <w:hyperlink w:anchor="_Toc120748658" w:history="1">
        <w:r w:rsidR="00C44A91" w:rsidRPr="00222C85">
          <w:rPr>
            <w:rStyle w:val="Hyperlink"/>
            <w:rFonts w:ascii="Arial" w:hAnsi="Arial" w:cs="Arial"/>
            <w:noProof/>
            <w:sz w:val="22"/>
            <w:szCs w:val="22"/>
          </w:rPr>
          <w:t>Текущее положение дел в МОК</w:t>
        </w:r>
        <w:r w:rsidR="00C44A91" w:rsidRPr="00222C85">
          <w:rPr>
            <w:rFonts w:ascii="Arial" w:hAnsi="Arial" w:cs="Arial"/>
            <w:noProof/>
            <w:webHidden/>
            <w:sz w:val="22"/>
            <w:szCs w:val="22"/>
          </w:rPr>
          <w:tab/>
        </w:r>
        <w:r w:rsidR="00C44A91" w:rsidRPr="00222C85">
          <w:rPr>
            <w:rFonts w:ascii="Arial" w:hAnsi="Arial" w:cs="Arial"/>
            <w:noProof/>
            <w:webHidden/>
            <w:sz w:val="22"/>
            <w:szCs w:val="22"/>
          </w:rPr>
          <w:fldChar w:fldCharType="begin"/>
        </w:r>
        <w:r w:rsidR="00C44A91" w:rsidRPr="00222C85">
          <w:rPr>
            <w:rFonts w:ascii="Arial" w:hAnsi="Arial" w:cs="Arial"/>
            <w:noProof/>
            <w:webHidden/>
            <w:sz w:val="22"/>
            <w:szCs w:val="22"/>
          </w:rPr>
          <w:instrText xml:space="preserve"> PAGEREF _Toc120748658 \h </w:instrText>
        </w:r>
        <w:r w:rsidR="00C44A91" w:rsidRPr="00222C85">
          <w:rPr>
            <w:rFonts w:ascii="Arial" w:hAnsi="Arial" w:cs="Arial"/>
            <w:noProof/>
            <w:webHidden/>
            <w:sz w:val="22"/>
            <w:szCs w:val="22"/>
          </w:rPr>
        </w:r>
        <w:r w:rsidR="00C44A91" w:rsidRPr="00222C85">
          <w:rPr>
            <w:rFonts w:ascii="Arial" w:hAnsi="Arial" w:cs="Arial"/>
            <w:noProof/>
            <w:webHidden/>
            <w:sz w:val="22"/>
            <w:szCs w:val="22"/>
          </w:rPr>
          <w:fldChar w:fldCharType="separate"/>
        </w:r>
        <w:r w:rsidR="00C44A91">
          <w:rPr>
            <w:rFonts w:ascii="Arial" w:hAnsi="Arial" w:cs="Arial"/>
            <w:noProof/>
            <w:webHidden/>
            <w:sz w:val="22"/>
            <w:szCs w:val="22"/>
          </w:rPr>
          <w:t>7</w:t>
        </w:r>
        <w:r w:rsidR="00C44A91" w:rsidRPr="00222C85">
          <w:rPr>
            <w:rFonts w:ascii="Arial" w:hAnsi="Arial" w:cs="Arial"/>
            <w:noProof/>
            <w:webHidden/>
            <w:sz w:val="22"/>
            <w:szCs w:val="22"/>
          </w:rPr>
          <w:fldChar w:fldCharType="end"/>
        </w:r>
      </w:hyperlink>
    </w:p>
    <w:p w14:paraId="004C4C36" w14:textId="77777777" w:rsidR="00C44A91" w:rsidRPr="00222C85" w:rsidRDefault="00C0739D" w:rsidP="00C44A91">
      <w:pPr>
        <w:pStyle w:val="TOC2"/>
        <w:tabs>
          <w:tab w:val="right" w:leader="dot" w:pos="9062"/>
        </w:tabs>
        <w:rPr>
          <w:rFonts w:ascii="Arial" w:eastAsiaTheme="minorEastAsia" w:hAnsi="Arial" w:cs="Arial"/>
          <w:noProof/>
          <w:sz w:val="22"/>
          <w:szCs w:val="22"/>
          <w:lang w:eastAsia="ru-RU"/>
        </w:rPr>
      </w:pPr>
      <w:hyperlink w:anchor="_Toc120748659" w:history="1">
        <w:r w:rsidR="00C44A91" w:rsidRPr="00222C85">
          <w:rPr>
            <w:rStyle w:val="Hyperlink"/>
            <w:rFonts w:ascii="Arial" w:hAnsi="Arial" w:cs="Arial"/>
            <w:noProof/>
            <w:sz w:val="22"/>
            <w:szCs w:val="22"/>
          </w:rPr>
          <w:t xml:space="preserve">Соотношение расходов на выплату заработной платы и на мероприятия </w:t>
        </w:r>
        <w:r w:rsidR="00C44A91">
          <w:rPr>
            <w:rStyle w:val="Hyperlink"/>
            <w:rFonts w:ascii="Arial" w:hAnsi="Arial" w:cs="Arial"/>
            <w:noProof/>
            <w:sz w:val="22"/>
            <w:szCs w:val="22"/>
          </w:rPr>
          <w:br/>
        </w:r>
        <w:r w:rsidR="00C44A91" w:rsidRPr="00222C85">
          <w:rPr>
            <w:rStyle w:val="Hyperlink"/>
            <w:rFonts w:ascii="Arial" w:hAnsi="Arial" w:cs="Arial"/>
            <w:noProof/>
            <w:sz w:val="22"/>
            <w:szCs w:val="22"/>
          </w:rPr>
          <w:t>в рамках бюджета обычной программы</w:t>
        </w:r>
        <w:r w:rsidR="00C44A91" w:rsidRPr="00222C85">
          <w:rPr>
            <w:rFonts w:ascii="Arial" w:hAnsi="Arial" w:cs="Arial"/>
            <w:noProof/>
            <w:webHidden/>
            <w:sz w:val="22"/>
            <w:szCs w:val="22"/>
          </w:rPr>
          <w:tab/>
        </w:r>
        <w:r w:rsidR="00C44A91" w:rsidRPr="00222C85">
          <w:rPr>
            <w:rFonts w:ascii="Arial" w:hAnsi="Arial" w:cs="Arial"/>
            <w:noProof/>
            <w:webHidden/>
            <w:sz w:val="22"/>
            <w:szCs w:val="22"/>
          </w:rPr>
          <w:fldChar w:fldCharType="begin"/>
        </w:r>
        <w:r w:rsidR="00C44A91" w:rsidRPr="00222C85">
          <w:rPr>
            <w:rFonts w:ascii="Arial" w:hAnsi="Arial" w:cs="Arial"/>
            <w:noProof/>
            <w:webHidden/>
            <w:sz w:val="22"/>
            <w:szCs w:val="22"/>
          </w:rPr>
          <w:instrText xml:space="preserve"> PAGEREF _Toc120748659 \h </w:instrText>
        </w:r>
        <w:r w:rsidR="00C44A91" w:rsidRPr="00222C85">
          <w:rPr>
            <w:rFonts w:ascii="Arial" w:hAnsi="Arial" w:cs="Arial"/>
            <w:noProof/>
            <w:webHidden/>
            <w:sz w:val="22"/>
            <w:szCs w:val="22"/>
          </w:rPr>
        </w:r>
        <w:r w:rsidR="00C44A91" w:rsidRPr="00222C85">
          <w:rPr>
            <w:rFonts w:ascii="Arial" w:hAnsi="Arial" w:cs="Arial"/>
            <w:noProof/>
            <w:webHidden/>
            <w:sz w:val="22"/>
            <w:szCs w:val="22"/>
          </w:rPr>
          <w:fldChar w:fldCharType="separate"/>
        </w:r>
        <w:r w:rsidR="00C44A91">
          <w:rPr>
            <w:rFonts w:ascii="Arial" w:hAnsi="Arial" w:cs="Arial"/>
            <w:noProof/>
            <w:webHidden/>
            <w:sz w:val="22"/>
            <w:szCs w:val="22"/>
          </w:rPr>
          <w:t>7</w:t>
        </w:r>
        <w:r w:rsidR="00C44A91" w:rsidRPr="00222C85">
          <w:rPr>
            <w:rFonts w:ascii="Arial" w:hAnsi="Arial" w:cs="Arial"/>
            <w:noProof/>
            <w:webHidden/>
            <w:sz w:val="22"/>
            <w:szCs w:val="22"/>
          </w:rPr>
          <w:fldChar w:fldCharType="end"/>
        </w:r>
      </w:hyperlink>
    </w:p>
    <w:p w14:paraId="0A1473AF" w14:textId="77777777" w:rsidR="00C44A91" w:rsidRPr="00222C85" w:rsidRDefault="00C0739D" w:rsidP="00C44A91">
      <w:pPr>
        <w:pStyle w:val="TOC2"/>
        <w:tabs>
          <w:tab w:val="right" w:leader="dot" w:pos="9062"/>
        </w:tabs>
        <w:rPr>
          <w:rFonts w:ascii="Arial" w:eastAsiaTheme="minorEastAsia" w:hAnsi="Arial" w:cs="Arial"/>
          <w:noProof/>
          <w:sz w:val="22"/>
          <w:szCs w:val="22"/>
          <w:lang w:eastAsia="ru-RU"/>
        </w:rPr>
      </w:pPr>
      <w:hyperlink w:anchor="_Toc120748660" w:history="1">
        <w:r w:rsidR="00C44A91" w:rsidRPr="00222C85">
          <w:rPr>
            <w:rStyle w:val="Hyperlink"/>
            <w:rFonts w:ascii="Arial" w:hAnsi="Arial" w:cs="Arial"/>
            <w:noProof/>
            <w:sz w:val="22"/>
            <w:szCs w:val="22"/>
          </w:rPr>
          <w:t>Кадровое обеспечение</w:t>
        </w:r>
        <w:r w:rsidR="00C44A91" w:rsidRPr="00222C85">
          <w:rPr>
            <w:rFonts w:ascii="Arial" w:hAnsi="Arial" w:cs="Arial"/>
            <w:noProof/>
            <w:webHidden/>
            <w:sz w:val="22"/>
            <w:szCs w:val="22"/>
          </w:rPr>
          <w:tab/>
        </w:r>
        <w:r w:rsidR="00C44A91" w:rsidRPr="00222C85">
          <w:rPr>
            <w:rFonts w:ascii="Arial" w:hAnsi="Arial" w:cs="Arial"/>
            <w:noProof/>
            <w:webHidden/>
            <w:sz w:val="22"/>
            <w:szCs w:val="22"/>
          </w:rPr>
          <w:fldChar w:fldCharType="begin"/>
        </w:r>
        <w:r w:rsidR="00C44A91" w:rsidRPr="00222C85">
          <w:rPr>
            <w:rFonts w:ascii="Arial" w:hAnsi="Arial" w:cs="Arial"/>
            <w:noProof/>
            <w:webHidden/>
            <w:sz w:val="22"/>
            <w:szCs w:val="22"/>
          </w:rPr>
          <w:instrText xml:space="preserve"> PAGEREF _Toc120748660 \h </w:instrText>
        </w:r>
        <w:r w:rsidR="00C44A91" w:rsidRPr="00222C85">
          <w:rPr>
            <w:rFonts w:ascii="Arial" w:hAnsi="Arial" w:cs="Arial"/>
            <w:noProof/>
            <w:webHidden/>
            <w:sz w:val="22"/>
            <w:szCs w:val="22"/>
          </w:rPr>
        </w:r>
        <w:r w:rsidR="00C44A91" w:rsidRPr="00222C85">
          <w:rPr>
            <w:rFonts w:ascii="Arial" w:hAnsi="Arial" w:cs="Arial"/>
            <w:noProof/>
            <w:webHidden/>
            <w:sz w:val="22"/>
            <w:szCs w:val="22"/>
          </w:rPr>
          <w:fldChar w:fldCharType="separate"/>
        </w:r>
        <w:r w:rsidR="00C44A91">
          <w:rPr>
            <w:rFonts w:ascii="Arial" w:hAnsi="Arial" w:cs="Arial"/>
            <w:noProof/>
            <w:webHidden/>
            <w:sz w:val="22"/>
            <w:szCs w:val="22"/>
          </w:rPr>
          <w:t>8</w:t>
        </w:r>
        <w:r w:rsidR="00C44A91" w:rsidRPr="00222C85">
          <w:rPr>
            <w:rFonts w:ascii="Arial" w:hAnsi="Arial" w:cs="Arial"/>
            <w:noProof/>
            <w:webHidden/>
            <w:sz w:val="22"/>
            <w:szCs w:val="22"/>
          </w:rPr>
          <w:fldChar w:fldCharType="end"/>
        </w:r>
      </w:hyperlink>
    </w:p>
    <w:p w14:paraId="4DA6BFAA" w14:textId="77777777" w:rsidR="00C44A91" w:rsidRPr="00222C85" w:rsidRDefault="00C0739D" w:rsidP="00C44A91">
      <w:pPr>
        <w:pStyle w:val="TOC1"/>
        <w:rPr>
          <w:rFonts w:ascii="Arial" w:eastAsiaTheme="minorEastAsia" w:hAnsi="Arial" w:cs="Arial"/>
          <w:b w:val="0"/>
          <w:bCs w:val="0"/>
          <w:lang w:eastAsia="ru-RU"/>
        </w:rPr>
      </w:pPr>
      <w:hyperlink w:anchor="_Toc120748661" w:history="1">
        <w:r w:rsidR="00C44A91" w:rsidRPr="00222C85">
          <w:rPr>
            <w:rStyle w:val="Hyperlink"/>
            <w:rFonts w:ascii="Arial" w:hAnsi="Arial" w:cs="Arial"/>
          </w:rPr>
          <w:t>3.</w:t>
        </w:r>
        <w:r w:rsidR="00C44A91" w:rsidRPr="00222C85">
          <w:rPr>
            <w:rFonts w:ascii="Arial" w:eastAsiaTheme="minorEastAsia" w:hAnsi="Arial" w:cs="Arial"/>
            <w:b w:val="0"/>
            <w:bCs w:val="0"/>
            <w:lang w:eastAsia="ru-RU"/>
          </w:rPr>
          <w:tab/>
        </w:r>
        <w:r w:rsidR="00C44A91" w:rsidRPr="00222C85">
          <w:rPr>
            <w:rStyle w:val="Hyperlink"/>
            <w:rFonts w:ascii="Arial" w:hAnsi="Arial" w:cs="Arial"/>
          </w:rPr>
          <w:t>Общее видение программной деятельности МОК</w:t>
        </w:r>
        <w:r w:rsidR="00C44A91" w:rsidRPr="00222C85">
          <w:rPr>
            <w:rFonts w:ascii="Arial" w:hAnsi="Arial" w:cs="Arial"/>
            <w:webHidden/>
          </w:rPr>
          <w:tab/>
        </w:r>
        <w:r w:rsidR="00C44A91" w:rsidRPr="00222C85">
          <w:rPr>
            <w:rFonts w:ascii="Arial" w:hAnsi="Arial" w:cs="Arial"/>
            <w:webHidden/>
          </w:rPr>
          <w:fldChar w:fldCharType="begin"/>
        </w:r>
        <w:r w:rsidR="00C44A91" w:rsidRPr="00222C85">
          <w:rPr>
            <w:rFonts w:ascii="Arial" w:hAnsi="Arial" w:cs="Arial"/>
            <w:webHidden/>
          </w:rPr>
          <w:instrText xml:space="preserve"> PAGEREF _Toc120748661 \h </w:instrText>
        </w:r>
        <w:r w:rsidR="00C44A91" w:rsidRPr="00222C85">
          <w:rPr>
            <w:rFonts w:ascii="Arial" w:hAnsi="Arial" w:cs="Arial"/>
            <w:webHidden/>
          </w:rPr>
        </w:r>
        <w:r w:rsidR="00C44A91" w:rsidRPr="00222C85">
          <w:rPr>
            <w:rFonts w:ascii="Arial" w:hAnsi="Arial" w:cs="Arial"/>
            <w:webHidden/>
          </w:rPr>
          <w:fldChar w:fldCharType="separate"/>
        </w:r>
        <w:r w:rsidR="00C44A91">
          <w:rPr>
            <w:rFonts w:ascii="Arial" w:hAnsi="Arial" w:cs="Arial"/>
            <w:webHidden/>
          </w:rPr>
          <w:t>10</w:t>
        </w:r>
        <w:r w:rsidR="00C44A91" w:rsidRPr="00222C85">
          <w:rPr>
            <w:rFonts w:ascii="Arial" w:hAnsi="Arial" w:cs="Arial"/>
            <w:webHidden/>
          </w:rPr>
          <w:fldChar w:fldCharType="end"/>
        </w:r>
      </w:hyperlink>
    </w:p>
    <w:p w14:paraId="1113C2BB" w14:textId="77777777" w:rsidR="00C44A91" w:rsidRPr="00222C85" w:rsidRDefault="00C0739D" w:rsidP="00C44A91">
      <w:pPr>
        <w:pStyle w:val="TOC2"/>
        <w:tabs>
          <w:tab w:val="right" w:leader="dot" w:pos="9062"/>
        </w:tabs>
        <w:rPr>
          <w:rFonts w:ascii="Arial" w:eastAsiaTheme="minorEastAsia" w:hAnsi="Arial" w:cs="Arial"/>
          <w:noProof/>
          <w:sz w:val="22"/>
          <w:szCs w:val="22"/>
          <w:lang w:eastAsia="ru-RU"/>
        </w:rPr>
      </w:pPr>
      <w:hyperlink w:anchor="_Toc120748662" w:history="1">
        <w:r w:rsidR="00C44A91" w:rsidRPr="00222C85">
          <w:rPr>
            <w:rStyle w:val="Hyperlink"/>
            <w:rFonts w:ascii="Arial" w:hAnsi="Arial" w:cs="Arial"/>
            <w:noProof/>
            <w:sz w:val="22"/>
            <w:szCs w:val="22"/>
          </w:rPr>
          <w:t>Морские научные исследования (функциональная область «А»)</w:t>
        </w:r>
        <w:r w:rsidR="00C44A91" w:rsidRPr="00222C85">
          <w:rPr>
            <w:rFonts w:ascii="Arial" w:hAnsi="Arial" w:cs="Arial"/>
            <w:noProof/>
            <w:webHidden/>
            <w:sz w:val="22"/>
            <w:szCs w:val="22"/>
          </w:rPr>
          <w:tab/>
        </w:r>
        <w:r w:rsidR="00C44A91" w:rsidRPr="00222C85">
          <w:rPr>
            <w:rFonts w:ascii="Arial" w:hAnsi="Arial" w:cs="Arial"/>
            <w:noProof/>
            <w:webHidden/>
            <w:sz w:val="22"/>
            <w:szCs w:val="22"/>
          </w:rPr>
          <w:fldChar w:fldCharType="begin"/>
        </w:r>
        <w:r w:rsidR="00C44A91" w:rsidRPr="00222C85">
          <w:rPr>
            <w:rFonts w:ascii="Arial" w:hAnsi="Arial" w:cs="Arial"/>
            <w:noProof/>
            <w:webHidden/>
            <w:sz w:val="22"/>
            <w:szCs w:val="22"/>
          </w:rPr>
          <w:instrText xml:space="preserve"> PAGEREF _Toc120748662 \h </w:instrText>
        </w:r>
        <w:r w:rsidR="00C44A91" w:rsidRPr="00222C85">
          <w:rPr>
            <w:rFonts w:ascii="Arial" w:hAnsi="Arial" w:cs="Arial"/>
            <w:noProof/>
            <w:webHidden/>
            <w:sz w:val="22"/>
            <w:szCs w:val="22"/>
          </w:rPr>
        </w:r>
        <w:r w:rsidR="00C44A91" w:rsidRPr="00222C85">
          <w:rPr>
            <w:rFonts w:ascii="Arial" w:hAnsi="Arial" w:cs="Arial"/>
            <w:noProof/>
            <w:webHidden/>
            <w:sz w:val="22"/>
            <w:szCs w:val="22"/>
          </w:rPr>
          <w:fldChar w:fldCharType="separate"/>
        </w:r>
        <w:r w:rsidR="00C44A91">
          <w:rPr>
            <w:rFonts w:ascii="Arial" w:hAnsi="Arial" w:cs="Arial"/>
            <w:noProof/>
            <w:webHidden/>
            <w:sz w:val="22"/>
            <w:szCs w:val="22"/>
          </w:rPr>
          <w:t>10</w:t>
        </w:r>
        <w:r w:rsidR="00C44A91" w:rsidRPr="00222C85">
          <w:rPr>
            <w:rFonts w:ascii="Arial" w:hAnsi="Arial" w:cs="Arial"/>
            <w:noProof/>
            <w:webHidden/>
            <w:sz w:val="22"/>
            <w:szCs w:val="22"/>
          </w:rPr>
          <w:fldChar w:fldCharType="end"/>
        </w:r>
      </w:hyperlink>
    </w:p>
    <w:p w14:paraId="3E222C4B" w14:textId="77777777" w:rsidR="00C44A91" w:rsidRPr="00222C85" w:rsidRDefault="00C0739D" w:rsidP="00C44A91">
      <w:pPr>
        <w:pStyle w:val="TOC2"/>
        <w:tabs>
          <w:tab w:val="right" w:leader="dot" w:pos="9062"/>
        </w:tabs>
        <w:rPr>
          <w:rFonts w:ascii="Arial" w:eastAsiaTheme="minorEastAsia" w:hAnsi="Arial" w:cs="Arial"/>
          <w:noProof/>
          <w:sz w:val="22"/>
          <w:szCs w:val="22"/>
          <w:lang w:eastAsia="ru-RU"/>
        </w:rPr>
      </w:pPr>
      <w:hyperlink w:anchor="_Toc120748663" w:history="1">
        <w:r w:rsidR="00C44A91" w:rsidRPr="00222C85">
          <w:rPr>
            <w:rStyle w:val="Hyperlink"/>
            <w:rFonts w:ascii="Arial" w:hAnsi="Arial" w:cs="Arial"/>
            <w:noProof/>
            <w:sz w:val="22"/>
            <w:szCs w:val="22"/>
          </w:rPr>
          <w:t xml:space="preserve">Управление системами/данными океанографических наблюдений </w:t>
        </w:r>
        <w:r w:rsidR="00C44A91">
          <w:rPr>
            <w:rStyle w:val="Hyperlink"/>
            <w:rFonts w:ascii="Arial" w:hAnsi="Arial" w:cs="Arial"/>
            <w:noProof/>
            <w:sz w:val="22"/>
            <w:szCs w:val="22"/>
          </w:rPr>
          <w:br/>
        </w:r>
        <w:r w:rsidR="00C44A91" w:rsidRPr="00222C85">
          <w:rPr>
            <w:rStyle w:val="Hyperlink"/>
            <w:rFonts w:ascii="Arial" w:hAnsi="Arial" w:cs="Arial"/>
            <w:noProof/>
            <w:sz w:val="22"/>
            <w:szCs w:val="22"/>
          </w:rPr>
          <w:t>(функциональная область «В»)</w:t>
        </w:r>
        <w:r w:rsidR="00C44A91" w:rsidRPr="00222C85">
          <w:rPr>
            <w:rFonts w:ascii="Arial" w:hAnsi="Arial" w:cs="Arial"/>
            <w:noProof/>
            <w:webHidden/>
            <w:sz w:val="22"/>
            <w:szCs w:val="22"/>
          </w:rPr>
          <w:tab/>
        </w:r>
        <w:r w:rsidR="00C44A91" w:rsidRPr="00222C85">
          <w:rPr>
            <w:rFonts w:ascii="Arial" w:hAnsi="Arial" w:cs="Arial"/>
            <w:noProof/>
            <w:webHidden/>
            <w:sz w:val="22"/>
            <w:szCs w:val="22"/>
          </w:rPr>
          <w:fldChar w:fldCharType="begin"/>
        </w:r>
        <w:r w:rsidR="00C44A91" w:rsidRPr="00222C85">
          <w:rPr>
            <w:rFonts w:ascii="Arial" w:hAnsi="Arial" w:cs="Arial"/>
            <w:noProof/>
            <w:webHidden/>
            <w:sz w:val="22"/>
            <w:szCs w:val="22"/>
          </w:rPr>
          <w:instrText xml:space="preserve"> PAGEREF _Toc120748663 \h </w:instrText>
        </w:r>
        <w:r w:rsidR="00C44A91" w:rsidRPr="00222C85">
          <w:rPr>
            <w:rFonts w:ascii="Arial" w:hAnsi="Arial" w:cs="Arial"/>
            <w:noProof/>
            <w:webHidden/>
            <w:sz w:val="22"/>
            <w:szCs w:val="22"/>
          </w:rPr>
        </w:r>
        <w:r w:rsidR="00C44A91" w:rsidRPr="00222C85">
          <w:rPr>
            <w:rFonts w:ascii="Arial" w:hAnsi="Arial" w:cs="Arial"/>
            <w:noProof/>
            <w:webHidden/>
            <w:sz w:val="22"/>
            <w:szCs w:val="22"/>
          </w:rPr>
          <w:fldChar w:fldCharType="separate"/>
        </w:r>
        <w:r w:rsidR="00C44A91">
          <w:rPr>
            <w:rFonts w:ascii="Arial" w:hAnsi="Arial" w:cs="Arial"/>
            <w:noProof/>
            <w:webHidden/>
            <w:sz w:val="22"/>
            <w:szCs w:val="22"/>
          </w:rPr>
          <w:t>11</w:t>
        </w:r>
        <w:r w:rsidR="00C44A91" w:rsidRPr="00222C85">
          <w:rPr>
            <w:rFonts w:ascii="Arial" w:hAnsi="Arial" w:cs="Arial"/>
            <w:noProof/>
            <w:webHidden/>
            <w:sz w:val="22"/>
            <w:szCs w:val="22"/>
          </w:rPr>
          <w:fldChar w:fldCharType="end"/>
        </w:r>
      </w:hyperlink>
    </w:p>
    <w:p w14:paraId="400A011A" w14:textId="77777777" w:rsidR="00C44A91" w:rsidRPr="00222C85" w:rsidRDefault="00C0739D" w:rsidP="00C44A91">
      <w:pPr>
        <w:pStyle w:val="TOC2"/>
        <w:tabs>
          <w:tab w:val="right" w:leader="dot" w:pos="9062"/>
        </w:tabs>
        <w:rPr>
          <w:rFonts w:ascii="Arial" w:eastAsiaTheme="minorEastAsia" w:hAnsi="Arial" w:cs="Arial"/>
          <w:noProof/>
          <w:sz w:val="22"/>
          <w:szCs w:val="22"/>
          <w:lang w:eastAsia="ru-RU"/>
        </w:rPr>
      </w:pPr>
      <w:hyperlink w:anchor="_Toc120748664" w:history="1">
        <w:r w:rsidR="00C44A91" w:rsidRPr="00222C85">
          <w:rPr>
            <w:rStyle w:val="Hyperlink"/>
            <w:rFonts w:ascii="Arial" w:hAnsi="Arial" w:cs="Arial"/>
            <w:noProof/>
            <w:sz w:val="22"/>
            <w:szCs w:val="22"/>
          </w:rPr>
          <w:t xml:space="preserve">Раннее предупреждение и океанографическое обслуживание </w:t>
        </w:r>
        <w:r w:rsidR="00C44A91">
          <w:rPr>
            <w:rStyle w:val="Hyperlink"/>
            <w:rFonts w:ascii="Arial" w:hAnsi="Arial" w:cs="Arial"/>
            <w:noProof/>
            <w:sz w:val="22"/>
            <w:szCs w:val="22"/>
          </w:rPr>
          <w:br/>
        </w:r>
        <w:r w:rsidR="00C44A91" w:rsidRPr="00222C85">
          <w:rPr>
            <w:rStyle w:val="Hyperlink"/>
            <w:rFonts w:ascii="Arial" w:hAnsi="Arial" w:cs="Arial"/>
            <w:noProof/>
            <w:sz w:val="22"/>
            <w:szCs w:val="22"/>
          </w:rPr>
          <w:t>(функциональная область «С»)</w:t>
        </w:r>
        <w:r w:rsidR="00C44A91" w:rsidRPr="00222C85">
          <w:rPr>
            <w:rFonts w:ascii="Arial" w:hAnsi="Arial" w:cs="Arial"/>
            <w:noProof/>
            <w:webHidden/>
            <w:sz w:val="22"/>
            <w:szCs w:val="22"/>
          </w:rPr>
          <w:tab/>
        </w:r>
        <w:r w:rsidR="00C44A91" w:rsidRPr="00222C85">
          <w:rPr>
            <w:rFonts w:ascii="Arial" w:hAnsi="Arial" w:cs="Arial"/>
            <w:noProof/>
            <w:webHidden/>
            <w:sz w:val="22"/>
            <w:szCs w:val="22"/>
          </w:rPr>
          <w:fldChar w:fldCharType="begin"/>
        </w:r>
        <w:r w:rsidR="00C44A91" w:rsidRPr="00222C85">
          <w:rPr>
            <w:rFonts w:ascii="Arial" w:hAnsi="Arial" w:cs="Arial"/>
            <w:noProof/>
            <w:webHidden/>
            <w:sz w:val="22"/>
            <w:szCs w:val="22"/>
          </w:rPr>
          <w:instrText xml:space="preserve"> PAGEREF _Toc120748664 \h </w:instrText>
        </w:r>
        <w:r w:rsidR="00C44A91" w:rsidRPr="00222C85">
          <w:rPr>
            <w:rFonts w:ascii="Arial" w:hAnsi="Arial" w:cs="Arial"/>
            <w:noProof/>
            <w:webHidden/>
            <w:sz w:val="22"/>
            <w:szCs w:val="22"/>
          </w:rPr>
        </w:r>
        <w:r w:rsidR="00C44A91" w:rsidRPr="00222C85">
          <w:rPr>
            <w:rFonts w:ascii="Arial" w:hAnsi="Arial" w:cs="Arial"/>
            <w:noProof/>
            <w:webHidden/>
            <w:sz w:val="22"/>
            <w:szCs w:val="22"/>
          </w:rPr>
          <w:fldChar w:fldCharType="separate"/>
        </w:r>
        <w:r w:rsidR="00C44A91">
          <w:rPr>
            <w:rFonts w:ascii="Arial" w:hAnsi="Arial" w:cs="Arial"/>
            <w:noProof/>
            <w:webHidden/>
            <w:sz w:val="22"/>
            <w:szCs w:val="22"/>
          </w:rPr>
          <w:t>12</w:t>
        </w:r>
        <w:r w:rsidR="00C44A91" w:rsidRPr="00222C85">
          <w:rPr>
            <w:rFonts w:ascii="Arial" w:hAnsi="Arial" w:cs="Arial"/>
            <w:noProof/>
            <w:webHidden/>
            <w:sz w:val="22"/>
            <w:szCs w:val="22"/>
          </w:rPr>
          <w:fldChar w:fldCharType="end"/>
        </w:r>
      </w:hyperlink>
    </w:p>
    <w:p w14:paraId="5AD923B3" w14:textId="77777777" w:rsidR="00C44A91" w:rsidRPr="00222C85" w:rsidRDefault="00C0739D" w:rsidP="00C44A91">
      <w:pPr>
        <w:pStyle w:val="TOC2"/>
        <w:tabs>
          <w:tab w:val="right" w:leader="dot" w:pos="9062"/>
        </w:tabs>
        <w:rPr>
          <w:rFonts w:ascii="Arial" w:eastAsiaTheme="minorEastAsia" w:hAnsi="Arial" w:cs="Arial"/>
          <w:noProof/>
          <w:sz w:val="22"/>
          <w:szCs w:val="22"/>
          <w:lang w:eastAsia="ru-RU"/>
        </w:rPr>
      </w:pPr>
      <w:hyperlink w:anchor="_Toc120748665" w:history="1">
        <w:r w:rsidR="00C44A91" w:rsidRPr="00222C85">
          <w:rPr>
            <w:rStyle w:val="Hyperlink"/>
            <w:rFonts w:ascii="Arial" w:hAnsi="Arial" w:cs="Arial"/>
            <w:noProof/>
            <w:sz w:val="22"/>
            <w:szCs w:val="22"/>
          </w:rPr>
          <w:t xml:space="preserve">Участие в механизмах оценки и информационная поддержка </w:t>
        </w:r>
        <w:r w:rsidR="00C44A91">
          <w:rPr>
            <w:rStyle w:val="Hyperlink"/>
            <w:rFonts w:ascii="Arial" w:hAnsi="Arial" w:cs="Arial"/>
            <w:noProof/>
            <w:sz w:val="22"/>
            <w:szCs w:val="22"/>
          </w:rPr>
          <w:br/>
        </w:r>
        <w:r w:rsidR="00C44A91" w:rsidRPr="00222C85">
          <w:rPr>
            <w:rStyle w:val="Hyperlink"/>
            <w:rFonts w:ascii="Arial" w:hAnsi="Arial" w:cs="Arial"/>
            <w:noProof/>
            <w:sz w:val="22"/>
            <w:szCs w:val="22"/>
          </w:rPr>
          <w:t>научно-политического взаимодействия (функциональная область «D»)</w:t>
        </w:r>
        <w:r w:rsidR="00C44A91" w:rsidRPr="00222C85">
          <w:rPr>
            <w:rFonts w:ascii="Arial" w:hAnsi="Arial" w:cs="Arial"/>
            <w:noProof/>
            <w:webHidden/>
            <w:sz w:val="22"/>
            <w:szCs w:val="22"/>
          </w:rPr>
          <w:tab/>
        </w:r>
        <w:r w:rsidR="00C44A91" w:rsidRPr="00222C85">
          <w:rPr>
            <w:rFonts w:ascii="Arial" w:hAnsi="Arial" w:cs="Arial"/>
            <w:noProof/>
            <w:webHidden/>
            <w:sz w:val="22"/>
            <w:szCs w:val="22"/>
          </w:rPr>
          <w:fldChar w:fldCharType="begin"/>
        </w:r>
        <w:r w:rsidR="00C44A91" w:rsidRPr="00222C85">
          <w:rPr>
            <w:rFonts w:ascii="Arial" w:hAnsi="Arial" w:cs="Arial"/>
            <w:noProof/>
            <w:webHidden/>
            <w:sz w:val="22"/>
            <w:szCs w:val="22"/>
          </w:rPr>
          <w:instrText xml:space="preserve"> PAGEREF _Toc120748665 \h </w:instrText>
        </w:r>
        <w:r w:rsidR="00C44A91" w:rsidRPr="00222C85">
          <w:rPr>
            <w:rFonts w:ascii="Arial" w:hAnsi="Arial" w:cs="Arial"/>
            <w:noProof/>
            <w:webHidden/>
            <w:sz w:val="22"/>
            <w:szCs w:val="22"/>
          </w:rPr>
        </w:r>
        <w:r w:rsidR="00C44A91" w:rsidRPr="00222C85">
          <w:rPr>
            <w:rFonts w:ascii="Arial" w:hAnsi="Arial" w:cs="Arial"/>
            <w:noProof/>
            <w:webHidden/>
            <w:sz w:val="22"/>
            <w:szCs w:val="22"/>
          </w:rPr>
          <w:fldChar w:fldCharType="separate"/>
        </w:r>
        <w:r w:rsidR="00C44A91">
          <w:rPr>
            <w:rFonts w:ascii="Arial" w:hAnsi="Arial" w:cs="Arial"/>
            <w:noProof/>
            <w:webHidden/>
            <w:sz w:val="22"/>
            <w:szCs w:val="22"/>
          </w:rPr>
          <w:t>13</w:t>
        </w:r>
        <w:r w:rsidR="00C44A91" w:rsidRPr="00222C85">
          <w:rPr>
            <w:rFonts w:ascii="Arial" w:hAnsi="Arial" w:cs="Arial"/>
            <w:noProof/>
            <w:webHidden/>
            <w:sz w:val="22"/>
            <w:szCs w:val="22"/>
          </w:rPr>
          <w:fldChar w:fldCharType="end"/>
        </w:r>
      </w:hyperlink>
    </w:p>
    <w:p w14:paraId="573B8163" w14:textId="77777777" w:rsidR="00C44A91" w:rsidRPr="00222C85" w:rsidRDefault="00C0739D" w:rsidP="00C44A91">
      <w:pPr>
        <w:pStyle w:val="TOC2"/>
        <w:tabs>
          <w:tab w:val="right" w:leader="dot" w:pos="9062"/>
        </w:tabs>
        <w:rPr>
          <w:rFonts w:ascii="Arial" w:eastAsiaTheme="minorEastAsia" w:hAnsi="Arial" w:cs="Arial"/>
          <w:noProof/>
          <w:sz w:val="22"/>
          <w:szCs w:val="22"/>
          <w:lang w:eastAsia="ru-RU"/>
        </w:rPr>
      </w:pPr>
      <w:hyperlink w:anchor="_Toc120748666" w:history="1">
        <w:r w:rsidR="00C44A91" w:rsidRPr="00222C85">
          <w:rPr>
            <w:rStyle w:val="Hyperlink"/>
            <w:rFonts w:ascii="Arial" w:hAnsi="Arial" w:cs="Arial"/>
            <w:noProof/>
            <w:sz w:val="22"/>
            <w:szCs w:val="22"/>
          </w:rPr>
          <w:t xml:space="preserve">Актуальные аспекты будущей модели рационального морепользования и научно обоснованного управления ресурсами Мирового океана </w:t>
        </w:r>
        <w:r w:rsidR="00C44A91">
          <w:rPr>
            <w:rStyle w:val="Hyperlink"/>
            <w:rFonts w:ascii="Arial" w:hAnsi="Arial" w:cs="Arial"/>
            <w:noProof/>
            <w:sz w:val="22"/>
            <w:szCs w:val="22"/>
          </w:rPr>
          <w:br/>
        </w:r>
        <w:r w:rsidR="00C44A91" w:rsidRPr="00222C85">
          <w:rPr>
            <w:rStyle w:val="Hyperlink"/>
            <w:rFonts w:ascii="Arial" w:hAnsi="Arial" w:cs="Arial"/>
            <w:noProof/>
            <w:sz w:val="22"/>
            <w:szCs w:val="22"/>
          </w:rPr>
          <w:t>(функциональная область «Е»)</w:t>
        </w:r>
        <w:r w:rsidR="00C44A91" w:rsidRPr="00222C85">
          <w:rPr>
            <w:rFonts w:ascii="Arial" w:hAnsi="Arial" w:cs="Arial"/>
            <w:noProof/>
            <w:webHidden/>
            <w:sz w:val="22"/>
            <w:szCs w:val="22"/>
          </w:rPr>
          <w:tab/>
        </w:r>
        <w:r w:rsidR="00C44A91" w:rsidRPr="00222C85">
          <w:rPr>
            <w:rFonts w:ascii="Arial" w:hAnsi="Arial" w:cs="Arial"/>
            <w:noProof/>
            <w:webHidden/>
            <w:sz w:val="22"/>
            <w:szCs w:val="22"/>
          </w:rPr>
          <w:fldChar w:fldCharType="begin"/>
        </w:r>
        <w:r w:rsidR="00C44A91" w:rsidRPr="00222C85">
          <w:rPr>
            <w:rFonts w:ascii="Arial" w:hAnsi="Arial" w:cs="Arial"/>
            <w:noProof/>
            <w:webHidden/>
            <w:sz w:val="22"/>
            <w:szCs w:val="22"/>
          </w:rPr>
          <w:instrText xml:space="preserve"> PAGEREF _Toc120748666 \h </w:instrText>
        </w:r>
        <w:r w:rsidR="00C44A91" w:rsidRPr="00222C85">
          <w:rPr>
            <w:rFonts w:ascii="Arial" w:hAnsi="Arial" w:cs="Arial"/>
            <w:noProof/>
            <w:webHidden/>
            <w:sz w:val="22"/>
            <w:szCs w:val="22"/>
          </w:rPr>
        </w:r>
        <w:r w:rsidR="00C44A91" w:rsidRPr="00222C85">
          <w:rPr>
            <w:rFonts w:ascii="Arial" w:hAnsi="Arial" w:cs="Arial"/>
            <w:noProof/>
            <w:webHidden/>
            <w:sz w:val="22"/>
            <w:szCs w:val="22"/>
          </w:rPr>
          <w:fldChar w:fldCharType="separate"/>
        </w:r>
        <w:r w:rsidR="00C44A91">
          <w:rPr>
            <w:rFonts w:ascii="Arial" w:hAnsi="Arial" w:cs="Arial"/>
            <w:noProof/>
            <w:webHidden/>
            <w:sz w:val="22"/>
            <w:szCs w:val="22"/>
          </w:rPr>
          <w:t>14</w:t>
        </w:r>
        <w:r w:rsidR="00C44A91" w:rsidRPr="00222C85">
          <w:rPr>
            <w:rFonts w:ascii="Arial" w:hAnsi="Arial" w:cs="Arial"/>
            <w:noProof/>
            <w:webHidden/>
            <w:sz w:val="22"/>
            <w:szCs w:val="22"/>
          </w:rPr>
          <w:fldChar w:fldCharType="end"/>
        </w:r>
      </w:hyperlink>
    </w:p>
    <w:p w14:paraId="20DF9A5E" w14:textId="77777777" w:rsidR="00C44A91" w:rsidRPr="00222C85" w:rsidRDefault="00C0739D" w:rsidP="00C44A91">
      <w:pPr>
        <w:pStyle w:val="TOC2"/>
        <w:tabs>
          <w:tab w:val="right" w:leader="dot" w:pos="9062"/>
        </w:tabs>
        <w:rPr>
          <w:rFonts w:ascii="Arial" w:eastAsiaTheme="minorEastAsia" w:hAnsi="Arial" w:cs="Arial"/>
          <w:noProof/>
          <w:sz w:val="22"/>
          <w:szCs w:val="22"/>
          <w:lang w:eastAsia="ru-RU"/>
        </w:rPr>
      </w:pPr>
      <w:hyperlink w:anchor="_Toc120748667" w:history="1">
        <w:r w:rsidR="00C44A91" w:rsidRPr="00222C85">
          <w:rPr>
            <w:rStyle w:val="Hyperlink"/>
            <w:rFonts w:ascii="Arial" w:hAnsi="Arial" w:cs="Arial"/>
            <w:noProof/>
            <w:sz w:val="22"/>
            <w:szCs w:val="22"/>
          </w:rPr>
          <w:t xml:space="preserve">Развитие потенциала и повышение грамотности в связанных с океаном </w:t>
        </w:r>
        <w:r w:rsidR="00C44A91">
          <w:rPr>
            <w:rStyle w:val="Hyperlink"/>
            <w:rFonts w:ascii="Arial" w:hAnsi="Arial" w:cs="Arial"/>
            <w:noProof/>
            <w:sz w:val="22"/>
            <w:szCs w:val="22"/>
          </w:rPr>
          <w:br/>
        </w:r>
        <w:r w:rsidR="00C44A91" w:rsidRPr="00222C85">
          <w:rPr>
            <w:rStyle w:val="Hyperlink"/>
            <w:rFonts w:ascii="Arial" w:hAnsi="Arial" w:cs="Arial"/>
            <w:noProof/>
            <w:sz w:val="22"/>
            <w:szCs w:val="22"/>
          </w:rPr>
          <w:t>вопросах (функциональная область «F»)</w:t>
        </w:r>
        <w:r w:rsidR="00C44A91" w:rsidRPr="00222C85">
          <w:rPr>
            <w:rFonts w:ascii="Arial" w:hAnsi="Arial" w:cs="Arial"/>
            <w:noProof/>
            <w:webHidden/>
            <w:sz w:val="22"/>
            <w:szCs w:val="22"/>
          </w:rPr>
          <w:tab/>
        </w:r>
        <w:r w:rsidR="00C44A91" w:rsidRPr="00222C85">
          <w:rPr>
            <w:rFonts w:ascii="Arial" w:hAnsi="Arial" w:cs="Arial"/>
            <w:noProof/>
            <w:webHidden/>
            <w:sz w:val="22"/>
            <w:szCs w:val="22"/>
          </w:rPr>
          <w:fldChar w:fldCharType="begin"/>
        </w:r>
        <w:r w:rsidR="00C44A91" w:rsidRPr="00222C85">
          <w:rPr>
            <w:rFonts w:ascii="Arial" w:hAnsi="Arial" w:cs="Arial"/>
            <w:noProof/>
            <w:webHidden/>
            <w:sz w:val="22"/>
            <w:szCs w:val="22"/>
          </w:rPr>
          <w:instrText xml:space="preserve"> PAGEREF _Toc120748667 \h </w:instrText>
        </w:r>
        <w:r w:rsidR="00C44A91" w:rsidRPr="00222C85">
          <w:rPr>
            <w:rFonts w:ascii="Arial" w:hAnsi="Arial" w:cs="Arial"/>
            <w:noProof/>
            <w:webHidden/>
            <w:sz w:val="22"/>
            <w:szCs w:val="22"/>
          </w:rPr>
        </w:r>
        <w:r w:rsidR="00C44A91" w:rsidRPr="00222C85">
          <w:rPr>
            <w:rFonts w:ascii="Arial" w:hAnsi="Arial" w:cs="Arial"/>
            <w:noProof/>
            <w:webHidden/>
            <w:sz w:val="22"/>
            <w:szCs w:val="22"/>
          </w:rPr>
          <w:fldChar w:fldCharType="separate"/>
        </w:r>
        <w:r w:rsidR="00C44A91">
          <w:rPr>
            <w:rFonts w:ascii="Arial" w:hAnsi="Arial" w:cs="Arial"/>
            <w:noProof/>
            <w:webHidden/>
            <w:sz w:val="22"/>
            <w:szCs w:val="22"/>
          </w:rPr>
          <w:t>15</w:t>
        </w:r>
        <w:r w:rsidR="00C44A91" w:rsidRPr="00222C85">
          <w:rPr>
            <w:rFonts w:ascii="Arial" w:hAnsi="Arial" w:cs="Arial"/>
            <w:noProof/>
            <w:webHidden/>
            <w:sz w:val="22"/>
            <w:szCs w:val="22"/>
          </w:rPr>
          <w:fldChar w:fldCharType="end"/>
        </w:r>
      </w:hyperlink>
    </w:p>
    <w:p w14:paraId="3D31D51A" w14:textId="77777777" w:rsidR="00C44A91" w:rsidRPr="00222C85" w:rsidRDefault="00C0739D" w:rsidP="00C44A91">
      <w:pPr>
        <w:pStyle w:val="TOC2"/>
        <w:tabs>
          <w:tab w:val="right" w:leader="dot" w:pos="9062"/>
        </w:tabs>
        <w:rPr>
          <w:rFonts w:ascii="Arial" w:eastAsiaTheme="minorEastAsia" w:hAnsi="Arial" w:cs="Arial"/>
          <w:noProof/>
          <w:sz w:val="22"/>
          <w:szCs w:val="22"/>
          <w:lang w:eastAsia="ru-RU"/>
        </w:rPr>
      </w:pPr>
      <w:hyperlink w:anchor="_Toc120748668" w:history="1">
        <w:r w:rsidR="00C44A91" w:rsidRPr="00222C85">
          <w:rPr>
            <w:rStyle w:val="Hyperlink"/>
            <w:rFonts w:ascii="Arial" w:hAnsi="Arial" w:cs="Arial"/>
            <w:noProof/>
            <w:sz w:val="22"/>
            <w:szCs w:val="22"/>
          </w:rPr>
          <w:t>Десятилетие, посвященное науке об океане</w:t>
        </w:r>
        <w:r w:rsidR="00C44A91" w:rsidRPr="00222C85">
          <w:rPr>
            <w:rFonts w:ascii="Arial" w:hAnsi="Arial" w:cs="Arial"/>
            <w:noProof/>
            <w:webHidden/>
            <w:sz w:val="22"/>
            <w:szCs w:val="22"/>
          </w:rPr>
          <w:tab/>
        </w:r>
        <w:r w:rsidR="00C44A91" w:rsidRPr="00222C85">
          <w:rPr>
            <w:rFonts w:ascii="Arial" w:hAnsi="Arial" w:cs="Arial"/>
            <w:noProof/>
            <w:webHidden/>
            <w:sz w:val="22"/>
            <w:szCs w:val="22"/>
          </w:rPr>
          <w:fldChar w:fldCharType="begin"/>
        </w:r>
        <w:r w:rsidR="00C44A91" w:rsidRPr="00222C85">
          <w:rPr>
            <w:rFonts w:ascii="Arial" w:hAnsi="Arial" w:cs="Arial"/>
            <w:noProof/>
            <w:webHidden/>
            <w:sz w:val="22"/>
            <w:szCs w:val="22"/>
          </w:rPr>
          <w:instrText xml:space="preserve"> PAGEREF _Toc120748668 \h </w:instrText>
        </w:r>
        <w:r w:rsidR="00C44A91" w:rsidRPr="00222C85">
          <w:rPr>
            <w:rFonts w:ascii="Arial" w:hAnsi="Arial" w:cs="Arial"/>
            <w:noProof/>
            <w:webHidden/>
            <w:sz w:val="22"/>
            <w:szCs w:val="22"/>
          </w:rPr>
        </w:r>
        <w:r w:rsidR="00C44A91" w:rsidRPr="00222C85">
          <w:rPr>
            <w:rFonts w:ascii="Arial" w:hAnsi="Arial" w:cs="Arial"/>
            <w:noProof/>
            <w:webHidden/>
            <w:sz w:val="22"/>
            <w:szCs w:val="22"/>
          </w:rPr>
          <w:fldChar w:fldCharType="separate"/>
        </w:r>
        <w:r w:rsidR="00C44A91">
          <w:rPr>
            <w:rFonts w:ascii="Arial" w:hAnsi="Arial" w:cs="Arial"/>
            <w:noProof/>
            <w:webHidden/>
            <w:sz w:val="22"/>
            <w:szCs w:val="22"/>
          </w:rPr>
          <w:t>16</w:t>
        </w:r>
        <w:r w:rsidR="00C44A91" w:rsidRPr="00222C85">
          <w:rPr>
            <w:rFonts w:ascii="Arial" w:hAnsi="Arial" w:cs="Arial"/>
            <w:noProof/>
            <w:webHidden/>
            <w:sz w:val="22"/>
            <w:szCs w:val="22"/>
          </w:rPr>
          <w:fldChar w:fldCharType="end"/>
        </w:r>
      </w:hyperlink>
    </w:p>
    <w:p w14:paraId="3BC90ED4" w14:textId="77777777" w:rsidR="00C44A91" w:rsidRPr="00222C85" w:rsidRDefault="00C0739D" w:rsidP="00C44A91">
      <w:pPr>
        <w:pStyle w:val="TOC2"/>
        <w:tabs>
          <w:tab w:val="right" w:leader="dot" w:pos="9062"/>
        </w:tabs>
        <w:rPr>
          <w:rFonts w:ascii="Arial" w:eastAsiaTheme="minorEastAsia" w:hAnsi="Arial" w:cs="Arial"/>
          <w:noProof/>
          <w:sz w:val="22"/>
          <w:szCs w:val="22"/>
          <w:lang w:eastAsia="ru-RU"/>
        </w:rPr>
      </w:pPr>
      <w:hyperlink w:anchor="_Toc120748669" w:history="1">
        <w:r w:rsidR="00C44A91" w:rsidRPr="00222C85">
          <w:rPr>
            <w:rStyle w:val="Hyperlink"/>
            <w:rFonts w:ascii="Arial" w:hAnsi="Arial" w:cs="Arial"/>
            <w:noProof/>
            <w:sz w:val="22"/>
            <w:szCs w:val="22"/>
          </w:rPr>
          <w:t xml:space="preserve">Обеспечение максимальной эффективности поддержки, оказываемой </w:t>
        </w:r>
        <w:r w:rsidR="00C44A91">
          <w:rPr>
            <w:rStyle w:val="Hyperlink"/>
            <w:rFonts w:ascii="Arial" w:hAnsi="Arial" w:cs="Arial"/>
            <w:noProof/>
            <w:sz w:val="22"/>
            <w:szCs w:val="22"/>
          </w:rPr>
          <w:br/>
        </w:r>
        <w:r w:rsidR="00C44A91" w:rsidRPr="00222C85">
          <w:rPr>
            <w:rStyle w:val="Hyperlink"/>
            <w:rFonts w:ascii="Arial" w:hAnsi="Arial" w:cs="Arial"/>
            <w:noProof/>
            <w:sz w:val="22"/>
            <w:szCs w:val="22"/>
          </w:rPr>
          <w:t xml:space="preserve">МОК основным бенефициарам, посредством концентрации усилий </w:t>
        </w:r>
        <w:r w:rsidR="00C44A91">
          <w:rPr>
            <w:rStyle w:val="Hyperlink"/>
            <w:rFonts w:ascii="Arial" w:hAnsi="Arial" w:cs="Arial"/>
            <w:noProof/>
            <w:sz w:val="22"/>
            <w:szCs w:val="22"/>
          </w:rPr>
          <w:br/>
        </w:r>
        <w:r w:rsidR="00C44A91" w:rsidRPr="00222C85">
          <w:rPr>
            <w:rStyle w:val="Hyperlink"/>
            <w:rFonts w:ascii="Arial" w:hAnsi="Arial" w:cs="Arial"/>
            <w:noProof/>
            <w:sz w:val="22"/>
            <w:szCs w:val="22"/>
          </w:rPr>
          <w:t>на региональном и национальном уровнях</w:t>
        </w:r>
        <w:r w:rsidR="00C44A91" w:rsidRPr="00222C85">
          <w:rPr>
            <w:rFonts w:ascii="Arial" w:hAnsi="Arial" w:cs="Arial"/>
            <w:noProof/>
            <w:webHidden/>
            <w:sz w:val="22"/>
            <w:szCs w:val="22"/>
          </w:rPr>
          <w:tab/>
        </w:r>
        <w:r w:rsidR="00C44A91" w:rsidRPr="00222C85">
          <w:rPr>
            <w:rFonts w:ascii="Arial" w:hAnsi="Arial" w:cs="Arial"/>
            <w:noProof/>
            <w:webHidden/>
            <w:sz w:val="22"/>
            <w:szCs w:val="22"/>
          </w:rPr>
          <w:fldChar w:fldCharType="begin"/>
        </w:r>
        <w:r w:rsidR="00C44A91" w:rsidRPr="00222C85">
          <w:rPr>
            <w:rFonts w:ascii="Arial" w:hAnsi="Arial" w:cs="Arial"/>
            <w:noProof/>
            <w:webHidden/>
            <w:sz w:val="22"/>
            <w:szCs w:val="22"/>
          </w:rPr>
          <w:instrText xml:space="preserve"> PAGEREF _Toc120748669 \h </w:instrText>
        </w:r>
        <w:r w:rsidR="00C44A91" w:rsidRPr="00222C85">
          <w:rPr>
            <w:rFonts w:ascii="Arial" w:hAnsi="Arial" w:cs="Arial"/>
            <w:noProof/>
            <w:webHidden/>
            <w:sz w:val="22"/>
            <w:szCs w:val="22"/>
          </w:rPr>
        </w:r>
        <w:r w:rsidR="00C44A91" w:rsidRPr="00222C85">
          <w:rPr>
            <w:rFonts w:ascii="Arial" w:hAnsi="Arial" w:cs="Arial"/>
            <w:noProof/>
            <w:webHidden/>
            <w:sz w:val="22"/>
            <w:szCs w:val="22"/>
          </w:rPr>
          <w:fldChar w:fldCharType="separate"/>
        </w:r>
        <w:r w:rsidR="00C44A91">
          <w:rPr>
            <w:rFonts w:ascii="Arial" w:hAnsi="Arial" w:cs="Arial"/>
            <w:noProof/>
            <w:webHidden/>
            <w:sz w:val="22"/>
            <w:szCs w:val="22"/>
          </w:rPr>
          <w:t>18</w:t>
        </w:r>
        <w:r w:rsidR="00C44A91" w:rsidRPr="00222C85">
          <w:rPr>
            <w:rFonts w:ascii="Arial" w:hAnsi="Arial" w:cs="Arial"/>
            <w:noProof/>
            <w:webHidden/>
            <w:sz w:val="22"/>
            <w:szCs w:val="22"/>
          </w:rPr>
          <w:fldChar w:fldCharType="end"/>
        </w:r>
      </w:hyperlink>
    </w:p>
    <w:p w14:paraId="2B4AA053" w14:textId="77777777" w:rsidR="00C44A91" w:rsidRPr="00222C85" w:rsidRDefault="00C0739D" w:rsidP="00C44A91">
      <w:pPr>
        <w:pStyle w:val="TOC2"/>
        <w:tabs>
          <w:tab w:val="right" w:leader="dot" w:pos="9062"/>
        </w:tabs>
        <w:rPr>
          <w:rFonts w:ascii="Arial" w:eastAsiaTheme="minorEastAsia" w:hAnsi="Arial" w:cs="Arial"/>
          <w:noProof/>
          <w:sz w:val="22"/>
          <w:szCs w:val="22"/>
          <w:lang w:eastAsia="ru-RU"/>
        </w:rPr>
      </w:pPr>
      <w:hyperlink w:anchor="_Toc120748670" w:history="1">
        <w:r w:rsidR="00C44A91" w:rsidRPr="00222C85">
          <w:rPr>
            <w:rStyle w:val="Hyperlink"/>
            <w:rFonts w:ascii="Arial" w:hAnsi="Arial" w:cs="Arial"/>
            <w:noProof/>
            <w:sz w:val="22"/>
            <w:szCs w:val="22"/>
          </w:rPr>
          <w:t>Информационно-пропагандистское обеспечение</w:t>
        </w:r>
        <w:r w:rsidR="00C44A91" w:rsidRPr="00222C85">
          <w:rPr>
            <w:rFonts w:ascii="Arial" w:hAnsi="Arial" w:cs="Arial"/>
            <w:noProof/>
            <w:webHidden/>
            <w:sz w:val="22"/>
            <w:szCs w:val="22"/>
          </w:rPr>
          <w:tab/>
        </w:r>
        <w:r w:rsidR="00C44A91" w:rsidRPr="00222C85">
          <w:rPr>
            <w:rFonts w:ascii="Arial" w:hAnsi="Arial" w:cs="Arial"/>
            <w:noProof/>
            <w:webHidden/>
            <w:sz w:val="22"/>
            <w:szCs w:val="22"/>
          </w:rPr>
          <w:fldChar w:fldCharType="begin"/>
        </w:r>
        <w:r w:rsidR="00C44A91" w:rsidRPr="00222C85">
          <w:rPr>
            <w:rFonts w:ascii="Arial" w:hAnsi="Arial" w:cs="Arial"/>
            <w:noProof/>
            <w:webHidden/>
            <w:sz w:val="22"/>
            <w:szCs w:val="22"/>
          </w:rPr>
          <w:instrText xml:space="preserve"> PAGEREF _Toc120748670 \h </w:instrText>
        </w:r>
        <w:r w:rsidR="00C44A91" w:rsidRPr="00222C85">
          <w:rPr>
            <w:rFonts w:ascii="Arial" w:hAnsi="Arial" w:cs="Arial"/>
            <w:noProof/>
            <w:webHidden/>
            <w:sz w:val="22"/>
            <w:szCs w:val="22"/>
          </w:rPr>
        </w:r>
        <w:r w:rsidR="00C44A91" w:rsidRPr="00222C85">
          <w:rPr>
            <w:rFonts w:ascii="Arial" w:hAnsi="Arial" w:cs="Arial"/>
            <w:noProof/>
            <w:webHidden/>
            <w:sz w:val="22"/>
            <w:szCs w:val="22"/>
          </w:rPr>
          <w:fldChar w:fldCharType="separate"/>
        </w:r>
        <w:r w:rsidR="00C44A91">
          <w:rPr>
            <w:rFonts w:ascii="Arial" w:hAnsi="Arial" w:cs="Arial"/>
            <w:noProof/>
            <w:webHidden/>
            <w:sz w:val="22"/>
            <w:szCs w:val="22"/>
          </w:rPr>
          <w:t>19</w:t>
        </w:r>
        <w:r w:rsidR="00C44A91" w:rsidRPr="00222C85">
          <w:rPr>
            <w:rFonts w:ascii="Arial" w:hAnsi="Arial" w:cs="Arial"/>
            <w:noProof/>
            <w:webHidden/>
            <w:sz w:val="22"/>
            <w:szCs w:val="22"/>
          </w:rPr>
          <w:fldChar w:fldCharType="end"/>
        </w:r>
      </w:hyperlink>
    </w:p>
    <w:p w14:paraId="68F56AAA" w14:textId="77777777" w:rsidR="00C44A91" w:rsidRPr="00222C85" w:rsidRDefault="00C0739D" w:rsidP="00C44A91">
      <w:pPr>
        <w:pStyle w:val="TOC1"/>
        <w:rPr>
          <w:rFonts w:ascii="Arial" w:eastAsiaTheme="minorEastAsia" w:hAnsi="Arial" w:cs="Arial"/>
          <w:b w:val="0"/>
          <w:bCs w:val="0"/>
          <w:lang w:eastAsia="ru-RU"/>
        </w:rPr>
      </w:pPr>
      <w:hyperlink w:anchor="_Toc120748671" w:history="1">
        <w:r w:rsidR="00C44A91" w:rsidRPr="00222C85">
          <w:rPr>
            <w:rStyle w:val="Hyperlink"/>
            <w:rFonts w:ascii="Arial" w:hAnsi="Arial" w:cs="Arial"/>
          </w:rPr>
          <w:t>4.</w:t>
        </w:r>
        <w:r w:rsidR="00C44A91" w:rsidRPr="00222C85">
          <w:rPr>
            <w:rFonts w:ascii="Arial" w:eastAsiaTheme="minorEastAsia" w:hAnsi="Arial" w:cs="Arial"/>
            <w:b w:val="0"/>
            <w:bCs w:val="0"/>
            <w:lang w:eastAsia="ru-RU"/>
          </w:rPr>
          <w:tab/>
        </w:r>
        <w:r w:rsidR="00C44A91" w:rsidRPr="00222C85">
          <w:rPr>
            <w:rStyle w:val="Hyperlink"/>
            <w:rFonts w:ascii="Arial" w:hAnsi="Arial" w:cs="Arial"/>
          </w:rPr>
          <w:t>Прогнозная оценка необходимого ресурсного обеспечения</w:t>
        </w:r>
        <w:r w:rsidR="00C44A91" w:rsidRPr="00222C85">
          <w:rPr>
            <w:rFonts w:ascii="Arial" w:hAnsi="Arial" w:cs="Arial"/>
            <w:webHidden/>
          </w:rPr>
          <w:tab/>
        </w:r>
        <w:r w:rsidR="00C44A91" w:rsidRPr="00222C85">
          <w:rPr>
            <w:rFonts w:ascii="Arial" w:hAnsi="Arial" w:cs="Arial"/>
            <w:webHidden/>
          </w:rPr>
          <w:fldChar w:fldCharType="begin"/>
        </w:r>
        <w:r w:rsidR="00C44A91" w:rsidRPr="00222C85">
          <w:rPr>
            <w:rFonts w:ascii="Arial" w:hAnsi="Arial" w:cs="Arial"/>
            <w:webHidden/>
          </w:rPr>
          <w:instrText xml:space="preserve"> PAGEREF _Toc120748671 \h </w:instrText>
        </w:r>
        <w:r w:rsidR="00C44A91" w:rsidRPr="00222C85">
          <w:rPr>
            <w:rFonts w:ascii="Arial" w:hAnsi="Arial" w:cs="Arial"/>
            <w:webHidden/>
          </w:rPr>
        </w:r>
        <w:r w:rsidR="00C44A91" w:rsidRPr="00222C85">
          <w:rPr>
            <w:rFonts w:ascii="Arial" w:hAnsi="Arial" w:cs="Arial"/>
            <w:webHidden/>
          </w:rPr>
          <w:fldChar w:fldCharType="separate"/>
        </w:r>
        <w:r w:rsidR="00C44A91">
          <w:rPr>
            <w:rFonts w:ascii="Arial" w:hAnsi="Arial" w:cs="Arial"/>
            <w:webHidden/>
          </w:rPr>
          <w:t>19</w:t>
        </w:r>
        <w:r w:rsidR="00C44A91" w:rsidRPr="00222C85">
          <w:rPr>
            <w:rFonts w:ascii="Arial" w:hAnsi="Arial" w:cs="Arial"/>
            <w:webHidden/>
          </w:rPr>
          <w:fldChar w:fldCharType="end"/>
        </w:r>
      </w:hyperlink>
    </w:p>
    <w:p w14:paraId="2A09E5C8" w14:textId="77777777" w:rsidR="00C44A91" w:rsidRPr="00222C85" w:rsidRDefault="00C0739D" w:rsidP="00C44A91">
      <w:pPr>
        <w:pStyle w:val="TOC1"/>
        <w:rPr>
          <w:rFonts w:ascii="Arial" w:eastAsiaTheme="minorEastAsia" w:hAnsi="Arial" w:cs="Arial"/>
          <w:b w:val="0"/>
          <w:bCs w:val="0"/>
          <w:lang w:eastAsia="ru-RU"/>
        </w:rPr>
      </w:pPr>
      <w:hyperlink w:anchor="_Toc120748672" w:history="1">
        <w:r w:rsidR="00C44A91" w:rsidRPr="00222C85">
          <w:rPr>
            <w:rStyle w:val="Hyperlink"/>
            <w:rFonts w:ascii="Arial" w:hAnsi="Arial" w:cs="Arial"/>
          </w:rPr>
          <w:t>5.</w:t>
        </w:r>
        <w:r w:rsidR="00C44A91" w:rsidRPr="00222C85">
          <w:rPr>
            <w:rFonts w:ascii="Arial" w:eastAsiaTheme="minorEastAsia" w:hAnsi="Arial" w:cs="Arial"/>
            <w:b w:val="0"/>
            <w:bCs w:val="0"/>
            <w:lang w:eastAsia="ru-RU"/>
          </w:rPr>
          <w:tab/>
        </w:r>
        <w:r w:rsidR="00C44A91" w:rsidRPr="00222C85">
          <w:rPr>
            <w:rStyle w:val="Hyperlink"/>
            <w:rFonts w:ascii="Arial" w:hAnsi="Arial" w:cs="Arial"/>
          </w:rPr>
          <w:t>Основные выводы</w:t>
        </w:r>
        <w:r w:rsidR="00C44A91" w:rsidRPr="00222C85">
          <w:rPr>
            <w:rFonts w:ascii="Arial" w:hAnsi="Arial" w:cs="Arial"/>
            <w:webHidden/>
          </w:rPr>
          <w:tab/>
        </w:r>
        <w:r w:rsidR="00C44A91" w:rsidRPr="00222C85">
          <w:rPr>
            <w:rFonts w:ascii="Arial" w:hAnsi="Arial" w:cs="Arial"/>
            <w:webHidden/>
          </w:rPr>
          <w:fldChar w:fldCharType="begin"/>
        </w:r>
        <w:r w:rsidR="00C44A91" w:rsidRPr="00222C85">
          <w:rPr>
            <w:rFonts w:ascii="Arial" w:hAnsi="Arial" w:cs="Arial"/>
            <w:webHidden/>
          </w:rPr>
          <w:instrText xml:space="preserve"> PAGEREF _Toc120748672 \h </w:instrText>
        </w:r>
        <w:r w:rsidR="00C44A91" w:rsidRPr="00222C85">
          <w:rPr>
            <w:rFonts w:ascii="Arial" w:hAnsi="Arial" w:cs="Arial"/>
            <w:webHidden/>
          </w:rPr>
        </w:r>
        <w:r w:rsidR="00C44A91" w:rsidRPr="00222C85">
          <w:rPr>
            <w:rFonts w:ascii="Arial" w:hAnsi="Arial" w:cs="Arial"/>
            <w:webHidden/>
          </w:rPr>
          <w:fldChar w:fldCharType="separate"/>
        </w:r>
        <w:r w:rsidR="00C44A91">
          <w:rPr>
            <w:rFonts w:ascii="Arial" w:hAnsi="Arial" w:cs="Arial"/>
            <w:webHidden/>
          </w:rPr>
          <w:t>21</w:t>
        </w:r>
        <w:r w:rsidR="00C44A91" w:rsidRPr="00222C85">
          <w:rPr>
            <w:rFonts w:ascii="Arial" w:hAnsi="Arial" w:cs="Arial"/>
            <w:webHidden/>
          </w:rPr>
          <w:fldChar w:fldCharType="end"/>
        </w:r>
      </w:hyperlink>
    </w:p>
    <w:p w14:paraId="207B82D2" w14:textId="71AE0867" w:rsidR="005B754A" w:rsidRPr="00C44A91" w:rsidRDefault="00C44A91" w:rsidP="00C44A91">
      <w:pPr>
        <w:pStyle w:val="TOC1"/>
        <w:rPr>
          <w:rFonts w:ascii="Arial" w:hAnsi="Arial" w:cs="Arial"/>
        </w:rPr>
      </w:pPr>
      <w:r w:rsidRPr="00222C85">
        <w:rPr>
          <w:rFonts w:ascii="Arial" w:hAnsi="Arial" w:cs="Arial"/>
        </w:rPr>
        <w:fldChar w:fldCharType="end"/>
      </w:r>
    </w:p>
    <w:p w14:paraId="4F1410C6" w14:textId="64481496" w:rsidR="005B754A" w:rsidRDefault="005B754A" w:rsidP="00597D6E">
      <w:pPr>
        <w:spacing w:after="160" w:line="259" w:lineRule="auto"/>
        <w:rPr>
          <w:rFonts w:asciiTheme="minorBidi" w:hAnsiTheme="minorBidi" w:cstheme="minorBidi"/>
          <w:b/>
          <w:lang w:val="en-US"/>
        </w:rPr>
      </w:pPr>
      <w:r>
        <w:rPr>
          <w:rFonts w:asciiTheme="minorBidi" w:hAnsiTheme="minorBidi" w:cstheme="minorBidi"/>
          <w:b/>
          <w:lang w:val="en-US"/>
        </w:rPr>
        <w:br w:type="page"/>
      </w:r>
    </w:p>
    <w:p w14:paraId="469EAAB5" w14:textId="77777777" w:rsidR="00C44A91" w:rsidRPr="00C44A91" w:rsidRDefault="00C44A91" w:rsidP="00C44A91">
      <w:pPr>
        <w:pStyle w:val="Heading1"/>
        <w:spacing w:before="360"/>
        <w:rPr>
          <w:rFonts w:cs="Arial"/>
          <w:szCs w:val="22"/>
          <w:lang w:val="ru-RU"/>
        </w:rPr>
      </w:pPr>
      <w:bookmarkStart w:id="3" w:name="_Toc120748655"/>
      <w:r w:rsidRPr="00C44A91">
        <w:rPr>
          <w:rFonts w:cs="Arial"/>
          <w:szCs w:val="22"/>
          <w:lang w:val="ru-RU"/>
        </w:rPr>
        <w:lastRenderedPageBreak/>
        <w:t>Рабочее резюме</w:t>
      </w:r>
      <w:bookmarkEnd w:id="3"/>
    </w:p>
    <w:p w14:paraId="5007B440" w14:textId="77777777" w:rsidR="00C44A91" w:rsidRPr="00C44A91" w:rsidRDefault="00C44A91" w:rsidP="00C44A91">
      <w:pPr>
        <w:spacing w:after="240"/>
        <w:jc w:val="both"/>
        <w:rPr>
          <w:rFonts w:cs="Arial"/>
          <w:szCs w:val="22"/>
          <w:lang w:val="ru-RU"/>
        </w:rPr>
      </w:pPr>
      <w:r w:rsidRPr="00C44A91">
        <w:rPr>
          <w:rFonts w:cs="Arial"/>
          <w:szCs w:val="22"/>
          <w:lang w:val="ru-RU"/>
        </w:rPr>
        <w:t>Исполнительный совет МОК на своей 55-й сессии просил Исполнительного секретаря представить Совету «смету бюджетных расходов, включая потребности в кадровых ресурсах, необходимых для устойчивого осуществления основных программ МОК и расширения масштабов ее деятельности в свете возросшего спроса со стороны государств-членов и других заинтересованных сторон». Данный документ был подготовлен в соответствии с вышеупомянутым запросом Исполнительного совета МОК.</w:t>
      </w:r>
    </w:p>
    <w:p w14:paraId="529AD490" w14:textId="77777777" w:rsidR="00C44A91" w:rsidRPr="00C44A91" w:rsidRDefault="00C44A91" w:rsidP="00C44A91">
      <w:pPr>
        <w:spacing w:after="240"/>
        <w:jc w:val="both"/>
        <w:rPr>
          <w:rFonts w:cs="Arial"/>
          <w:color w:val="000000"/>
          <w:szCs w:val="22"/>
          <w:lang w:val="ru-RU"/>
        </w:rPr>
      </w:pPr>
      <w:r w:rsidRPr="00C44A91">
        <w:rPr>
          <w:rFonts w:cs="Arial"/>
          <w:szCs w:val="22"/>
          <w:lang w:val="ru-RU"/>
        </w:rPr>
        <w:t>Текущий комплексный бюджет МОК составляет 31,8 млн. долл. США, включая 11,2 млн. долл., ассигнованных по линии бюджета обычной программы (ОП), в том числе 9,4 млн. долл. по статье «расходы на персонал» (эквивалент полной занятости 28,5 штатных должностей сотрудников, работающих по срочным контрактам) и 1,8 млн. долл. по статье «мероприятия». Объем внебюджетных средств (ВБС), подлежащих привлечению, составляет 65% (20,6</w:t>
      </w:r>
      <w:r>
        <w:rPr>
          <w:rFonts w:cs="Arial"/>
          <w:szCs w:val="22"/>
        </w:rPr>
        <w:t> </w:t>
      </w:r>
      <w:r w:rsidRPr="00C44A91">
        <w:rPr>
          <w:rFonts w:cs="Arial"/>
          <w:szCs w:val="22"/>
          <w:lang w:val="ru-RU"/>
        </w:rPr>
        <w:t>млн.</w:t>
      </w:r>
      <w:r>
        <w:rPr>
          <w:rFonts w:cs="Arial"/>
          <w:szCs w:val="22"/>
        </w:rPr>
        <w:t> </w:t>
      </w:r>
      <w:r w:rsidRPr="00C44A91">
        <w:rPr>
          <w:rFonts w:cs="Arial"/>
          <w:szCs w:val="22"/>
          <w:lang w:val="ru-RU"/>
        </w:rPr>
        <w:t>долл.) от общей суммы бюджета МОК. На сегодняшний день сумма подтвержденных добровольных взносов составляет всего 4,4 млн. долл., а дефицит финансирования, соответственно, 16,2 млн. долл. Тем не менее, с учетом подтвержденных взносов и сэкономленных внебюджетных средств МОК имеет возможность использовать дополнительно около 30 сотрудников на основе временных контрактов. Таким образом, общее число сотрудников, работающих в МОК в настоящее время, составляет 60 человек, что пока существенно ниже уровня, необходимого для выполнения Комиссией возложенных на нее задач, в том числе координации проведения Десятилетия науки об океане. Принципиально важным является то, что условия найма указанных сотрудников, должности которых финансируются за счет внебюджетных средств, являются нестабильными и не обеспечивают постоянный и предсказуемый характер их занятости.</w:t>
      </w:r>
    </w:p>
    <w:p w14:paraId="18D985EF" w14:textId="77777777" w:rsidR="00C44A91" w:rsidRPr="00C44A91" w:rsidRDefault="00C44A91" w:rsidP="00C44A91">
      <w:pPr>
        <w:spacing w:after="240"/>
        <w:jc w:val="both"/>
        <w:rPr>
          <w:rFonts w:cs="Arial"/>
          <w:color w:val="000000"/>
          <w:szCs w:val="22"/>
          <w:lang w:val="ru-RU"/>
        </w:rPr>
      </w:pPr>
      <w:r w:rsidRPr="00C44A91">
        <w:rPr>
          <w:rFonts w:cs="Arial"/>
          <w:color w:val="000000"/>
          <w:szCs w:val="22"/>
          <w:lang w:val="ru-RU"/>
        </w:rPr>
        <w:t>На основе анализа текущей и предполагаемой деятельности, а также ожидаемых в рамках всех функциональных областей МОК и в рамках проведения Десятилетия науки об океане результатов</w:t>
      </w:r>
      <w:r w:rsidRPr="00F943C5">
        <w:rPr>
          <w:rStyle w:val="FootnoteReference"/>
          <w:rFonts w:cs="Arial"/>
          <w:color w:val="000000"/>
          <w:szCs w:val="22"/>
        </w:rPr>
        <w:footnoteReference w:id="1"/>
      </w:r>
      <w:r w:rsidRPr="00C44A91">
        <w:rPr>
          <w:rFonts w:cs="Arial"/>
          <w:color w:val="000000"/>
          <w:szCs w:val="22"/>
          <w:lang w:val="ru-RU"/>
        </w:rPr>
        <w:t xml:space="preserve"> в настоящем документе представлены расчетные параметры требуемого </w:t>
      </w:r>
      <w:r w:rsidRPr="00C44A91">
        <w:rPr>
          <w:rFonts w:cs="Arial"/>
          <w:b/>
          <w:color w:val="000000"/>
          <w:szCs w:val="22"/>
          <w:lang w:val="ru-RU"/>
        </w:rPr>
        <w:t>комплексного бюджета МОК в объеме 50 млн. долл.</w:t>
      </w:r>
      <w:r w:rsidRPr="00C44A91">
        <w:rPr>
          <w:rFonts w:cs="Arial"/>
          <w:color w:val="000000"/>
          <w:szCs w:val="22"/>
          <w:lang w:val="ru-RU"/>
        </w:rPr>
        <w:t>, включая</w:t>
      </w:r>
      <w:r w:rsidRPr="00C44A91">
        <w:rPr>
          <w:rFonts w:cs="Arial"/>
          <w:b/>
          <w:color w:val="000000"/>
          <w:szCs w:val="22"/>
          <w:lang w:val="ru-RU"/>
        </w:rPr>
        <w:t xml:space="preserve"> увеличение с 60 до 90 человек </w:t>
      </w:r>
      <w:r w:rsidRPr="00C44A91">
        <w:rPr>
          <w:rFonts w:cs="Arial"/>
          <w:b/>
          <w:i/>
          <w:iCs/>
          <w:color w:val="000000"/>
          <w:szCs w:val="22"/>
          <w:lang w:val="ru-RU"/>
        </w:rPr>
        <w:t>общего</w:t>
      </w:r>
      <w:r w:rsidRPr="00C44A91">
        <w:rPr>
          <w:rFonts w:cs="Arial"/>
          <w:b/>
          <w:color w:val="000000"/>
          <w:szCs w:val="22"/>
          <w:lang w:val="ru-RU"/>
        </w:rPr>
        <w:t xml:space="preserve"> числа работающих в МОК сотрудников, </w:t>
      </w:r>
      <w:r w:rsidRPr="00C44A91">
        <w:rPr>
          <w:rFonts w:cs="Arial"/>
          <w:color w:val="000000"/>
          <w:szCs w:val="22"/>
          <w:lang w:val="ru-RU"/>
        </w:rPr>
        <w:t>(в том числе работающих по срочным контрактам, финансируемым за счет внебюджетных средств). Представленные выкладки предполагают увеличение примерно на 57% общего объема бюджета и 50-процентное увеличение совокупной численности сотрудников.</w:t>
      </w:r>
    </w:p>
    <w:p w14:paraId="6BF3F1B2" w14:textId="77777777" w:rsidR="00C44A91" w:rsidRPr="00C44A91" w:rsidRDefault="00C44A91" w:rsidP="00C44A91">
      <w:pPr>
        <w:spacing w:after="240"/>
        <w:jc w:val="both"/>
        <w:rPr>
          <w:rFonts w:cs="Arial"/>
          <w:szCs w:val="22"/>
          <w:lang w:val="ru-RU"/>
        </w:rPr>
      </w:pPr>
      <w:r w:rsidRPr="00C44A91">
        <w:rPr>
          <w:rFonts w:cs="Arial"/>
          <w:szCs w:val="22"/>
          <w:lang w:val="ru-RU"/>
        </w:rPr>
        <w:t>Авторы доклада признают сложность реализации задачи существенного изменения объема средств, выделяемых МОК по линии бюджета обычной программы, учитывая низкую вероятность увеличения бюджета ОП ЮНЕСКО в номинальном выражении (что в реальности фактически означает уменьшение объема имеющихся в распоряжении средств).</w:t>
      </w:r>
      <w:r w:rsidRPr="00C44A91">
        <w:rPr>
          <w:rFonts w:cs="Arial"/>
          <w:color w:val="000000"/>
          <w:szCs w:val="22"/>
          <w:lang w:val="ru-RU"/>
        </w:rPr>
        <w:t xml:space="preserve"> </w:t>
      </w:r>
      <w:r w:rsidRPr="00C44A91">
        <w:rPr>
          <w:rFonts w:cs="Arial"/>
          <w:szCs w:val="22"/>
          <w:lang w:val="ru-RU"/>
        </w:rPr>
        <w:t xml:space="preserve">В этой ситуации </w:t>
      </w:r>
      <w:r w:rsidRPr="00C44A91">
        <w:rPr>
          <w:rFonts w:cs="Arial"/>
          <w:b/>
          <w:szCs w:val="22"/>
          <w:lang w:val="ru-RU"/>
        </w:rPr>
        <w:t xml:space="preserve">единственным реальным способом удовлетворения острой потребности МОК в увеличении ее бюджета, вероятнее всего, является повышение заинтересованности государств – членов МОК в том, чтобы обеспечить более устойчивое и предсказуемое внебюджетное финансирование, в частности предоставление </w:t>
      </w:r>
      <w:proofErr w:type="gramStart"/>
      <w:r w:rsidRPr="00C44A91">
        <w:rPr>
          <w:rFonts w:cs="Arial"/>
          <w:b/>
          <w:szCs w:val="22"/>
          <w:lang w:val="ru-RU"/>
        </w:rPr>
        <w:t>т.н.</w:t>
      </w:r>
      <w:proofErr w:type="gramEnd"/>
      <w:r w:rsidRPr="00C44A91">
        <w:rPr>
          <w:rFonts w:cs="Arial"/>
          <w:b/>
          <w:szCs w:val="22"/>
          <w:lang w:val="ru-RU"/>
        </w:rPr>
        <w:t xml:space="preserve"> базовых добровольных взносов</w:t>
      </w:r>
      <w:r w:rsidRPr="00C44A91">
        <w:rPr>
          <w:rFonts w:cs="Arial"/>
          <w:szCs w:val="22"/>
          <w:lang w:val="ru-RU"/>
        </w:rPr>
        <w:t>.</w:t>
      </w:r>
    </w:p>
    <w:p w14:paraId="088C2BA2" w14:textId="77777777" w:rsidR="00C44A91" w:rsidRPr="00C44A91" w:rsidRDefault="00C44A91" w:rsidP="00C44A91">
      <w:pPr>
        <w:spacing w:after="240"/>
        <w:jc w:val="both"/>
        <w:rPr>
          <w:rFonts w:cs="Arial"/>
          <w:szCs w:val="22"/>
          <w:lang w:val="ru-RU"/>
        </w:rPr>
      </w:pPr>
      <w:r w:rsidRPr="00C44A91">
        <w:rPr>
          <w:rFonts w:cs="Arial"/>
          <w:szCs w:val="22"/>
          <w:lang w:val="ru-RU"/>
        </w:rPr>
        <w:t>В связи с этим государствам – членам МОК предлагается рассмотреть возможность задействования нестандартных и более устойчивых механизмов в целях наращивания ресурсной поддержки МОК. Подобное укрепление ресурсной базы позволит МОК справиться с расширенным кругом стоящих перед ней сегодня задач и обеспечить координацию проведения Десятилетия науки об океане, создав тем самым новые условия для развития морских наук в интересах перехода человечества на принципы неистощительного использования ресурсов Мирового океана.</w:t>
      </w:r>
    </w:p>
    <w:p w14:paraId="0472A3F9" w14:textId="77777777" w:rsidR="00C44A91" w:rsidRPr="00C44A91" w:rsidRDefault="00C44A91" w:rsidP="00A721F8">
      <w:pPr>
        <w:pStyle w:val="Heading1"/>
        <w:numPr>
          <w:ilvl w:val="0"/>
          <w:numId w:val="19"/>
        </w:numPr>
        <w:tabs>
          <w:tab w:val="clear" w:pos="567"/>
        </w:tabs>
        <w:spacing w:before="0"/>
        <w:ind w:left="567" w:hanging="567"/>
        <w:jc w:val="left"/>
        <w:rPr>
          <w:rFonts w:cs="Arial"/>
          <w:szCs w:val="22"/>
          <w:lang w:val="ru-RU"/>
        </w:rPr>
      </w:pPr>
      <w:bookmarkStart w:id="4" w:name="_Toc120748656"/>
      <w:r w:rsidRPr="00C44A91">
        <w:rPr>
          <w:rFonts w:cs="Arial"/>
          <w:szCs w:val="22"/>
          <w:lang w:val="ru-RU"/>
        </w:rPr>
        <w:lastRenderedPageBreak/>
        <w:t>Важные события глобального характера и возросшая роль МОК-ЮНЕСКО</w:t>
      </w:r>
      <w:bookmarkEnd w:id="4"/>
    </w:p>
    <w:p w14:paraId="3D092AD3" w14:textId="77777777" w:rsidR="00C44A91" w:rsidRPr="00C44A91" w:rsidRDefault="00C44A91" w:rsidP="00C44A91">
      <w:pPr>
        <w:spacing w:after="240"/>
        <w:jc w:val="both"/>
        <w:rPr>
          <w:rFonts w:cs="Arial"/>
          <w:szCs w:val="22"/>
          <w:lang w:val="ru-RU"/>
        </w:rPr>
      </w:pPr>
      <w:r w:rsidRPr="00C44A91">
        <w:rPr>
          <w:rFonts w:cs="Arial"/>
          <w:szCs w:val="22"/>
          <w:lang w:val="ru-RU"/>
        </w:rPr>
        <w:t>Ниже перечислены основные международные события последнего времени, повлиявшие на деятельность МОК:</w:t>
      </w:r>
    </w:p>
    <w:p w14:paraId="23BCB04E" w14:textId="77777777" w:rsidR="00C44A91" w:rsidRPr="00C44A91" w:rsidRDefault="00C44A91" w:rsidP="00A721F8">
      <w:pPr>
        <w:numPr>
          <w:ilvl w:val="0"/>
          <w:numId w:val="8"/>
        </w:numPr>
        <w:pBdr>
          <w:top w:val="nil"/>
          <w:left w:val="nil"/>
          <w:bottom w:val="nil"/>
          <w:right w:val="nil"/>
          <w:between w:val="nil"/>
        </w:pBdr>
        <w:tabs>
          <w:tab w:val="clear" w:pos="567"/>
        </w:tabs>
        <w:snapToGrid/>
        <w:spacing w:after="240"/>
        <w:ind w:left="1134" w:hanging="567"/>
        <w:jc w:val="both"/>
        <w:rPr>
          <w:rFonts w:cs="Arial"/>
          <w:color w:val="000000"/>
          <w:szCs w:val="22"/>
          <w:lang w:val="ru-RU"/>
        </w:rPr>
      </w:pPr>
      <w:r w:rsidRPr="00C44A91">
        <w:rPr>
          <w:rFonts w:cs="Arial"/>
          <w:color w:val="000000"/>
          <w:szCs w:val="22"/>
          <w:lang w:val="ru-RU"/>
        </w:rPr>
        <w:t>принятие Повестки дня на период до 2030 года и включение в нее ЦУР</w:t>
      </w:r>
      <w:r w:rsidRPr="00F943C5">
        <w:rPr>
          <w:rFonts w:cs="Arial"/>
          <w:color w:val="000000"/>
          <w:szCs w:val="22"/>
        </w:rPr>
        <w:t> </w:t>
      </w:r>
      <w:r w:rsidRPr="00C44A91">
        <w:rPr>
          <w:rFonts w:cs="Arial"/>
          <w:color w:val="000000"/>
          <w:szCs w:val="22"/>
          <w:lang w:val="ru-RU"/>
        </w:rPr>
        <w:t>14, посвященной океану, в которой подчеркнута не только ключевая роль Мирового океана в деле обеспечения устойчивого развития, но и серьезность нынешнего экологического состояния океана;</w:t>
      </w:r>
    </w:p>
    <w:p w14:paraId="18C45709" w14:textId="77777777" w:rsidR="00C44A91" w:rsidRPr="00C44A91" w:rsidRDefault="00C44A91" w:rsidP="00A721F8">
      <w:pPr>
        <w:numPr>
          <w:ilvl w:val="0"/>
          <w:numId w:val="8"/>
        </w:numPr>
        <w:pBdr>
          <w:top w:val="nil"/>
          <w:left w:val="nil"/>
          <w:bottom w:val="nil"/>
          <w:right w:val="nil"/>
          <w:between w:val="nil"/>
        </w:pBdr>
        <w:tabs>
          <w:tab w:val="clear" w:pos="567"/>
        </w:tabs>
        <w:snapToGrid/>
        <w:spacing w:after="240"/>
        <w:ind w:left="1134" w:hanging="567"/>
        <w:jc w:val="both"/>
        <w:rPr>
          <w:rFonts w:cs="Arial"/>
          <w:color w:val="000000"/>
          <w:szCs w:val="22"/>
          <w:lang w:val="ru-RU"/>
        </w:rPr>
      </w:pPr>
      <w:r w:rsidRPr="00C44A91">
        <w:rPr>
          <w:rFonts w:cs="Arial"/>
          <w:color w:val="000000"/>
          <w:szCs w:val="22"/>
          <w:lang w:val="ru-RU"/>
        </w:rPr>
        <w:t>провозглашение Генеральной Ассамблеей Организации Объединенных Наций в ходе ее 72-й сессии (декабрь 2017 г.) по инициативе МОК Десятилетия ООН, посвященного науке об океане в интересах устойчивого развития (2021-2030 гг.), интенсивный и всеохватный процесс планирования в 2018-2020 гг. деятельности, связанной с Десятилетием, с последующим беспрецедентным по масштабам участием партнеров и поддержкой мероприятий на начальном этапе проведения Десятилетия;</w:t>
      </w:r>
    </w:p>
    <w:p w14:paraId="3F4BBEAC" w14:textId="77777777" w:rsidR="00C44A91" w:rsidRPr="00C44A91" w:rsidRDefault="00C44A91" w:rsidP="00A721F8">
      <w:pPr>
        <w:numPr>
          <w:ilvl w:val="0"/>
          <w:numId w:val="8"/>
        </w:numPr>
        <w:pBdr>
          <w:top w:val="nil"/>
          <w:left w:val="nil"/>
          <w:bottom w:val="nil"/>
          <w:right w:val="nil"/>
          <w:between w:val="nil"/>
        </w:pBdr>
        <w:tabs>
          <w:tab w:val="clear" w:pos="567"/>
        </w:tabs>
        <w:snapToGrid/>
        <w:spacing w:after="240"/>
        <w:ind w:left="1134" w:hanging="567"/>
        <w:jc w:val="both"/>
        <w:rPr>
          <w:rFonts w:cs="Arial"/>
          <w:color w:val="000000"/>
          <w:szCs w:val="22"/>
          <w:lang w:val="ru-RU"/>
        </w:rPr>
      </w:pPr>
      <w:r w:rsidRPr="00C44A91">
        <w:rPr>
          <w:rFonts w:cs="Arial"/>
          <w:color w:val="000000"/>
          <w:szCs w:val="22"/>
          <w:lang w:val="ru-RU"/>
        </w:rPr>
        <w:t>повышение внимания к морской проблематике в рамках РКИКООН, КБР и системы ООН в целом, а также беспрецедентный официальный спрос на услуги МОК, что нашло отражение, в частности, в Политической декларации, принятой участниками Конференции ООН по океану (2022 г., Лиссабон)</w:t>
      </w:r>
      <w:r w:rsidRPr="00F943C5">
        <w:rPr>
          <w:rFonts w:cs="Arial"/>
          <w:color w:val="000000"/>
          <w:szCs w:val="22"/>
          <w:vertAlign w:val="superscript"/>
        </w:rPr>
        <w:footnoteReference w:id="2"/>
      </w:r>
      <w:r w:rsidRPr="00C44A91">
        <w:rPr>
          <w:rFonts w:cs="Arial"/>
          <w:color w:val="000000"/>
          <w:szCs w:val="22"/>
          <w:lang w:val="ru-RU"/>
        </w:rPr>
        <w:t>;</w:t>
      </w:r>
    </w:p>
    <w:p w14:paraId="57DEB47C" w14:textId="77777777" w:rsidR="00C44A91" w:rsidRPr="00C44A91" w:rsidRDefault="00C44A91" w:rsidP="00A721F8">
      <w:pPr>
        <w:numPr>
          <w:ilvl w:val="0"/>
          <w:numId w:val="8"/>
        </w:numPr>
        <w:pBdr>
          <w:top w:val="nil"/>
          <w:left w:val="nil"/>
          <w:bottom w:val="nil"/>
          <w:right w:val="nil"/>
          <w:between w:val="nil"/>
        </w:pBdr>
        <w:tabs>
          <w:tab w:val="clear" w:pos="567"/>
        </w:tabs>
        <w:snapToGrid/>
        <w:spacing w:after="240"/>
        <w:ind w:left="1134" w:hanging="567"/>
        <w:jc w:val="both"/>
        <w:rPr>
          <w:rFonts w:cs="Arial"/>
          <w:color w:val="000000"/>
          <w:szCs w:val="22"/>
          <w:lang w:val="ru-RU"/>
        </w:rPr>
      </w:pPr>
      <w:r w:rsidRPr="00C44A91">
        <w:rPr>
          <w:rFonts w:cs="Arial"/>
          <w:color w:val="000000"/>
          <w:szCs w:val="22"/>
          <w:lang w:val="ru-RU"/>
        </w:rPr>
        <w:t>увеличение числа государств, обязавшихся к 2025 году перейти на принципы неистощительного хозяйственного освоения морских ресурсов в пределах своих исключительных экономических зон (ИЭЗ), среди стран, сотрудничающих с Группой высокого уровня по вопросам устойчивой морской экономики (ГВУ-О), и призыв ГВУ-О ко всем другим странам последовать этому примеру к 2030 году;</w:t>
      </w:r>
    </w:p>
    <w:p w14:paraId="15BED762" w14:textId="77777777" w:rsidR="00C44A91" w:rsidRPr="00C44A91" w:rsidRDefault="00C44A91" w:rsidP="00A721F8">
      <w:pPr>
        <w:numPr>
          <w:ilvl w:val="0"/>
          <w:numId w:val="8"/>
        </w:numPr>
        <w:pBdr>
          <w:top w:val="nil"/>
          <w:left w:val="nil"/>
          <w:bottom w:val="nil"/>
          <w:right w:val="nil"/>
          <w:between w:val="nil"/>
        </w:pBdr>
        <w:tabs>
          <w:tab w:val="clear" w:pos="567"/>
        </w:tabs>
        <w:snapToGrid/>
        <w:spacing w:after="240"/>
        <w:ind w:left="1134" w:hanging="567"/>
        <w:jc w:val="both"/>
        <w:rPr>
          <w:rFonts w:cs="Arial"/>
          <w:color w:val="000000"/>
          <w:szCs w:val="22"/>
          <w:lang w:val="ru-RU"/>
        </w:rPr>
      </w:pPr>
      <w:r w:rsidRPr="00C44A91">
        <w:rPr>
          <w:rFonts w:cs="Arial"/>
          <w:szCs w:val="22"/>
          <w:lang w:val="ru-RU"/>
        </w:rPr>
        <w:t xml:space="preserve">растущее понимание того, что рациональное планирование в сфере </w:t>
      </w:r>
      <w:proofErr w:type="spellStart"/>
      <w:r w:rsidRPr="00C44A91">
        <w:rPr>
          <w:rFonts w:cs="Arial"/>
          <w:szCs w:val="22"/>
          <w:lang w:val="ru-RU"/>
        </w:rPr>
        <w:t>морепользования</w:t>
      </w:r>
      <w:proofErr w:type="spellEnd"/>
      <w:r w:rsidRPr="00C44A91">
        <w:rPr>
          <w:rFonts w:cs="Arial"/>
          <w:szCs w:val="22"/>
          <w:lang w:val="ru-RU"/>
        </w:rPr>
        <w:t>, основанное на соответствующих научных данных, является реально осуществимым и открывает широкие возможности с точки зрения экологичного морского хозяйствования в рамках ИЭЗ и в открытом море, внесения вклада в борьбу с нищетой и минимизации последствий изменения климата, а также поддержания и восстановления экологичного состояния морской среды.</w:t>
      </w:r>
    </w:p>
    <w:p w14:paraId="55599860" w14:textId="77777777" w:rsidR="00C44A91" w:rsidRPr="00C44A91" w:rsidRDefault="00C44A91" w:rsidP="00C44A91">
      <w:pPr>
        <w:spacing w:after="240"/>
        <w:jc w:val="both"/>
        <w:rPr>
          <w:rFonts w:cs="Arial"/>
          <w:color w:val="000000"/>
          <w:szCs w:val="22"/>
          <w:lang w:val="ru-RU"/>
        </w:rPr>
      </w:pPr>
      <w:r w:rsidRPr="00C44A91">
        <w:rPr>
          <w:rFonts w:cs="Arial"/>
          <w:szCs w:val="22"/>
          <w:lang w:val="ru-RU"/>
        </w:rPr>
        <w:t xml:space="preserve">Все эти меры напрямую связаны с миссией МОК, сформулированной в статье 2 ее Устава и приводимой ниже: </w:t>
      </w:r>
      <w:r w:rsidRPr="00C44A91">
        <w:rPr>
          <w:rFonts w:cs="Arial"/>
          <w:i/>
          <w:szCs w:val="22"/>
          <w:lang w:val="ru-RU"/>
        </w:rPr>
        <w:t>«содействие международному сотрудничеству и координация программ, касающихся исследований, служб и укрепления потенциала в интересах расширения знаний о природе и ресурсах океана и прибрежных районов, а также использования этих знаний для совершенствования управления, обеспечения устойчивого развития, охраны морской среды и облегчения процессов принятия решений ее государствами-членами»</w:t>
      </w:r>
      <w:r w:rsidRPr="00C44A91">
        <w:rPr>
          <w:rFonts w:cs="Arial"/>
          <w:szCs w:val="22"/>
          <w:lang w:val="ru-RU"/>
        </w:rPr>
        <w:t>. При этом, если в момент своего создания 60 лет назад МОК выступала главным образом в качестве платформы для межгосударственного взаимодействия в области океанографических исследований, то первоочередной задачей Комиссии на сегодня стало содействие последовательному применению накопленных научных знаний в интересах неистощительного использования ресурсов океана.</w:t>
      </w:r>
    </w:p>
    <w:p w14:paraId="6937898B" w14:textId="77777777" w:rsidR="00C44A91" w:rsidRPr="00C44A91" w:rsidRDefault="00C44A91" w:rsidP="00C44A91">
      <w:pPr>
        <w:spacing w:after="240"/>
        <w:jc w:val="both"/>
        <w:rPr>
          <w:rFonts w:cs="Arial"/>
          <w:color w:val="000000"/>
          <w:szCs w:val="22"/>
          <w:lang w:val="ru-RU"/>
        </w:rPr>
      </w:pPr>
      <w:r w:rsidRPr="00C44A91">
        <w:rPr>
          <w:rFonts w:cs="Arial"/>
          <w:color w:val="000000"/>
          <w:szCs w:val="22"/>
          <w:lang w:val="ru-RU"/>
        </w:rPr>
        <w:lastRenderedPageBreak/>
        <w:t xml:space="preserve">МОК регулярно проверяет на предмет актуальности свои общие цели и проводит их корректировку с учетом открывающихся возможностей, а также оценку своего потенциала с точки зрения достижения указанных целей и необходимых для этого ресурсов. В этот процесс вовлечены руководящие органы ЮНЕСКО и МОК, председатель и должностные лица Комиссии, опирающиеся в своей работе на выводы проводимых ревизий и оценок. </w:t>
      </w:r>
      <w:r w:rsidRPr="00C44A91">
        <w:rPr>
          <w:rFonts w:cs="Arial"/>
          <w:szCs w:val="22"/>
          <w:lang w:val="ru-RU"/>
        </w:rPr>
        <w:t>Так, например, со ссылкой на утвержденную ООН в 2015 году Повестку дня на период до 2030 года и сформулированную в ней отдельную цель, посвященную океану, ревизор со стороны в своем докладе за 2016 год</w:t>
      </w:r>
      <w:r w:rsidRPr="00F943C5">
        <w:rPr>
          <w:rFonts w:cs="Arial"/>
          <w:szCs w:val="22"/>
          <w:vertAlign w:val="superscript"/>
        </w:rPr>
        <w:footnoteReference w:id="3"/>
      </w:r>
      <w:r w:rsidRPr="00C44A91">
        <w:rPr>
          <w:rFonts w:cs="Arial"/>
          <w:szCs w:val="22"/>
          <w:lang w:val="ru-RU"/>
        </w:rPr>
        <w:t xml:space="preserve"> призвал Комиссию «использовать эту возможность для закрепления за МОК ведущей роли в рамках механизмов информационного обеспечения и координации, которые будут созданы для реализации ЦУР</w:t>
      </w:r>
      <w:r w:rsidRPr="00F943C5">
        <w:rPr>
          <w:rFonts w:cs="Arial"/>
          <w:szCs w:val="22"/>
        </w:rPr>
        <w:t> </w:t>
      </w:r>
      <w:r w:rsidRPr="00C44A91">
        <w:rPr>
          <w:rFonts w:cs="Arial"/>
          <w:szCs w:val="22"/>
          <w:lang w:val="ru-RU"/>
        </w:rPr>
        <w:t>14».</w:t>
      </w:r>
      <w:r w:rsidRPr="00C44A91">
        <w:rPr>
          <w:rFonts w:cs="Arial"/>
          <w:i/>
          <w:szCs w:val="22"/>
          <w:lang w:val="ru-RU"/>
        </w:rPr>
        <w:t xml:space="preserve"> </w:t>
      </w:r>
      <w:r w:rsidRPr="00C44A91">
        <w:rPr>
          <w:rFonts w:cs="Arial"/>
          <w:szCs w:val="22"/>
          <w:lang w:val="ru-RU"/>
        </w:rPr>
        <w:t xml:space="preserve">В указанном докладе содержится следующий вывод: </w:t>
      </w:r>
      <w:r w:rsidRPr="00C44A91">
        <w:rPr>
          <w:rFonts w:cs="Arial"/>
          <w:i/>
          <w:szCs w:val="22"/>
          <w:lang w:val="ru-RU"/>
        </w:rPr>
        <w:t>«Сегодня МОК переживает переломный момент. Ей необходимо оправиться от потрясения, вызванного финансовым кризисом 2011 года, и активно включиться в реализацию сформулированных в последнее время международным сообществом масштабных и неотложных задач в области изменения климата, устойчивого развития и морского пространственного планирования».</w:t>
      </w:r>
    </w:p>
    <w:p w14:paraId="12A47E34" w14:textId="77777777" w:rsidR="00C44A91" w:rsidRPr="00C44A91" w:rsidRDefault="00C44A91" w:rsidP="00C44A91">
      <w:pPr>
        <w:spacing w:after="240"/>
        <w:jc w:val="both"/>
        <w:rPr>
          <w:rFonts w:cs="Arial"/>
          <w:szCs w:val="22"/>
          <w:lang w:val="ru-RU"/>
        </w:rPr>
      </w:pPr>
      <w:r w:rsidRPr="00C44A91">
        <w:rPr>
          <w:rFonts w:cs="Arial"/>
          <w:szCs w:val="22"/>
          <w:lang w:val="ru-RU"/>
        </w:rPr>
        <w:t>Вкладом Комиссии в решение указанных задач стало формулирование предложений, а также подготовка к реализации беспрецедентной и направленной на коренные преобразования инициативы в формате проведения Десятилетия, посвященного науке об океане. В выводах проведенной службой внутреннего надзора ЮНЕСКО (</w:t>
      </w:r>
      <w:r w:rsidRPr="00F943C5">
        <w:rPr>
          <w:rFonts w:cs="Arial"/>
          <w:szCs w:val="22"/>
        </w:rPr>
        <w:t>IOS</w:t>
      </w:r>
      <w:r w:rsidRPr="00C44A91">
        <w:rPr>
          <w:rFonts w:cs="Arial"/>
          <w:szCs w:val="22"/>
          <w:lang w:val="ru-RU"/>
        </w:rPr>
        <w:t>) в 2021 году оценки стратегического позиционирования Межправительственной океанографической комиссии</w:t>
      </w:r>
      <w:r w:rsidRPr="00F943C5">
        <w:rPr>
          <w:rFonts w:cs="Arial"/>
          <w:szCs w:val="22"/>
          <w:vertAlign w:val="superscript"/>
        </w:rPr>
        <w:footnoteReference w:id="4"/>
      </w:r>
      <w:r w:rsidRPr="00C44A91">
        <w:rPr>
          <w:rFonts w:cs="Arial"/>
          <w:szCs w:val="22"/>
          <w:lang w:val="ru-RU"/>
        </w:rPr>
        <w:t xml:space="preserve"> подчеркнуто, что </w:t>
      </w:r>
      <w:r w:rsidRPr="00C44A91">
        <w:rPr>
          <w:rFonts w:cs="Arial"/>
          <w:i/>
          <w:szCs w:val="22"/>
          <w:lang w:val="ru-RU"/>
        </w:rPr>
        <w:t>«Десятилетие ООН, посвященное науке об океане в интересах устойчивого развития, являет собой пример успешного вклада МОК-ЮНЕСКО в укрепление научно-политического взаимодействия и в повышение осознания значимости океанов»</w:t>
      </w:r>
      <w:r w:rsidRPr="00C44A91">
        <w:rPr>
          <w:rFonts w:cs="Arial"/>
          <w:szCs w:val="22"/>
          <w:lang w:val="ru-RU"/>
        </w:rPr>
        <w:t xml:space="preserve">. Кроме того, в докладе об оценке нашло отражение распространенное среди основных заинтересованных сторон мнение о том, что </w:t>
      </w:r>
      <w:r w:rsidRPr="00C44A91">
        <w:rPr>
          <w:rFonts w:cs="Arial"/>
          <w:i/>
          <w:szCs w:val="22"/>
          <w:lang w:val="ru-RU"/>
        </w:rPr>
        <w:t>«Десятилетие науки об океане знаменует собой начало "нового этапа" в деятельности МОК-ЮНЕСКО. Оно заставило по-иному взглянуть на миссию МОК. Десятилетие открыло перед МОК-ЮНЕСКО реальные возможности для придания морской научно-исследовательской деятельности более динамичного характера и укрепления механизма взаимосвязи между научной деятельностью и проводимой политикой».</w:t>
      </w:r>
      <w:r w:rsidRPr="00C44A91">
        <w:rPr>
          <w:rFonts w:cs="Arial"/>
          <w:szCs w:val="22"/>
          <w:lang w:val="ru-RU"/>
        </w:rPr>
        <w:t xml:space="preserve"> В то же время в докладе было отмечено, что</w:t>
      </w:r>
      <w:r w:rsidRPr="00C44A91">
        <w:rPr>
          <w:rFonts w:cs="Arial"/>
          <w:i/>
          <w:szCs w:val="22"/>
          <w:lang w:val="ru-RU"/>
        </w:rPr>
        <w:t xml:space="preserve"> «расширение спектра областей взаимодействия МОК-ЮНЕСКО привело к выходу Секретариата за рамки имеющихся ресурсных возможностей»</w:t>
      </w:r>
      <w:r w:rsidRPr="00C44A91">
        <w:rPr>
          <w:rFonts w:cs="Arial"/>
          <w:szCs w:val="22"/>
          <w:lang w:val="ru-RU"/>
        </w:rPr>
        <w:t>.</w:t>
      </w:r>
    </w:p>
    <w:p w14:paraId="4B8A4929" w14:textId="77777777" w:rsidR="00C44A91" w:rsidRPr="00501AF2" w:rsidRDefault="00C44A91" w:rsidP="00C44A91">
      <w:pPr>
        <w:spacing w:after="240"/>
        <w:jc w:val="both"/>
        <w:rPr>
          <w:rFonts w:cs="Arial"/>
          <w:szCs w:val="22"/>
          <w:lang w:val="ru-RU"/>
        </w:rPr>
      </w:pPr>
      <w:r w:rsidRPr="00C44A91">
        <w:rPr>
          <w:rFonts w:cs="Arial"/>
          <w:szCs w:val="22"/>
          <w:lang w:val="ru-RU"/>
        </w:rPr>
        <w:t>В связи с этим Исполнительный совет МОК на своей 55-й сессии (14-17 июня 2022 г.) просил Исполнительного секретаря МОК представить к сентябрю 2022 г. смету бюджетных расходов, включая потребности в кадровых ресурсах, необходимых для устойчивого осуществления основных программ МОК и расширения масштабов ее деятельности в свете возросшего спроса со стороны государств-членов и других заинтересованных сторон.</w:t>
      </w:r>
      <w:r w:rsidRPr="00C44A91">
        <w:rPr>
          <w:rFonts w:cs="Arial"/>
          <w:color w:val="000000"/>
          <w:szCs w:val="22"/>
          <w:lang w:val="ru-RU"/>
        </w:rPr>
        <w:t xml:space="preserve"> </w:t>
      </w:r>
      <w:r w:rsidRPr="00C44A91">
        <w:rPr>
          <w:rFonts w:cs="Arial"/>
          <w:szCs w:val="22"/>
          <w:lang w:val="ru-RU"/>
        </w:rPr>
        <w:t>В соответствии с указанной просьбой Исполнительный секретарь инициировал проведение специальной экспертной оценки в отношении изменившейся расширенной роли МОК и меняющихся потребностей го</w:t>
      </w:r>
      <w:r w:rsidRPr="00C44A91">
        <w:rPr>
          <w:rFonts w:cs="Arial"/>
          <w:szCs w:val="22"/>
          <w:lang w:val="ru-RU"/>
        </w:rPr>
        <w:softHyphen/>
        <w:t xml:space="preserve">сударств-членов. Для оказания содействия и помощи в оценке объемов необходимых МОК в новых условиях ресурсов Исполнительный секретарь привлек к работе автора вышеупомянутого доклада </w:t>
      </w:r>
      <w:r w:rsidRPr="00F943C5">
        <w:rPr>
          <w:rFonts w:cs="Arial"/>
          <w:szCs w:val="22"/>
        </w:rPr>
        <w:t>IOS</w:t>
      </w:r>
      <w:r w:rsidRPr="00C44A91">
        <w:rPr>
          <w:rFonts w:cs="Arial"/>
          <w:szCs w:val="22"/>
          <w:lang w:val="ru-RU"/>
        </w:rPr>
        <w:t xml:space="preserve"> 2021 г. об оценке стратегического позиционирования МОК – консалтинговую компанию </w:t>
      </w:r>
      <w:r w:rsidRPr="00F943C5">
        <w:rPr>
          <w:rFonts w:cs="Arial"/>
          <w:szCs w:val="22"/>
        </w:rPr>
        <w:t xml:space="preserve">Open Cities. </w:t>
      </w:r>
      <w:r w:rsidRPr="00501AF2">
        <w:rPr>
          <w:rFonts w:cs="Arial"/>
          <w:szCs w:val="22"/>
          <w:lang w:val="ru-RU"/>
        </w:rPr>
        <w:t>Выводы экспертной оценки кратко представляются ниже.</w:t>
      </w:r>
    </w:p>
    <w:p w14:paraId="1325938C" w14:textId="77777777" w:rsidR="00C44A91" w:rsidRPr="00C44A91" w:rsidRDefault="00C44A91" w:rsidP="004839A9">
      <w:pPr>
        <w:pStyle w:val="Heading1"/>
        <w:numPr>
          <w:ilvl w:val="0"/>
          <w:numId w:val="19"/>
        </w:numPr>
        <w:tabs>
          <w:tab w:val="clear" w:pos="567"/>
        </w:tabs>
        <w:ind w:left="573" w:hanging="584"/>
        <w:jc w:val="left"/>
        <w:rPr>
          <w:rFonts w:cs="Arial"/>
          <w:szCs w:val="22"/>
          <w:lang w:val="ru-RU"/>
        </w:rPr>
      </w:pPr>
      <w:bookmarkStart w:id="5" w:name="_Toc120748657"/>
      <w:r w:rsidRPr="00C44A91">
        <w:rPr>
          <w:rFonts w:cs="Arial"/>
          <w:szCs w:val="22"/>
          <w:lang w:val="ru-RU"/>
        </w:rPr>
        <w:t>Текущие цели, положение дел и основные проблемы</w:t>
      </w:r>
      <w:bookmarkEnd w:id="5"/>
    </w:p>
    <w:p w14:paraId="239A19AF" w14:textId="77777777" w:rsidR="00C44A91" w:rsidRPr="00C44A91" w:rsidRDefault="00C44A91" w:rsidP="00C44A91">
      <w:pPr>
        <w:spacing w:after="240"/>
        <w:jc w:val="both"/>
        <w:rPr>
          <w:rFonts w:cs="Arial"/>
          <w:color w:val="000000"/>
          <w:szCs w:val="22"/>
          <w:lang w:val="ru-RU"/>
        </w:rPr>
      </w:pPr>
      <w:r w:rsidRPr="00C44A91">
        <w:rPr>
          <w:rFonts w:cs="Arial"/>
          <w:szCs w:val="22"/>
          <w:lang w:val="ru-RU"/>
        </w:rPr>
        <w:t>Цели высокого уровня (ЦВУ)</w:t>
      </w:r>
      <w:r w:rsidRPr="00F943C5">
        <w:rPr>
          <w:rFonts w:cs="Arial"/>
          <w:szCs w:val="22"/>
          <w:vertAlign w:val="superscript"/>
        </w:rPr>
        <w:footnoteReference w:id="5"/>
      </w:r>
      <w:r w:rsidRPr="00C44A91">
        <w:rPr>
          <w:rFonts w:cs="Arial"/>
          <w:szCs w:val="22"/>
          <w:lang w:val="ru-RU"/>
        </w:rPr>
        <w:t xml:space="preserve">, которые ставит перед собой Межправительственная океанографическая комиссия, сформулированы в Среднесрочной стратегии МОК на </w:t>
      </w:r>
      <w:proofErr w:type="gramStart"/>
      <w:r w:rsidRPr="00C44A91">
        <w:rPr>
          <w:rFonts w:cs="Arial"/>
          <w:szCs w:val="22"/>
          <w:lang w:val="ru-RU"/>
        </w:rPr>
        <w:t>2022-2029</w:t>
      </w:r>
      <w:proofErr w:type="gramEnd"/>
      <w:r w:rsidRPr="00C44A91">
        <w:rPr>
          <w:rFonts w:cs="Arial"/>
          <w:szCs w:val="22"/>
          <w:lang w:val="ru-RU"/>
        </w:rPr>
        <w:t xml:space="preserve"> гг. и изложены ниже:</w:t>
      </w:r>
    </w:p>
    <w:p w14:paraId="69D80E69" w14:textId="77777777" w:rsidR="00C44A91" w:rsidRPr="00C44A91" w:rsidRDefault="00C44A91" w:rsidP="00A721F8">
      <w:pPr>
        <w:numPr>
          <w:ilvl w:val="0"/>
          <w:numId w:val="5"/>
        </w:numPr>
        <w:tabs>
          <w:tab w:val="clear" w:pos="567"/>
        </w:tabs>
        <w:snapToGrid/>
        <w:spacing w:after="160"/>
        <w:ind w:left="1134" w:hanging="567"/>
        <w:jc w:val="both"/>
        <w:rPr>
          <w:rFonts w:cs="Arial"/>
          <w:color w:val="000000"/>
          <w:szCs w:val="22"/>
          <w:lang w:val="ru-RU"/>
        </w:rPr>
      </w:pPr>
      <w:r w:rsidRPr="00C44A91">
        <w:rPr>
          <w:rFonts w:cs="Arial"/>
          <w:color w:val="000000"/>
          <w:szCs w:val="22"/>
          <w:lang w:val="ru-RU"/>
        </w:rPr>
        <w:lastRenderedPageBreak/>
        <w:t>Жизнеспособность и устойчивое функционирование морских экосистем</w:t>
      </w:r>
    </w:p>
    <w:p w14:paraId="20ADC90F" w14:textId="77777777" w:rsidR="00C44A91" w:rsidRPr="00C44A91" w:rsidRDefault="00C44A91" w:rsidP="00A721F8">
      <w:pPr>
        <w:numPr>
          <w:ilvl w:val="0"/>
          <w:numId w:val="5"/>
        </w:numPr>
        <w:tabs>
          <w:tab w:val="clear" w:pos="567"/>
        </w:tabs>
        <w:snapToGrid/>
        <w:spacing w:after="160"/>
        <w:ind w:left="1134" w:hanging="567"/>
        <w:jc w:val="both"/>
        <w:rPr>
          <w:rFonts w:cs="Arial"/>
          <w:color w:val="000000"/>
          <w:szCs w:val="22"/>
          <w:lang w:val="ru-RU"/>
        </w:rPr>
      </w:pPr>
      <w:r w:rsidRPr="00C44A91">
        <w:rPr>
          <w:rFonts w:cs="Arial"/>
          <w:szCs w:val="22"/>
          <w:lang w:val="ru-RU"/>
        </w:rPr>
        <w:t>Эффективность систем предупреждения о цунами и других, связанных с океаном опасных явлениях, а также обеспечение готовности к ним</w:t>
      </w:r>
    </w:p>
    <w:p w14:paraId="4607020A" w14:textId="77777777" w:rsidR="00C44A91" w:rsidRPr="00C44A91" w:rsidRDefault="00C44A91" w:rsidP="00A721F8">
      <w:pPr>
        <w:numPr>
          <w:ilvl w:val="0"/>
          <w:numId w:val="5"/>
        </w:numPr>
        <w:tabs>
          <w:tab w:val="clear" w:pos="567"/>
        </w:tabs>
        <w:snapToGrid/>
        <w:spacing w:after="160"/>
        <w:ind w:left="1134" w:hanging="567"/>
        <w:jc w:val="both"/>
        <w:rPr>
          <w:rFonts w:cs="Arial"/>
          <w:color w:val="000000"/>
          <w:szCs w:val="22"/>
          <w:lang w:val="ru-RU"/>
        </w:rPr>
      </w:pPr>
      <w:r w:rsidRPr="00C44A91">
        <w:rPr>
          <w:rFonts w:cs="Arial"/>
          <w:color w:val="000000"/>
          <w:szCs w:val="22"/>
          <w:lang w:val="ru-RU"/>
        </w:rPr>
        <w:t>Устойчивость к изменению климата и содействие смягчению последствий его изменения</w:t>
      </w:r>
    </w:p>
    <w:p w14:paraId="15E61F50" w14:textId="77777777" w:rsidR="00C44A91" w:rsidRPr="00C44A91" w:rsidRDefault="00C44A91" w:rsidP="00A721F8">
      <w:pPr>
        <w:numPr>
          <w:ilvl w:val="0"/>
          <w:numId w:val="5"/>
        </w:numPr>
        <w:tabs>
          <w:tab w:val="clear" w:pos="567"/>
        </w:tabs>
        <w:snapToGrid/>
        <w:spacing w:after="160"/>
        <w:ind w:left="1134" w:hanging="567"/>
        <w:jc w:val="both"/>
        <w:rPr>
          <w:rFonts w:cs="Arial"/>
          <w:color w:val="000000"/>
          <w:szCs w:val="22"/>
          <w:lang w:val="ru-RU"/>
        </w:rPr>
      </w:pPr>
      <w:r w:rsidRPr="00C44A91">
        <w:rPr>
          <w:rFonts w:cs="Arial"/>
          <w:color w:val="000000"/>
          <w:szCs w:val="22"/>
          <w:lang w:val="ru-RU"/>
        </w:rPr>
        <w:t>Основанное на научном подходе обслуживание в интересах устойчивого развития морского хозяйства</w:t>
      </w:r>
    </w:p>
    <w:p w14:paraId="384C0632" w14:textId="77777777" w:rsidR="00C44A91" w:rsidRPr="00C44A91" w:rsidRDefault="00C44A91" w:rsidP="00A721F8">
      <w:pPr>
        <w:numPr>
          <w:ilvl w:val="0"/>
          <w:numId w:val="5"/>
        </w:numPr>
        <w:tabs>
          <w:tab w:val="clear" w:pos="567"/>
        </w:tabs>
        <w:snapToGrid/>
        <w:spacing w:after="240"/>
        <w:ind w:left="1134" w:hanging="567"/>
        <w:jc w:val="both"/>
        <w:rPr>
          <w:rFonts w:cs="Arial"/>
          <w:color w:val="000000"/>
          <w:szCs w:val="22"/>
          <w:lang w:val="ru-RU"/>
        </w:rPr>
      </w:pPr>
      <w:r w:rsidRPr="00C44A91">
        <w:rPr>
          <w:rFonts w:cs="Arial"/>
          <w:color w:val="000000"/>
          <w:szCs w:val="22"/>
          <w:lang w:val="ru-RU"/>
        </w:rPr>
        <w:t>Прогнозирование возникновения новых связанных с океаном проблем</w:t>
      </w:r>
    </w:p>
    <w:p w14:paraId="5796869A" w14:textId="77777777" w:rsidR="00C44A91" w:rsidRPr="00C44A91" w:rsidRDefault="00C44A91" w:rsidP="00C44A91">
      <w:pPr>
        <w:spacing w:after="240"/>
        <w:ind w:left="142"/>
        <w:jc w:val="both"/>
        <w:rPr>
          <w:rFonts w:cs="Arial"/>
          <w:szCs w:val="22"/>
          <w:lang w:val="ru-RU"/>
        </w:rPr>
      </w:pPr>
      <w:r w:rsidRPr="00C44A91">
        <w:rPr>
          <w:rFonts w:cs="Arial"/>
          <w:szCs w:val="22"/>
          <w:lang w:val="ru-RU"/>
        </w:rPr>
        <w:t>Вышеперечисленные ЦВУ непосредственно вытекают из сформулированного для Десятилетия стратегического видения «океана, который нам нужен», понимаемого как:</w:t>
      </w:r>
    </w:p>
    <w:p w14:paraId="44B6A500" w14:textId="77777777" w:rsidR="00C44A91" w:rsidRPr="00C44A91" w:rsidRDefault="00C44A91" w:rsidP="00A721F8">
      <w:pPr>
        <w:numPr>
          <w:ilvl w:val="0"/>
          <w:numId w:val="6"/>
        </w:numPr>
        <w:tabs>
          <w:tab w:val="clear" w:pos="567"/>
        </w:tabs>
        <w:snapToGrid/>
        <w:spacing w:after="160"/>
        <w:ind w:left="1134" w:hanging="567"/>
        <w:jc w:val="both"/>
        <w:rPr>
          <w:rFonts w:cs="Arial"/>
          <w:color w:val="000000"/>
          <w:szCs w:val="22"/>
          <w:lang w:val="ru-RU"/>
        </w:rPr>
      </w:pPr>
      <w:r w:rsidRPr="00C44A91">
        <w:rPr>
          <w:rFonts w:cs="Arial"/>
          <w:color w:val="000000"/>
          <w:szCs w:val="22"/>
          <w:lang w:val="ru-RU"/>
        </w:rPr>
        <w:t>Чистый океан с выявляемыми, купируемыми или устраняемыми источниками загрязнения</w:t>
      </w:r>
    </w:p>
    <w:p w14:paraId="2DE4CFC9" w14:textId="77777777" w:rsidR="00C44A91" w:rsidRPr="00C44A91" w:rsidRDefault="00C44A91" w:rsidP="00A721F8">
      <w:pPr>
        <w:numPr>
          <w:ilvl w:val="0"/>
          <w:numId w:val="6"/>
        </w:numPr>
        <w:tabs>
          <w:tab w:val="clear" w:pos="567"/>
        </w:tabs>
        <w:snapToGrid/>
        <w:spacing w:after="160"/>
        <w:ind w:left="1134" w:hanging="567"/>
        <w:jc w:val="both"/>
        <w:rPr>
          <w:rFonts w:cs="Arial"/>
          <w:color w:val="000000"/>
          <w:szCs w:val="22"/>
          <w:lang w:val="ru-RU"/>
        </w:rPr>
      </w:pPr>
      <w:r w:rsidRPr="00C44A91">
        <w:rPr>
          <w:rFonts w:cs="Arial"/>
          <w:color w:val="000000"/>
          <w:szCs w:val="22"/>
          <w:lang w:val="ru-RU"/>
        </w:rPr>
        <w:t>Экологически благополучный и жизнеспособный океан с изученными, восстановленными, охраняемыми и разумно используемыми морскими экосистемами</w:t>
      </w:r>
    </w:p>
    <w:p w14:paraId="3E04233E" w14:textId="77777777" w:rsidR="00C44A91" w:rsidRPr="00C44A91" w:rsidRDefault="00C44A91" w:rsidP="00A721F8">
      <w:pPr>
        <w:numPr>
          <w:ilvl w:val="0"/>
          <w:numId w:val="6"/>
        </w:numPr>
        <w:tabs>
          <w:tab w:val="clear" w:pos="567"/>
        </w:tabs>
        <w:snapToGrid/>
        <w:spacing w:after="160"/>
        <w:ind w:left="1134" w:hanging="567"/>
        <w:jc w:val="both"/>
        <w:rPr>
          <w:rFonts w:cs="Arial"/>
          <w:color w:val="000000"/>
          <w:szCs w:val="22"/>
          <w:lang w:val="ru-RU"/>
        </w:rPr>
      </w:pPr>
      <w:r w:rsidRPr="00C44A91">
        <w:rPr>
          <w:rFonts w:cs="Arial"/>
          <w:color w:val="000000"/>
          <w:szCs w:val="22"/>
          <w:lang w:val="ru-RU"/>
        </w:rPr>
        <w:t>Продуктивный океан, содействующий устойчивому обеспечению продовольствием и стабильному развитию морского хозяйства</w:t>
      </w:r>
    </w:p>
    <w:p w14:paraId="3FC8D777" w14:textId="77777777" w:rsidR="00C44A91" w:rsidRPr="00C44A91" w:rsidRDefault="00C44A91" w:rsidP="00A721F8">
      <w:pPr>
        <w:numPr>
          <w:ilvl w:val="0"/>
          <w:numId w:val="6"/>
        </w:numPr>
        <w:tabs>
          <w:tab w:val="clear" w:pos="567"/>
        </w:tabs>
        <w:snapToGrid/>
        <w:spacing w:after="160"/>
        <w:ind w:left="1134" w:hanging="567"/>
        <w:jc w:val="both"/>
        <w:rPr>
          <w:rFonts w:cs="Arial"/>
          <w:color w:val="000000"/>
          <w:szCs w:val="22"/>
          <w:lang w:val="ru-RU"/>
        </w:rPr>
      </w:pPr>
      <w:r w:rsidRPr="00C44A91">
        <w:rPr>
          <w:rFonts w:cs="Arial"/>
          <w:color w:val="000000"/>
          <w:szCs w:val="22"/>
          <w:lang w:val="ru-RU"/>
        </w:rPr>
        <w:t>Предсказуемый океан с обществом, которое осведомлено о происходящих в его состоянии изменениях и способно на них реагировать</w:t>
      </w:r>
    </w:p>
    <w:p w14:paraId="16FED72F" w14:textId="77777777" w:rsidR="00C44A91" w:rsidRPr="00C44A91" w:rsidRDefault="00C44A91" w:rsidP="00A721F8">
      <w:pPr>
        <w:numPr>
          <w:ilvl w:val="0"/>
          <w:numId w:val="6"/>
        </w:numPr>
        <w:tabs>
          <w:tab w:val="clear" w:pos="567"/>
        </w:tabs>
        <w:snapToGrid/>
        <w:spacing w:after="160"/>
        <w:ind w:left="1134" w:hanging="567"/>
        <w:jc w:val="both"/>
        <w:rPr>
          <w:rFonts w:cs="Arial"/>
          <w:color w:val="000000"/>
          <w:szCs w:val="22"/>
          <w:lang w:val="ru-RU"/>
        </w:rPr>
      </w:pPr>
      <w:r w:rsidRPr="00C44A91">
        <w:rPr>
          <w:rFonts w:cs="Arial"/>
          <w:color w:val="000000"/>
          <w:szCs w:val="22"/>
          <w:lang w:val="ru-RU"/>
        </w:rPr>
        <w:t>Безопасный океан, рядом с которым жизнь людей и источники их дохода защищены от связанных с морской стихией бедствий</w:t>
      </w:r>
    </w:p>
    <w:p w14:paraId="4991EF94" w14:textId="77777777" w:rsidR="00C44A91" w:rsidRPr="00C44A91" w:rsidRDefault="00C44A91" w:rsidP="00A721F8">
      <w:pPr>
        <w:numPr>
          <w:ilvl w:val="0"/>
          <w:numId w:val="6"/>
        </w:numPr>
        <w:tabs>
          <w:tab w:val="clear" w:pos="567"/>
        </w:tabs>
        <w:snapToGrid/>
        <w:spacing w:after="160"/>
        <w:ind w:left="1134" w:hanging="567"/>
        <w:jc w:val="both"/>
        <w:rPr>
          <w:rFonts w:cs="Arial"/>
          <w:color w:val="000000"/>
          <w:szCs w:val="22"/>
          <w:lang w:val="ru-RU"/>
        </w:rPr>
      </w:pPr>
      <w:r w:rsidRPr="00C44A91">
        <w:rPr>
          <w:rFonts w:cs="Arial"/>
          <w:color w:val="000000"/>
          <w:szCs w:val="22"/>
          <w:lang w:val="ru-RU"/>
        </w:rPr>
        <w:t>Доступный океан, предполагающий открытый и равный доступ к данным, информации, технологиям и инновационным разработкам</w:t>
      </w:r>
    </w:p>
    <w:p w14:paraId="7EA0E1DF" w14:textId="77777777" w:rsidR="00C44A91" w:rsidRPr="00C44A91" w:rsidRDefault="00C44A91" w:rsidP="00A721F8">
      <w:pPr>
        <w:numPr>
          <w:ilvl w:val="0"/>
          <w:numId w:val="6"/>
        </w:numPr>
        <w:tabs>
          <w:tab w:val="clear" w:pos="567"/>
        </w:tabs>
        <w:snapToGrid/>
        <w:spacing w:after="240"/>
        <w:ind w:left="1134" w:hanging="567"/>
        <w:jc w:val="both"/>
        <w:rPr>
          <w:rFonts w:cs="Arial"/>
          <w:szCs w:val="22"/>
          <w:lang w:val="ru-RU"/>
        </w:rPr>
      </w:pPr>
      <w:r w:rsidRPr="00C44A91">
        <w:rPr>
          <w:rFonts w:cs="Arial"/>
          <w:szCs w:val="22"/>
          <w:lang w:val="ru-RU"/>
        </w:rPr>
        <w:t>Вдохновляющий и влекущий к себе океан, понимаемый и ценимый обществом в качестве источника социального благополучия и фактора устойчивого развития</w:t>
      </w:r>
    </w:p>
    <w:p w14:paraId="7D06116F" w14:textId="77777777" w:rsidR="00C44A91" w:rsidRPr="00C44A91" w:rsidRDefault="00C44A91" w:rsidP="00C44A91">
      <w:pPr>
        <w:spacing w:after="240"/>
        <w:jc w:val="both"/>
        <w:rPr>
          <w:rFonts w:cs="Arial"/>
          <w:szCs w:val="22"/>
          <w:lang w:val="ru-RU"/>
        </w:rPr>
      </w:pPr>
      <w:r w:rsidRPr="00C44A91">
        <w:rPr>
          <w:rFonts w:cs="Arial"/>
          <w:szCs w:val="22"/>
          <w:lang w:val="ru-RU"/>
        </w:rPr>
        <w:t xml:space="preserve">Реализация ЦВУ обеспечивается в рамках цепочки приращения стоимости «продукции» МОК, охватывающей шесть основных функциональных областей ее деятельности, изначально определенных в Среднесрочной стратегии МОК на </w:t>
      </w:r>
      <w:proofErr w:type="gramStart"/>
      <w:r w:rsidRPr="00C44A91">
        <w:rPr>
          <w:rFonts w:cs="Arial"/>
          <w:szCs w:val="22"/>
          <w:lang w:val="ru-RU"/>
        </w:rPr>
        <w:t>2014-2021</w:t>
      </w:r>
      <w:proofErr w:type="gramEnd"/>
      <w:r w:rsidRPr="00C44A91">
        <w:rPr>
          <w:rFonts w:cs="Arial"/>
          <w:szCs w:val="22"/>
          <w:lang w:val="ru-RU"/>
        </w:rPr>
        <w:t xml:space="preserve"> гг.</w:t>
      </w:r>
      <w:r w:rsidRPr="00F943C5">
        <w:rPr>
          <w:rFonts w:cs="Arial"/>
          <w:szCs w:val="22"/>
          <w:vertAlign w:val="superscript"/>
        </w:rPr>
        <w:footnoteReference w:id="6"/>
      </w:r>
      <w:r w:rsidRPr="00C44A91">
        <w:rPr>
          <w:rFonts w:cs="Arial"/>
          <w:szCs w:val="22"/>
          <w:lang w:val="ru-RU"/>
        </w:rPr>
        <w:t>, а именно:</w:t>
      </w:r>
    </w:p>
    <w:p w14:paraId="6CD7BF0A" w14:textId="77777777" w:rsidR="00C44A91" w:rsidRPr="00C44A91" w:rsidRDefault="00C44A91" w:rsidP="00C44A91">
      <w:pPr>
        <w:textDirection w:val="btLr"/>
        <w:rPr>
          <w:rFonts w:cs="Arial"/>
          <w:szCs w:val="22"/>
          <w:lang w:val="ru-RU"/>
        </w:rPr>
      </w:pPr>
      <w:r w:rsidRPr="00F943C5">
        <w:rPr>
          <w:rFonts w:cs="Arial"/>
          <w:i/>
          <w:color w:val="000000"/>
          <w:szCs w:val="22"/>
        </w:rPr>
        <w:t>A</w:t>
      </w:r>
      <w:r w:rsidRPr="00C44A91">
        <w:rPr>
          <w:rFonts w:cs="Arial"/>
          <w:i/>
          <w:color w:val="000000"/>
          <w:szCs w:val="22"/>
          <w:lang w:val="ru-RU"/>
        </w:rPr>
        <w:t>: Морские научные исследования</w:t>
      </w:r>
    </w:p>
    <w:p w14:paraId="2BC8DC3E" w14:textId="77777777" w:rsidR="00C44A91" w:rsidRPr="00C44A91" w:rsidRDefault="00C44A91" w:rsidP="00C44A91">
      <w:pPr>
        <w:textDirection w:val="btLr"/>
        <w:rPr>
          <w:rFonts w:cs="Arial"/>
          <w:szCs w:val="22"/>
          <w:lang w:val="ru-RU"/>
        </w:rPr>
      </w:pPr>
      <w:r w:rsidRPr="00F943C5">
        <w:rPr>
          <w:rFonts w:cs="Arial"/>
          <w:i/>
          <w:color w:val="000000"/>
          <w:szCs w:val="22"/>
        </w:rPr>
        <w:t>B</w:t>
      </w:r>
      <w:r w:rsidRPr="00C44A91">
        <w:rPr>
          <w:rFonts w:cs="Arial"/>
          <w:i/>
          <w:color w:val="000000"/>
          <w:szCs w:val="22"/>
          <w:lang w:val="ru-RU"/>
        </w:rPr>
        <w:t>: Управление системами/данными океанографических наблюдений</w:t>
      </w:r>
    </w:p>
    <w:p w14:paraId="53B608DE" w14:textId="77777777" w:rsidR="00C44A91" w:rsidRPr="00C44A91" w:rsidRDefault="00C44A91" w:rsidP="00C44A91">
      <w:pPr>
        <w:textDirection w:val="btLr"/>
        <w:rPr>
          <w:rFonts w:cs="Arial"/>
          <w:szCs w:val="22"/>
          <w:lang w:val="ru-RU"/>
        </w:rPr>
      </w:pPr>
      <w:r w:rsidRPr="00F943C5">
        <w:rPr>
          <w:rFonts w:cs="Arial"/>
          <w:i/>
          <w:color w:val="000000"/>
          <w:szCs w:val="22"/>
        </w:rPr>
        <w:t>C</w:t>
      </w:r>
      <w:r w:rsidRPr="00C44A91">
        <w:rPr>
          <w:rFonts w:cs="Arial"/>
          <w:i/>
          <w:color w:val="000000"/>
          <w:szCs w:val="22"/>
          <w:lang w:val="ru-RU"/>
        </w:rPr>
        <w:t>: Раннее предупреждение и океанографическое обслуживание</w:t>
      </w:r>
    </w:p>
    <w:p w14:paraId="097F1E65" w14:textId="77777777" w:rsidR="00C44A91" w:rsidRPr="00C44A91" w:rsidRDefault="00C44A91" w:rsidP="00C44A91">
      <w:pPr>
        <w:textDirection w:val="btLr"/>
        <w:rPr>
          <w:rFonts w:cs="Arial"/>
          <w:szCs w:val="22"/>
          <w:lang w:val="ru-RU"/>
        </w:rPr>
      </w:pPr>
      <w:r w:rsidRPr="00F943C5">
        <w:rPr>
          <w:rFonts w:cs="Arial"/>
          <w:i/>
          <w:color w:val="000000"/>
          <w:szCs w:val="22"/>
        </w:rPr>
        <w:t>D</w:t>
      </w:r>
      <w:r w:rsidRPr="00C44A91">
        <w:rPr>
          <w:rFonts w:cs="Arial"/>
          <w:i/>
          <w:color w:val="000000"/>
          <w:szCs w:val="22"/>
          <w:lang w:val="ru-RU"/>
        </w:rPr>
        <w:t>: Оценка состояния океана и информационное обеспечение политики</w:t>
      </w:r>
    </w:p>
    <w:p w14:paraId="6CBDB1D3" w14:textId="77777777" w:rsidR="00C44A91" w:rsidRPr="00C44A91" w:rsidRDefault="00C44A91" w:rsidP="00C44A91">
      <w:pPr>
        <w:textDirection w:val="btLr"/>
        <w:rPr>
          <w:rFonts w:cs="Arial"/>
          <w:szCs w:val="22"/>
          <w:lang w:val="ru-RU"/>
        </w:rPr>
      </w:pPr>
      <w:r w:rsidRPr="00F943C5">
        <w:rPr>
          <w:rFonts w:cs="Arial"/>
          <w:i/>
          <w:color w:val="000000"/>
          <w:szCs w:val="22"/>
        </w:rPr>
        <w:t>E</w:t>
      </w:r>
      <w:r w:rsidRPr="00C44A91">
        <w:rPr>
          <w:rFonts w:cs="Arial"/>
          <w:i/>
          <w:color w:val="000000"/>
          <w:szCs w:val="22"/>
          <w:lang w:val="ru-RU"/>
        </w:rPr>
        <w:t>: Рациональное хозяйствование и управление ресурсами</w:t>
      </w:r>
    </w:p>
    <w:p w14:paraId="445BE124" w14:textId="77777777" w:rsidR="00C44A91" w:rsidRPr="00C44A91" w:rsidRDefault="00C44A91" w:rsidP="00C44A91">
      <w:pPr>
        <w:spacing w:after="240"/>
        <w:textDirection w:val="btLr"/>
        <w:rPr>
          <w:rFonts w:cs="Arial"/>
          <w:szCs w:val="22"/>
          <w:lang w:val="ru-RU"/>
        </w:rPr>
      </w:pPr>
      <w:r w:rsidRPr="00F943C5">
        <w:rPr>
          <w:rFonts w:cs="Arial"/>
          <w:i/>
          <w:color w:val="000000"/>
          <w:szCs w:val="22"/>
        </w:rPr>
        <w:t>F</w:t>
      </w:r>
      <w:r w:rsidRPr="00C44A91">
        <w:rPr>
          <w:rFonts w:cs="Arial"/>
          <w:i/>
          <w:color w:val="000000"/>
          <w:szCs w:val="22"/>
          <w:lang w:val="ru-RU"/>
        </w:rPr>
        <w:t>: Развитие потенциала</w:t>
      </w:r>
    </w:p>
    <w:p w14:paraId="13D8F4BA" w14:textId="77777777" w:rsidR="00C44A91" w:rsidRPr="00C44A91" w:rsidRDefault="00C44A91" w:rsidP="00C44A91">
      <w:pPr>
        <w:spacing w:before="240" w:after="240"/>
        <w:jc w:val="both"/>
        <w:rPr>
          <w:rFonts w:cs="Arial"/>
          <w:szCs w:val="22"/>
          <w:lang w:val="ru-RU"/>
        </w:rPr>
      </w:pPr>
      <w:r w:rsidRPr="00C44A91">
        <w:rPr>
          <w:rFonts w:cs="Arial"/>
          <w:szCs w:val="22"/>
          <w:lang w:val="ru-RU"/>
        </w:rPr>
        <w:t>Таким образом, деятельность МОК осуществляется в рамках шести функциональных областей, что предопределило организационную структуру Секретариата МОК, включающую пять секций: (1) секция морских наук; (2) секция наблюдений за океаном и океанографического обслуживания; (3) секция цунами; (4) секция морской политики и региональной координации; (5)</w:t>
      </w:r>
      <w:r>
        <w:rPr>
          <w:rFonts w:cs="Arial"/>
          <w:szCs w:val="22"/>
        </w:rPr>
        <w:t> </w:t>
      </w:r>
      <w:r w:rsidRPr="00C44A91">
        <w:rPr>
          <w:rFonts w:cs="Arial"/>
          <w:szCs w:val="22"/>
          <w:lang w:val="ru-RU"/>
        </w:rPr>
        <w:t>секция управления данными и развития потенциала (размещается в Париже и Остенде (Бельгия) и располагает штатными сотрудниками для региональных и технических вспомогательных органов МОК по всему миру).</w:t>
      </w:r>
    </w:p>
    <w:p w14:paraId="05314476" w14:textId="77777777" w:rsidR="00C44A91" w:rsidRPr="00C44A91" w:rsidRDefault="00C44A91" w:rsidP="00C44A91">
      <w:pPr>
        <w:pStyle w:val="Heading2"/>
        <w:spacing w:before="0"/>
        <w:rPr>
          <w:rFonts w:cs="Arial"/>
          <w:szCs w:val="22"/>
          <w:lang w:val="ru-RU"/>
        </w:rPr>
      </w:pPr>
      <w:bookmarkStart w:id="6" w:name="_Toc120748658"/>
      <w:r w:rsidRPr="00C44A91">
        <w:rPr>
          <w:rFonts w:cs="Arial"/>
          <w:szCs w:val="22"/>
          <w:lang w:val="ru-RU"/>
        </w:rPr>
        <w:lastRenderedPageBreak/>
        <w:t>Текущее положение дел в МОК</w:t>
      </w:r>
      <w:bookmarkEnd w:id="6"/>
    </w:p>
    <w:p w14:paraId="4E1C21E2" w14:textId="77777777" w:rsidR="00C44A91" w:rsidRPr="00C44A91" w:rsidRDefault="00C44A91" w:rsidP="00C44A91">
      <w:pPr>
        <w:spacing w:after="240"/>
        <w:jc w:val="both"/>
        <w:rPr>
          <w:rFonts w:cs="Arial"/>
          <w:color w:val="000000"/>
          <w:szCs w:val="22"/>
          <w:lang w:val="ru-RU"/>
        </w:rPr>
      </w:pPr>
      <w:r w:rsidRPr="00C44A91">
        <w:rPr>
          <w:rFonts w:cs="Arial"/>
          <w:szCs w:val="22"/>
          <w:lang w:val="ru-RU"/>
        </w:rPr>
        <w:t>Объем ресурсов, выделенных в распоряжение МОК в текущем финансовом двухлетии (2022-2023 гг.), был определен Генеральной конференцией ЮНЕСКО на ее 41-й сессии (ноябрь 2021</w:t>
      </w:r>
      <w:r>
        <w:rPr>
          <w:rFonts w:cs="Arial"/>
          <w:szCs w:val="22"/>
        </w:rPr>
        <w:t> </w:t>
      </w:r>
      <w:r w:rsidRPr="00C44A91">
        <w:rPr>
          <w:rFonts w:cs="Arial"/>
          <w:szCs w:val="22"/>
          <w:lang w:val="ru-RU"/>
        </w:rPr>
        <w:t>г.) на основе предложения, одобренного Ассамблеей МОК в ходе состоявшейся в июне 2021 г. 31-й сессии Ассамблеи.</w:t>
      </w:r>
      <w:r w:rsidRPr="00C44A91">
        <w:rPr>
          <w:rFonts w:cs="Arial"/>
          <w:color w:val="000000"/>
          <w:szCs w:val="22"/>
          <w:lang w:val="ru-RU"/>
        </w:rPr>
        <w:t xml:space="preserve"> </w:t>
      </w:r>
      <w:r w:rsidRPr="00C44A91">
        <w:rPr>
          <w:rFonts w:cs="Arial"/>
          <w:szCs w:val="22"/>
          <w:lang w:val="ru-RU"/>
        </w:rPr>
        <w:t xml:space="preserve">Исходя из утвержденного Генеральной конференцией </w:t>
      </w:r>
      <w:r w:rsidRPr="00C44A91">
        <w:rPr>
          <w:rFonts w:cs="Arial"/>
          <w:b/>
          <w:szCs w:val="22"/>
          <w:lang w:val="ru-RU"/>
        </w:rPr>
        <w:t>бюджета обычной программы ЮНЕСКО</w:t>
      </w:r>
      <w:r w:rsidRPr="00C44A91">
        <w:rPr>
          <w:rFonts w:cs="Arial"/>
          <w:szCs w:val="22"/>
          <w:lang w:val="ru-RU"/>
        </w:rPr>
        <w:t xml:space="preserve"> в сумме 534,6 млн. долл. общий согласованный объем комплексного бюджета МОК на текущее двухлетие составил 31,8 млн. долл., включая 11,2</w:t>
      </w:r>
      <w:r>
        <w:rPr>
          <w:rFonts w:cs="Arial"/>
          <w:szCs w:val="22"/>
        </w:rPr>
        <w:t> </w:t>
      </w:r>
      <w:r w:rsidRPr="00C44A91">
        <w:rPr>
          <w:rFonts w:cs="Arial"/>
          <w:szCs w:val="22"/>
          <w:lang w:val="ru-RU"/>
        </w:rPr>
        <w:t xml:space="preserve">млн. долл. по линии обычной программы (ОП), </w:t>
      </w:r>
      <w:proofErr w:type="gramStart"/>
      <w:r w:rsidRPr="00C44A91">
        <w:rPr>
          <w:rFonts w:cs="Arial"/>
          <w:szCs w:val="22"/>
          <w:lang w:val="ru-RU"/>
        </w:rPr>
        <w:t>т.е.</w:t>
      </w:r>
      <w:proofErr w:type="gramEnd"/>
      <w:r w:rsidRPr="00C44A91">
        <w:rPr>
          <w:rFonts w:cs="Arial"/>
          <w:szCs w:val="22"/>
          <w:lang w:val="ru-RU"/>
        </w:rPr>
        <w:t xml:space="preserve"> 2,1% от общего бюджета обычной программы ЮНЕСКО.</w:t>
      </w:r>
    </w:p>
    <w:p w14:paraId="284CABBA" w14:textId="77777777" w:rsidR="00C44A91" w:rsidRPr="00C44A91" w:rsidRDefault="00C44A91" w:rsidP="00C44A91">
      <w:pPr>
        <w:spacing w:after="240"/>
        <w:jc w:val="both"/>
        <w:rPr>
          <w:rFonts w:cs="Arial"/>
          <w:szCs w:val="22"/>
          <w:lang w:val="ru-RU"/>
        </w:rPr>
      </w:pPr>
      <w:r w:rsidRPr="00C44A91">
        <w:rPr>
          <w:rFonts w:cs="Arial"/>
          <w:szCs w:val="22"/>
          <w:lang w:val="ru-RU"/>
        </w:rPr>
        <w:t xml:space="preserve">Общая сумма бюджета МОК на </w:t>
      </w:r>
      <w:proofErr w:type="gramStart"/>
      <w:r w:rsidRPr="00C44A91">
        <w:rPr>
          <w:rFonts w:cs="Arial"/>
          <w:szCs w:val="22"/>
          <w:lang w:val="ru-RU"/>
        </w:rPr>
        <w:t>2022-2023</w:t>
      </w:r>
      <w:proofErr w:type="gramEnd"/>
      <w:r w:rsidRPr="00C44A91">
        <w:rPr>
          <w:rFonts w:cs="Arial"/>
          <w:szCs w:val="22"/>
          <w:lang w:val="ru-RU"/>
        </w:rPr>
        <w:t xml:space="preserve"> гг. была определена исходя из предположения, что МОК сможет привлечь дополнительно к ассигнованиям ОП существенный объем </w:t>
      </w:r>
      <w:r w:rsidRPr="00C44A91">
        <w:rPr>
          <w:rFonts w:cs="Arial"/>
          <w:b/>
          <w:szCs w:val="22"/>
          <w:lang w:val="ru-RU"/>
        </w:rPr>
        <w:t>внебюджетных средств (ВБС)</w:t>
      </w:r>
      <w:r w:rsidRPr="00C44A91">
        <w:rPr>
          <w:rFonts w:cs="Arial"/>
          <w:szCs w:val="22"/>
          <w:lang w:val="ru-RU"/>
        </w:rPr>
        <w:t xml:space="preserve">. К внебюджетным средствам относятся добровольные взносы государств-членов МОК или других финансирующих организаций, включая частные источники финансирования, благотворительные фонды и </w:t>
      </w:r>
      <w:proofErr w:type="gramStart"/>
      <w:r w:rsidRPr="00C44A91">
        <w:rPr>
          <w:rFonts w:cs="Arial"/>
          <w:szCs w:val="22"/>
          <w:lang w:val="ru-RU"/>
        </w:rPr>
        <w:t>т.п.</w:t>
      </w:r>
      <w:proofErr w:type="gramEnd"/>
      <w:r w:rsidRPr="00C44A91">
        <w:rPr>
          <w:rFonts w:cs="Arial"/>
          <w:szCs w:val="22"/>
          <w:lang w:val="ru-RU"/>
        </w:rPr>
        <w:t xml:space="preserve"> В комплексном бюджете ЮНЕСКО на </w:t>
      </w:r>
      <w:proofErr w:type="gramStart"/>
      <w:r w:rsidRPr="00C44A91">
        <w:rPr>
          <w:rFonts w:cs="Arial"/>
          <w:szCs w:val="22"/>
          <w:lang w:val="ru-RU"/>
        </w:rPr>
        <w:t>2022-2023</w:t>
      </w:r>
      <w:proofErr w:type="gramEnd"/>
      <w:r w:rsidRPr="00C44A91">
        <w:rPr>
          <w:rFonts w:cs="Arial"/>
          <w:szCs w:val="22"/>
          <w:lang w:val="ru-RU"/>
        </w:rPr>
        <w:t xml:space="preserve"> гг. (41 С/5) ВБС составляют 65% (20,6 млн. долл.) от общего бюджета МОК</w:t>
      </w:r>
      <w:r w:rsidRPr="00F943C5">
        <w:rPr>
          <w:rFonts w:cs="Arial"/>
          <w:szCs w:val="22"/>
          <w:vertAlign w:val="superscript"/>
        </w:rPr>
        <w:footnoteReference w:id="7"/>
      </w:r>
      <w:r w:rsidRPr="00C44A91">
        <w:rPr>
          <w:rFonts w:cs="Arial"/>
          <w:szCs w:val="22"/>
          <w:lang w:val="ru-RU"/>
        </w:rPr>
        <w:t>. При этом на момент подготовки проекта документа 41</w:t>
      </w:r>
      <w:r w:rsidRPr="00F943C5">
        <w:rPr>
          <w:rFonts w:cs="Arial"/>
          <w:szCs w:val="22"/>
        </w:rPr>
        <w:t> </w:t>
      </w:r>
      <w:r w:rsidRPr="00C44A91">
        <w:rPr>
          <w:rFonts w:cs="Arial"/>
          <w:szCs w:val="22"/>
          <w:lang w:val="ru-RU"/>
        </w:rPr>
        <w:t>С/5 объем привлеченных внебюджетных средств составлял всего 4,4 млн. долл. (имеющихся в наличии или официально обещанных средств), таким образом, дефицит финансирования составил 16,2 млн. долл.</w:t>
      </w:r>
    </w:p>
    <w:p w14:paraId="2064C322" w14:textId="77777777" w:rsidR="00C44A91" w:rsidRPr="00C44A91" w:rsidRDefault="00C44A91" w:rsidP="00C44A91">
      <w:pPr>
        <w:spacing w:after="240"/>
        <w:jc w:val="both"/>
        <w:rPr>
          <w:rFonts w:cs="Arial"/>
          <w:i/>
          <w:color w:val="000000"/>
          <w:szCs w:val="22"/>
          <w:lang w:val="ru-RU"/>
        </w:rPr>
      </w:pPr>
      <w:r w:rsidRPr="00C44A91">
        <w:rPr>
          <w:rFonts w:cs="Arial"/>
          <w:szCs w:val="22"/>
          <w:lang w:val="ru-RU"/>
        </w:rPr>
        <w:t>Основная часть добровольных взносов направляется в целевые фонды либо на специальный счет МОК.</w:t>
      </w:r>
      <w:r w:rsidRPr="00C44A91">
        <w:rPr>
          <w:rFonts w:cs="Arial"/>
          <w:color w:val="000000"/>
          <w:szCs w:val="22"/>
          <w:lang w:val="ru-RU"/>
        </w:rPr>
        <w:t xml:space="preserve"> </w:t>
      </w:r>
      <w:r w:rsidRPr="00C44A91">
        <w:rPr>
          <w:rFonts w:cs="Arial"/>
          <w:i/>
          <w:szCs w:val="22"/>
          <w:lang w:val="ru-RU"/>
        </w:rPr>
        <w:t>Специальный счет МОК</w:t>
      </w:r>
      <w:r w:rsidRPr="00C44A91">
        <w:rPr>
          <w:rFonts w:cs="Arial"/>
          <w:szCs w:val="22"/>
          <w:lang w:val="ru-RU"/>
        </w:rPr>
        <w:t xml:space="preserve"> был создан с четко обозначенной целью содействовать осуществлению программ МОК с использованием гибкого механизма выделения базового финансирования, в то время как </w:t>
      </w:r>
      <w:r w:rsidRPr="00C44A91">
        <w:rPr>
          <w:rFonts w:cs="Arial"/>
          <w:i/>
          <w:szCs w:val="22"/>
          <w:lang w:val="ru-RU"/>
        </w:rPr>
        <w:t>целевые фонды</w:t>
      </w:r>
      <w:r w:rsidRPr="00C44A91">
        <w:rPr>
          <w:rFonts w:cs="Arial"/>
          <w:szCs w:val="22"/>
          <w:lang w:val="ru-RU"/>
        </w:rPr>
        <w:t xml:space="preserve"> пополняются за счет добровольных взносов с жестко ограниченными условиями использования и только под конкретные проекты.</w:t>
      </w:r>
      <w:r w:rsidRPr="00C44A91">
        <w:rPr>
          <w:rFonts w:cs="Arial"/>
          <w:color w:val="000000"/>
          <w:szCs w:val="22"/>
          <w:lang w:val="ru-RU"/>
        </w:rPr>
        <w:t xml:space="preserve"> </w:t>
      </w:r>
      <w:r w:rsidRPr="00C44A91">
        <w:rPr>
          <w:rFonts w:cs="Arial"/>
          <w:szCs w:val="22"/>
          <w:lang w:val="ru-RU"/>
        </w:rPr>
        <w:t xml:space="preserve">В </w:t>
      </w:r>
      <w:proofErr w:type="gramStart"/>
      <w:r w:rsidRPr="00C44A91">
        <w:rPr>
          <w:rFonts w:cs="Arial"/>
          <w:szCs w:val="22"/>
          <w:lang w:val="ru-RU"/>
        </w:rPr>
        <w:t>2020-2021</w:t>
      </w:r>
      <w:proofErr w:type="gramEnd"/>
      <w:r w:rsidRPr="00C44A91">
        <w:rPr>
          <w:rFonts w:cs="Arial"/>
          <w:szCs w:val="22"/>
          <w:lang w:val="ru-RU"/>
        </w:rPr>
        <w:t xml:space="preserve"> гг. доля добровольных взносов по линии целевых фондов составила 66% (12,1</w:t>
      </w:r>
      <w:r>
        <w:rPr>
          <w:rFonts w:cs="Arial"/>
          <w:szCs w:val="22"/>
        </w:rPr>
        <w:t> </w:t>
      </w:r>
      <w:r w:rsidRPr="00C44A91">
        <w:rPr>
          <w:rFonts w:cs="Arial"/>
          <w:szCs w:val="22"/>
          <w:lang w:val="ru-RU"/>
        </w:rPr>
        <w:t>млн.</w:t>
      </w:r>
      <w:r w:rsidRPr="00F943C5">
        <w:rPr>
          <w:rFonts w:cs="Arial"/>
          <w:szCs w:val="22"/>
        </w:rPr>
        <w:t> </w:t>
      </w:r>
      <w:r w:rsidRPr="00C44A91">
        <w:rPr>
          <w:rFonts w:cs="Arial"/>
          <w:szCs w:val="22"/>
          <w:lang w:val="ru-RU"/>
        </w:rPr>
        <w:t>долл.), доля взносов на специальный счет – 34% (6,2 млн.</w:t>
      </w:r>
      <w:r w:rsidRPr="00F943C5">
        <w:rPr>
          <w:rFonts w:cs="Arial"/>
          <w:szCs w:val="22"/>
        </w:rPr>
        <w:t> </w:t>
      </w:r>
      <w:r w:rsidRPr="00C44A91">
        <w:rPr>
          <w:rFonts w:cs="Arial"/>
          <w:szCs w:val="22"/>
          <w:lang w:val="ru-RU"/>
        </w:rPr>
        <w:t>долл.), что соответствует тенденции, наблюдавшейся в течение двух последних двухлетних периодов.</w:t>
      </w:r>
    </w:p>
    <w:p w14:paraId="549EAA8B" w14:textId="77777777" w:rsidR="00C44A91" w:rsidRPr="00C44A91" w:rsidRDefault="00C44A91" w:rsidP="00C44A91">
      <w:pPr>
        <w:spacing w:after="240"/>
        <w:jc w:val="both"/>
        <w:rPr>
          <w:rFonts w:cs="Arial"/>
          <w:szCs w:val="22"/>
          <w:lang w:val="ru-RU"/>
        </w:rPr>
      </w:pPr>
      <w:r w:rsidRPr="00C44A91">
        <w:rPr>
          <w:rFonts w:cs="Arial"/>
          <w:szCs w:val="22"/>
          <w:lang w:val="ru-RU"/>
        </w:rPr>
        <w:t xml:space="preserve">Следует отметить, что добровольные взносы на специальный счет, предполагающие, в принципе, более гибкий в сравнении с целевыми фондами механизм использования, в основном имели целевой характер. Кроме того, несмотря на утверждение государствами-членами общих параметров двухгодичного бюджета для специального счета МОК на </w:t>
      </w:r>
      <w:proofErr w:type="gramStart"/>
      <w:r w:rsidRPr="00C44A91">
        <w:rPr>
          <w:rFonts w:cs="Arial"/>
          <w:szCs w:val="22"/>
          <w:lang w:val="ru-RU"/>
        </w:rPr>
        <w:t>2022-2023</w:t>
      </w:r>
      <w:proofErr w:type="gramEnd"/>
      <w:r w:rsidRPr="00C44A91">
        <w:rPr>
          <w:rFonts w:cs="Arial"/>
          <w:szCs w:val="22"/>
          <w:lang w:val="ru-RU"/>
        </w:rPr>
        <w:t xml:space="preserve"> гг. в объеме 9,4 млн. долл., речь идет лишь об искомых параметрах, призванных служить рамочной основой для распределения поступающих средств. Это означает, что на практике лишь 35% от общей суммы комплексного бюджета МОК (</w:t>
      </w:r>
      <w:proofErr w:type="gramStart"/>
      <w:r w:rsidRPr="00C44A91">
        <w:rPr>
          <w:rFonts w:cs="Arial"/>
          <w:szCs w:val="22"/>
          <w:lang w:val="ru-RU"/>
        </w:rPr>
        <w:t>т.е.</w:t>
      </w:r>
      <w:proofErr w:type="gramEnd"/>
      <w:r w:rsidRPr="00C44A91">
        <w:rPr>
          <w:rFonts w:cs="Arial"/>
          <w:szCs w:val="22"/>
          <w:lang w:val="ru-RU"/>
        </w:rPr>
        <w:t xml:space="preserve"> лишь 11,2 млн. долл., ассигнованных в рамках ОП, из общей суммы комплексного бюджета в объеме 31,8 млн. долл.) подлежат распределению на основе коллективных решений и установленных государствами – членами МОК приоритетов.</w:t>
      </w:r>
    </w:p>
    <w:p w14:paraId="6601835D" w14:textId="77777777" w:rsidR="00C44A91" w:rsidRPr="00C44A91" w:rsidRDefault="00C44A91" w:rsidP="00A721F8">
      <w:pPr>
        <w:pStyle w:val="Heading2"/>
        <w:tabs>
          <w:tab w:val="clear" w:pos="567"/>
        </w:tabs>
        <w:spacing w:before="0"/>
        <w:ind w:left="0" w:firstLine="0"/>
        <w:rPr>
          <w:rFonts w:cs="Arial"/>
          <w:szCs w:val="22"/>
          <w:lang w:val="ru-RU"/>
        </w:rPr>
      </w:pPr>
      <w:bookmarkStart w:id="7" w:name="_Toc120748659"/>
      <w:r w:rsidRPr="00C44A91">
        <w:rPr>
          <w:rFonts w:cs="Arial"/>
          <w:szCs w:val="22"/>
          <w:lang w:val="ru-RU"/>
        </w:rPr>
        <w:t>Соотношение расходов на выплату заработной платы и на мероприятия в рамках бюджета обычной программы</w:t>
      </w:r>
      <w:bookmarkEnd w:id="7"/>
    </w:p>
    <w:p w14:paraId="63198410" w14:textId="77777777" w:rsidR="00C44A91" w:rsidRPr="00C44A91" w:rsidRDefault="00C44A91" w:rsidP="00C44A91">
      <w:pPr>
        <w:spacing w:after="240"/>
        <w:jc w:val="both"/>
        <w:rPr>
          <w:rFonts w:cs="Arial"/>
          <w:color w:val="000000"/>
          <w:szCs w:val="22"/>
          <w:lang w:val="ru-RU"/>
        </w:rPr>
      </w:pPr>
      <w:r w:rsidRPr="00C44A91">
        <w:rPr>
          <w:rFonts w:cs="Arial"/>
          <w:color w:val="000000"/>
          <w:szCs w:val="22"/>
          <w:lang w:val="ru-RU"/>
        </w:rPr>
        <w:t xml:space="preserve">Если говорить в целом, то объем средств, выделенных по линии ОП на мероприятия МОК, сократился с 3 449 900 долл. в 2010-2011 гг. (35 </w:t>
      </w:r>
      <w:r w:rsidRPr="00F943C5">
        <w:rPr>
          <w:rFonts w:cs="Arial"/>
          <w:color w:val="000000"/>
          <w:szCs w:val="22"/>
        </w:rPr>
        <w:t>C</w:t>
      </w:r>
      <w:r w:rsidRPr="00C44A91">
        <w:rPr>
          <w:rFonts w:cs="Arial"/>
          <w:color w:val="000000"/>
          <w:szCs w:val="22"/>
          <w:lang w:val="ru-RU"/>
        </w:rPr>
        <w:t>/5) до 1 834 800 долл. в 2021-2022 гг. (41</w:t>
      </w:r>
      <w:r>
        <w:rPr>
          <w:rFonts w:cs="Arial"/>
          <w:color w:val="000000"/>
          <w:szCs w:val="22"/>
        </w:rPr>
        <w:t> </w:t>
      </w:r>
      <w:r w:rsidRPr="00F943C5">
        <w:rPr>
          <w:rFonts w:cs="Arial"/>
          <w:color w:val="000000"/>
          <w:szCs w:val="22"/>
        </w:rPr>
        <w:t>C</w:t>
      </w:r>
      <w:r w:rsidRPr="00C44A91">
        <w:rPr>
          <w:rFonts w:cs="Arial"/>
          <w:color w:val="000000"/>
          <w:szCs w:val="22"/>
          <w:lang w:val="ru-RU"/>
        </w:rPr>
        <w:t xml:space="preserve">/5), т.е. на 53% в номинальном выражении в сравнении с 2010-2011 гг. Средства обычной программы используются для выплаты заработной платы штатным сотрудникам МОК (персонал ООН), а также для финансирования ограниченного круга задач, касающихся основной деятельности (мероприятий), в частности на проведение совещаний, оплату командировок, подготовку публикаций и т.п. В </w:t>
      </w:r>
      <w:proofErr w:type="gramStart"/>
      <w:r w:rsidRPr="00C44A91">
        <w:rPr>
          <w:rFonts w:cs="Arial"/>
          <w:color w:val="000000"/>
          <w:szCs w:val="22"/>
          <w:lang w:val="ru-RU"/>
        </w:rPr>
        <w:t>2010-2011</w:t>
      </w:r>
      <w:proofErr w:type="gramEnd"/>
      <w:r w:rsidRPr="00F943C5">
        <w:rPr>
          <w:rFonts w:cs="Arial"/>
          <w:color w:val="000000"/>
          <w:szCs w:val="22"/>
        </w:rPr>
        <w:t> </w:t>
      </w:r>
      <w:r w:rsidRPr="00C44A91">
        <w:rPr>
          <w:rFonts w:cs="Arial"/>
          <w:color w:val="000000"/>
          <w:szCs w:val="22"/>
          <w:lang w:val="ru-RU"/>
        </w:rPr>
        <w:t xml:space="preserve">гг., т.е. до прекращения финансирования ЮНЕСКО со стороны США, доля заработной платы составляла 64% от ассигнований МОК по линии ОП, а доля расходов на мероприятия – 36%. С тех пор бюджет МОК на мероприятия в качестве доли </w:t>
      </w:r>
      <w:r w:rsidRPr="00C44A91">
        <w:rPr>
          <w:rFonts w:cs="Arial"/>
          <w:color w:val="000000"/>
          <w:szCs w:val="22"/>
          <w:lang w:val="ru-RU"/>
        </w:rPr>
        <w:lastRenderedPageBreak/>
        <w:t>общих ассигнований по линии ОП, существенно сократился. В 2018-2019</w:t>
      </w:r>
      <w:r w:rsidRPr="00F943C5">
        <w:rPr>
          <w:rFonts w:cs="Arial"/>
          <w:color w:val="000000"/>
          <w:szCs w:val="22"/>
        </w:rPr>
        <w:t> </w:t>
      </w:r>
      <w:r w:rsidRPr="00C44A91">
        <w:rPr>
          <w:rFonts w:cs="Arial"/>
          <w:color w:val="000000"/>
          <w:szCs w:val="22"/>
          <w:lang w:val="ru-RU"/>
        </w:rPr>
        <w:t xml:space="preserve">гг. (39 </w:t>
      </w:r>
      <w:r w:rsidRPr="00F943C5">
        <w:rPr>
          <w:rFonts w:cs="Arial"/>
          <w:color w:val="000000"/>
          <w:szCs w:val="22"/>
        </w:rPr>
        <w:t>C</w:t>
      </w:r>
      <w:r w:rsidRPr="00C44A91">
        <w:rPr>
          <w:rFonts w:cs="Arial"/>
          <w:color w:val="000000"/>
          <w:szCs w:val="22"/>
          <w:lang w:val="ru-RU"/>
        </w:rPr>
        <w:t>/5) и 2020-2021</w:t>
      </w:r>
      <w:r w:rsidRPr="00F943C5">
        <w:rPr>
          <w:rFonts w:cs="Arial"/>
          <w:color w:val="000000"/>
          <w:szCs w:val="22"/>
        </w:rPr>
        <w:t> </w:t>
      </w:r>
      <w:r w:rsidRPr="00C44A91">
        <w:rPr>
          <w:rFonts w:cs="Arial"/>
          <w:color w:val="000000"/>
          <w:szCs w:val="22"/>
          <w:lang w:val="ru-RU"/>
        </w:rPr>
        <w:t xml:space="preserve">гг. (40 </w:t>
      </w:r>
      <w:r w:rsidRPr="00F943C5">
        <w:rPr>
          <w:rFonts w:cs="Arial"/>
          <w:color w:val="000000"/>
          <w:szCs w:val="22"/>
        </w:rPr>
        <w:t>C</w:t>
      </w:r>
      <w:r w:rsidRPr="00C44A91">
        <w:rPr>
          <w:rFonts w:cs="Arial"/>
          <w:color w:val="000000"/>
          <w:szCs w:val="22"/>
          <w:lang w:val="ru-RU"/>
        </w:rPr>
        <w:t xml:space="preserve">/5) расходы на мероприятия поддерживались на уровне 25% от суммы бюджета в соответствии с резолюциями Ассамблеи МОК, устанавливавшими, что доля расходов МОК на выплату заработной платы в общем объеме ассигнований по линии ОП не превышала 75% (а доля расходов на мероприятия не опускалась ниже 25%). </w:t>
      </w:r>
      <w:bookmarkStart w:id="8" w:name="_Hlk119402656"/>
      <w:r w:rsidRPr="00C44A91">
        <w:rPr>
          <w:rFonts w:cs="Arial"/>
          <w:color w:val="000000"/>
          <w:szCs w:val="22"/>
          <w:lang w:val="ru-RU"/>
        </w:rPr>
        <w:t xml:space="preserve">В документе 41 </w:t>
      </w:r>
      <w:r w:rsidRPr="00F943C5">
        <w:rPr>
          <w:rFonts w:cs="Arial"/>
          <w:color w:val="000000"/>
          <w:szCs w:val="22"/>
        </w:rPr>
        <w:t>C</w:t>
      </w:r>
      <w:r w:rsidRPr="00C44A91">
        <w:rPr>
          <w:rFonts w:cs="Arial"/>
          <w:color w:val="000000"/>
          <w:szCs w:val="22"/>
          <w:lang w:val="ru-RU"/>
        </w:rPr>
        <w:t>/5 (</w:t>
      </w:r>
      <w:proofErr w:type="gramStart"/>
      <w:r w:rsidRPr="00C44A91">
        <w:rPr>
          <w:rFonts w:cs="Arial"/>
          <w:color w:val="000000"/>
          <w:szCs w:val="22"/>
          <w:lang w:val="ru-RU"/>
        </w:rPr>
        <w:t>2022-2023</w:t>
      </w:r>
      <w:proofErr w:type="gramEnd"/>
      <w:r>
        <w:rPr>
          <w:rFonts w:cs="Arial"/>
          <w:color w:val="000000"/>
          <w:szCs w:val="22"/>
        </w:rPr>
        <w:t> </w:t>
      </w:r>
      <w:r w:rsidRPr="00C44A91">
        <w:rPr>
          <w:rFonts w:cs="Arial"/>
          <w:color w:val="000000"/>
          <w:szCs w:val="22"/>
          <w:lang w:val="ru-RU"/>
        </w:rPr>
        <w:t>гг.) соотношение расходов на персонал в сравнении с расходами на мероприятия за счет ассигнований ОП составило 84% и 16% соответственно.</w:t>
      </w:r>
      <w:bookmarkEnd w:id="8"/>
    </w:p>
    <w:p w14:paraId="64EC4EA0" w14:textId="77777777" w:rsidR="00C44A91" w:rsidRPr="00C44A91" w:rsidRDefault="00C44A91" w:rsidP="00C44A91">
      <w:pPr>
        <w:pStyle w:val="Heading2"/>
        <w:spacing w:before="0"/>
        <w:rPr>
          <w:rFonts w:cs="Arial"/>
          <w:szCs w:val="22"/>
          <w:lang w:val="ru-RU"/>
        </w:rPr>
      </w:pPr>
      <w:bookmarkStart w:id="9" w:name="_Toc120748660"/>
      <w:r w:rsidRPr="00C44A91">
        <w:rPr>
          <w:rFonts w:cs="Arial"/>
          <w:szCs w:val="22"/>
          <w:lang w:val="ru-RU"/>
        </w:rPr>
        <w:t>Кадровое обеспечение</w:t>
      </w:r>
      <w:bookmarkEnd w:id="9"/>
    </w:p>
    <w:p w14:paraId="589130C8" w14:textId="77777777" w:rsidR="00C44A91" w:rsidRPr="00C44A91" w:rsidRDefault="00C44A91" w:rsidP="00C44A91">
      <w:pPr>
        <w:spacing w:after="240"/>
        <w:jc w:val="both"/>
        <w:rPr>
          <w:rFonts w:cs="Arial"/>
          <w:color w:val="000000"/>
          <w:szCs w:val="22"/>
          <w:lang w:val="ru-RU"/>
        </w:rPr>
      </w:pPr>
      <w:r w:rsidRPr="00C44A91">
        <w:rPr>
          <w:rFonts w:cs="Arial"/>
          <w:color w:val="000000"/>
          <w:szCs w:val="22"/>
          <w:lang w:val="ru-RU"/>
        </w:rPr>
        <w:t>В бюджете обычной программы (41 С/5) предусмотрено финансирование 28,5 штатных должностей, а именно: 15 должностей категории специалистов (</w:t>
      </w:r>
      <w:r w:rsidRPr="00F943C5">
        <w:rPr>
          <w:rFonts w:cs="Arial"/>
          <w:color w:val="000000"/>
          <w:szCs w:val="22"/>
        </w:rPr>
        <w:t>P</w:t>
      </w:r>
      <w:r w:rsidRPr="00C44A91">
        <w:rPr>
          <w:rFonts w:cs="Arial"/>
          <w:color w:val="000000"/>
          <w:szCs w:val="22"/>
          <w:lang w:val="ru-RU"/>
        </w:rPr>
        <w:t>) и пять должностей категории общего обслуживания (ОО) в Штаб-квартире, шесть должностей категории специалистов (</w:t>
      </w:r>
      <w:r w:rsidRPr="00F943C5">
        <w:rPr>
          <w:rFonts w:cs="Arial"/>
          <w:color w:val="000000"/>
          <w:szCs w:val="22"/>
        </w:rPr>
        <w:t>P</w:t>
      </w:r>
      <w:r w:rsidRPr="00C44A91">
        <w:rPr>
          <w:rFonts w:cs="Arial"/>
          <w:color w:val="000000"/>
          <w:szCs w:val="22"/>
          <w:lang w:val="ru-RU"/>
        </w:rPr>
        <w:t xml:space="preserve">) и 2,5 должности категории национального сотрудника-специалиста (НСС) в подразделениях на местах (причем одна должность НСС предполагает одновременно обслуживание Сектора естественных наук). </w:t>
      </w:r>
      <w:r w:rsidRPr="00C44A91">
        <w:rPr>
          <w:rFonts w:cs="Arial"/>
          <w:lang w:val="ru-RU"/>
        </w:rPr>
        <w:t>Указанные должности являются штатными, что обеспечивает долгосрочный характер и преемственность программных приоритетов МОК.</w:t>
      </w:r>
      <w:r w:rsidRPr="00C44A91">
        <w:rPr>
          <w:rFonts w:cs="Arial"/>
          <w:szCs w:val="22"/>
          <w:lang w:val="ru-RU"/>
        </w:rPr>
        <w:t xml:space="preserve"> В приведенной ниже таблице и в диаграмме показано распределение штатных должностей, финансируемых за счет средств обычной программы (41</w:t>
      </w:r>
      <w:r w:rsidRPr="00F943C5">
        <w:rPr>
          <w:rFonts w:cs="Arial"/>
          <w:szCs w:val="22"/>
        </w:rPr>
        <w:t> C</w:t>
      </w:r>
      <w:r w:rsidRPr="00C44A91">
        <w:rPr>
          <w:rFonts w:cs="Arial"/>
          <w:szCs w:val="22"/>
          <w:lang w:val="ru-RU"/>
        </w:rPr>
        <w:t>/5) в рамках функциональных областей МОК (в общей сложности 28,5 должностей, включая должности заместителя Генерального директора – Исполнительного секретаря МОК (</w:t>
      </w:r>
      <w:r w:rsidRPr="00F943C5">
        <w:rPr>
          <w:rFonts w:cs="Arial"/>
          <w:szCs w:val="22"/>
        </w:rPr>
        <w:t>ADG</w:t>
      </w:r>
      <w:r w:rsidRPr="00C44A91">
        <w:rPr>
          <w:rFonts w:cs="Arial"/>
          <w:szCs w:val="22"/>
          <w:lang w:val="ru-RU"/>
        </w:rPr>
        <w:t>/</w:t>
      </w:r>
      <w:r w:rsidRPr="00F943C5">
        <w:rPr>
          <w:rFonts w:cs="Arial"/>
          <w:szCs w:val="22"/>
        </w:rPr>
        <w:t>IOC</w:t>
      </w:r>
      <w:r w:rsidRPr="00C44A91">
        <w:rPr>
          <w:rFonts w:cs="Arial"/>
          <w:szCs w:val="22"/>
          <w:lang w:val="ru-RU"/>
        </w:rPr>
        <w:t>) и сотрудников его канцелярии, сотрудников группы оперативной поддержки и группы по координации проведения Десятилетия). В реальности сотрудникам нередко приходится заниматься сразу несколькими функциональными областями:</w:t>
      </w:r>
    </w:p>
    <w:p w14:paraId="55094EA2" w14:textId="77777777" w:rsidR="00C44A91" w:rsidRPr="00C44A91" w:rsidRDefault="00C44A91" w:rsidP="00C44A91">
      <w:pPr>
        <w:pBdr>
          <w:top w:val="nil"/>
          <w:left w:val="nil"/>
          <w:bottom w:val="nil"/>
          <w:right w:val="nil"/>
          <w:between w:val="nil"/>
        </w:pBdr>
        <w:spacing w:after="240"/>
        <w:rPr>
          <w:rFonts w:cs="Arial"/>
          <w:color w:val="000000"/>
          <w:szCs w:val="22"/>
          <w:lang w:val="ru-RU"/>
        </w:rPr>
      </w:pPr>
      <w:r w:rsidRPr="00F943C5">
        <w:rPr>
          <w:rFonts w:cs="Arial"/>
          <w:noProof/>
          <w:color w:val="000000"/>
          <w:szCs w:val="22"/>
          <w:lang w:eastAsia="en-GB"/>
        </w:rPr>
        <mc:AlternateContent>
          <mc:Choice Requires="wps">
            <w:drawing>
              <wp:inline distT="0" distB="0" distL="0" distR="0" wp14:anchorId="49D84E4F" wp14:editId="0A411860">
                <wp:extent cx="2129515" cy="1661984"/>
                <wp:effectExtent l="0" t="0" r="23495" b="14605"/>
                <wp:docPr id="3" name="Text Box 3"/>
                <wp:cNvGraphicFramePr/>
                <a:graphic xmlns:a="http://schemas.openxmlformats.org/drawingml/2006/main">
                  <a:graphicData uri="http://schemas.microsoft.com/office/word/2010/wordprocessingShape">
                    <wps:wsp>
                      <wps:cNvSpPr txBox="1"/>
                      <wps:spPr>
                        <a:xfrm>
                          <a:off x="0" y="0"/>
                          <a:ext cx="2129515" cy="1661984"/>
                        </a:xfrm>
                        <a:prstGeom prst="rect">
                          <a:avLst/>
                        </a:prstGeom>
                        <a:solidFill>
                          <a:schemeClr val="lt1"/>
                        </a:solidFill>
                        <a:ln w="6350">
                          <a:solidFill>
                            <a:prstClr val="black"/>
                          </a:solidFill>
                        </a:ln>
                      </wps:spPr>
                      <wps:txbx>
                        <w:txbxContent>
                          <w:p w14:paraId="29B34010" w14:textId="40DE21E1" w:rsidR="00C44A91" w:rsidRPr="00C44A91" w:rsidRDefault="00C44A91" w:rsidP="00DF2D86">
                            <w:pPr>
                              <w:spacing w:after="120"/>
                              <w:rPr>
                                <w:rFonts w:cs="Arial"/>
                                <w:sz w:val="20"/>
                                <w:szCs w:val="20"/>
                                <w:lang w:val="ru-RU"/>
                              </w:rPr>
                            </w:pPr>
                            <w:r w:rsidRPr="00C44A91">
                              <w:rPr>
                                <w:rFonts w:cs="Arial"/>
                                <w:sz w:val="20"/>
                                <w:szCs w:val="20"/>
                                <w:lang w:val="ru-RU"/>
                              </w:rPr>
                              <w:t xml:space="preserve">Функциональная </w:t>
                            </w:r>
                            <w:r w:rsidRPr="00C44A91">
                              <w:rPr>
                                <w:rFonts w:cs="Arial"/>
                                <w:sz w:val="20"/>
                                <w:szCs w:val="20"/>
                                <w:lang w:val="ru-RU"/>
                              </w:rPr>
                              <w:tab/>
                              <w:t>Число</w:t>
                            </w:r>
                            <w:r w:rsidRPr="00C44A91">
                              <w:rPr>
                                <w:rFonts w:cs="Arial"/>
                                <w:sz w:val="20"/>
                                <w:szCs w:val="20"/>
                                <w:lang w:val="ru-RU"/>
                              </w:rPr>
                              <w:br/>
                              <w:t xml:space="preserve">      область</w:t>
                            </w:r>
                            <w:r w:rsidRPr="00C44A91">
                              <w:rPr>
                                <w:rFonts w:cs="Arial"/>
                                <w:sz w:val="20"/>
                                <w:szCs w:val="20"/>
                                <w:lang w:val="ru-RU"/>
                              </w:rPr>
                              <w:tab/>
                              <w:t xml:space="preserve">         должностей</w:t>
                            </w:r>
                          </w:p>
                          <w:p w14:paraId="5CAD64FA" w14:textId="106D75C1" w:rsidR="00C44A91" w:rsidRPr="00B514D5" w:rsidRDefault="00C44A91" w:rsidP="00C44A91">
                            <w:pPr>
                              <w:rPr>
                                <w:rFonts w:cs="Arial"/>
                                <w:sz w:val="20"/>
                                <w:szCs w:val="20"/>
                                <w:lang w:val="ru-RU"/>
                              </w:rPr>
                            </w:pPr>
                            <w:r w:rsidRPr="00C44A91">
                              <w:rPr>
                                <w:rFonts w:cs="Arial"/>
                                <w:sz w:val="20"/>
                                <w:szCs w:val="20"/>
                                <w:lang w:val="ru-RU"/>
                              </w:rPr>
                              <w:t xml:space="preserve">   </w:t>
                            </w:r>
                            <w:r w:rsidRPr="00DF2D86">
                              <w:rPr>
                                <w:rFonts w:cs="Arial"/>
                                <w:sz w:val="20"/>
                                <w:szCs w:val="20"/>
                                <w:lang w:val="pt-PT"/>
                              </w:rPr>
                              <w:t>A</w:t>
                            </w:r>
                            <w:r w:rsidRPr="00B514D5">
                              <w:rPr>
                                <w:rFonts w:cs="Arial"/>
                                <w:sz w:val="20"/>
                                <w:szCs w:val="20"/>
                                <w:lang w:val="ru-RU"/>
                              </w:rPr>
                              <w:tab/>
                            </w:r>
                            <w:r w:rsidRPr="00B514D5">
                              <w:rPr>
                                <w:rFonts w:cs="Arial"/>
                                <w:sz w:val="20"/>
                                <w:szCs w:val="20"/>
                                <w:lang w:val="ru-RU"/>
                              </w:rPr>
                              <w:tab/>
                              <w:t xml:space="preserve">             </w:t>
                            </w:r>
                            <w:r w:rsidR="00DF2D86" w:rsidRPr="00B514D5">
                              <w:rPr>
                                <w:rFonts w:cs="Arial"/>
                                <w:sz w:val="20"/>
                                <w:szCs w:val="20"/>
                                <w:lang w:val="ru-RU"/>
                              </w:rPr>
                              <w:t xml:space="preserve">             </w:t>
                            </w:r>
                            <w:r w:rsidRPr="00B514D5">
                              <w:rPr>
                                <w:rFonts w:cs="Arial"/>
                                <w:sz w:val="20"/>
                                <w:szCs w:val="20"/>
                                <w:lang w:val="ru-RU"/>
                              </w:rPr>
                              <w:t xml:space="preserve"> 2,97</w:t>
                            </w:r>
                          </w:p>
                          <w:p w14:paraId="0307A962" w14:textId="1B3476CB" w:rsidR="00C44A91" w:rsidRPr="00B514D5" w:rsidRDefault="00C44A91" w:rsidP="00C44A91">
                            <w:pPr>
                              <w:rPr>
                                <w:rFonts w:cs="Arial"/>
                                <w:sz w:val="20"/>
                                <w:szCs w:val="20"/>
                                <w:lang w:val="ru-RU"/>
                              </w:rPr>
                            </w:pPr>
                            <w:r w:rsidRPr="00B514D5">
                              <w:rPr>
                                <w:rFonts w:cs="Arial"/>
                                <w:sz w:val="20"/>
                                <w:szCs w:val="20"/>
                                <w:lang w:val="ru-RU"/>
                              </w:rPr>
                              <w:t xml:space="preserve">   </w:t>
                            </w:r>
                            <w:r w:rsidRPr="00DF2D86">
                              <w:rPr>
                                <w:rFonts w:cs="Arial"/>
                                <w:sz w:val="20"/>
                                <w:szCs w:val="20"/>
                                <w:lang w:val="pt-PT"/>
                              </w:rPr>
                              <w:t>B</w:t>
                            </w:r>
                            <w:r w:rsidRPr="00B514D5">
                              <w:rPr>
                                <w:rFonts w:cs="Arial"/>
                                <w:sz w:val="20"/>
                                <w:szCs w:val="20"/>
                                <w:lang w:val="ru-RU"/>
                              </w:rPr>
                              <w:tab/>
                            </w:r>
                            <w:r w:rsidRPr="00B514D5">
                              <w:rPr>
                                <w:rFonts w:cs="Arial"/>
                                <w:sz w:val="20"/>
                                <w:szCs w:val="20"/>
                                <w:lang w:val="ru-RU"/>
                              </w:rPr>
                              <w:tab/>
                              <w:t xml:space="preserve">            </w:t>
                            </w:r>
                            <w:r w:rsidR="00DF2D86" w:rsidRPr="00B514D5">
                              <w:rPr>
                                <w:rFonts w:cs="Arial"/>
                                <w:sz w:val="20"/>
                                <w:szCs w:val="20"/>
                                <w:lang w:val="ru-RU"/>
                              </w:rPr>
                              <w:t xml:space="preserve">             </w:t>
                            </w:r>
                            <w:r w:rsidRPr="00B514D5">
                              <w:rPr>
                                <w:rFonts w:cs="Arial"/>
                                <w:sz w:val="20"/>
                                <w:szCs w:val="20"/>
                                <w:lang w:val="ru-RU"/>
                              </w:rPr>
                              <w:t xml:space="preserve">  6,22</w:t>
                            </w:r>
                          </w:p>
                          <w:p w14:paraId="57F9D0EB" w14:textId="68B3384C" w:rsidR="00C44A91" w:rsidRPr="00B514D5" w:rsidRDefault="00C44A91" w:rsidP="00C44A91">
                            <w:pPr>
                              <w:rPr>
                                <w:rFonts w:cs="Arial"/>
                                <w:sz w:val="20"/>
                                <w:szCs w:val="20"/>
                                <w:lang w:val="ru-RU"/>
                              </w:rPr>
                            </w:pPr>
                            <w:r w:rsidRPr="00B514D5">
                              <w:rPr>
                                <w:rFonts w:cs="Arial"/>
                                <w:sz w:val="20"/>
                                <w:szCs w:val="20"/>
                                <w:lang w:val="ru-RU"/>
                              </w:rPr>
                              <w:t xml:space="preserve">   </w:t>
                            </w:r>
                            <w:r w:rsidRPr="00DF2D86">
                              <w:rPr>
                                <w:rFonts w:cs="Arial"/>
                                <w:sz w:val="20"/>
                                <w:szCs w:val="20"/>
                                <w:lang w:val="pt-PT"/>
                              </w:rPr>
                              <w:t>C</w:t>
                            </w:r>
                            <w:r w:rsidRPr="00B514D5">
                              <w:rPr>
                                <w:rFonts w:cs="Arial"/>
                                <w:sz w:val="20"/>
                                <w:szCs w:val="20"/>
                                <w:lang w:val="ru-RU"/>
                              </w:rPr>
                              <w:tab/>
                            </w:r>
                            <w:r w:rsidRPr="00B514D5">
                              <w:rPr>
                                <w:rFonts w:cs="Arial"/>
                                <w:sz w:val="20"/>
                                <w:szCs w:val="20"/>
                                <w:lang w:val="ru-RU"/>
                              </w:rPr>
                              <w:tab/>
                              <w:t xml:space="preserve">        </w:t>
                            </w:r>
                            <w:r w:rsidR="00DF2D86" w:rsidRPr="00B514D5">
                              <w:rPr>
                                <w:rFonts w:cs="Arial"/>
                                <w:sz w:val="20"/>
                                <w:szCs w:val="20"/>
                                <w:lang w:val="ru-RU"/>
                              </w:rPr>
                              <w:t xml:space="preserve">          </w:t>
                            </w:r>
                            <w:r w:rsidRPr="00B514D5">
                              <w:rPr>
                                <w:rFonts w:cs="Arial"/>
                                <w:sz w:val="20"/>
                                <w:szCs w:val="20"/>
                                <w:lang w:val="ru-RU"/>
                              </w:rPr>
                              <w:t xml:space="preserve">  </w:t>
                            </w:r>
                            <w:r w:rsidR="00DF2D86" w:rsidRPr="00B514D5">
                              <w:rPr>
                                <w:rFonts w:cs="Arial"/>
                                <w:sz w:val="20"/>
                                <w:szCs w:val="20"/>
                                <w:lang w:val="ru-RU"/>
                              </w:rPr>
                              <w:t xml:space="preserve">   </w:t>
                            </w:r>
                            <w:r w:rsidRPr="00B514D5">
                              <w:rPr>
                                <w:rFonts w:cs="Arial"/>
                                <w:sz w:val="20"/>
                                <w:szCs w:val="20"/>
                                <w:lang w:val="ru-RU"/>
                              </w:rPr>
                              <w:t xml:space="preserve">    6,62</w:t>
                            </w:r>
                          </w:p>
                          <w:p w14:paraId="25D0A9AE" w14:textId="384D19B2" w:rsidR="00C44A91" w:rsidRPr="00B514D5" w:rsidRDefault="00C44A91" w:rsidP="00C44A91">
                            <w:pPr>
                              <w:rPr>
                                <w:rFonts w:cs="Arial"/>
                                <w:sz w:val="20"/>
                                <w:szCs w:val="20"/>
                                <w:lang w:val="ru-RU"/>
                              </w:rPr>
                            </w:pPr>
                            <w:r w:rsidRPr="00B514D5">
                              <w:rPr>
                                <w:rFonts w:cs="Arial"/>
                                <w:sz w:val="20"/>
                                <w:szCs w:val="20"/>
                                <w:lang w:val="ru-RU"/>
                              </w:rPr>
                              <w:t xml:space="preserve">   </w:t>
                            </w:r>
                            <w:r w:rsidRPr="00DF2D86">
                              <w:rPr>
                                <w:rFonts w:cs="Arial"/>
                                <w:sz w:val="20"/>
                                <w:szCs w:val="20"/>
                                <w:lang w:val="pt-PT"/>
                              </w:rPr>
                              <w:t>D</w:t>
                            </w:r>
                            <w:r w:rsidRPr="00B514D5">
                              <w:rPr>
                                <w:rFonts w:cs="Arial"/>
                                <w:sz w:val="20"/>
                                <w:szCs w:val="20"/>
                                <w:lang w:val="ru-RU"/>
                              </w:rPr>
                              <w:tab/>
                            </w:r>
                            <w:r w:rsidRPr="00B514D5">
                              <w:rPr>
                                <w:rFonts w:cs="Arial"/>
                                <w:sz w:val="20"/>
                                <w:szCs w:val="20"/>
                                <w:lang w:val="ru-RU"/>
                              </w:rPr>
                              <w:tab/>
                              <w:t xml:space="preserve">        </w:t>
                            </w:r>
                            <w:r w:rsidR="00DF2D86" w:rsidRPr="00B514D5">
                              <w:rPr>
                                <w:rFonts w:cs="Arial"/>
                                <w:sz w:val="20"/>
                                <w:szCs w:val="20"/>
                                <w:lang w:val="ru-RU"/>
                              </w:rPr>
                              <w:t xml:space="preserve">          </w:t>
                            </w:r>
                            <w:r w:rsidRPr="00B514D5">
                              <w:rPr>
                                <w:rFonts w:cs="Arial"/>
                                <w:sz w:val="20"/>
                                <w:szCs w:val="20"/>
                                <w:lang w:val="ru-RU"/>
                              </w:rPr>
                              <w:t xml:space="preserve">  </w:t>
                            </w:r>
                            <w:r w:rsidR="00DF2D86" w:rsidRPr="00B514D5">
                              <w:rPr>
                                <w:rFonts w:cs="Arial"/>
                                <w:sz w:val="20"/>
                                <w:szCs w:val="20"/>
                                <w:lang w:val="ru-RU"/>
                              </w:rPr>
                              <w:t xml:space="preserve">   </w:t>
                            </w:r>
                            <w:r w:rsidRPr="00B514D5">
                              <w:rPr>
                                <w:rFonts w:cs="Arial"/>
                                <w:sz w:val="20"/>
                                <w:szCs w:val="20"/>
                                <w:lang w:val="ru-RU"/>
                              </w:rPr>
                              <w:t xml:space="preserve">    2,57</w:t>
                            </w:r>
                          </w:p>
                          <w:p w14:paraId="510A4EAD" w14:textId="50FE1310" w:rsidR="00C44A91" w:rsidRPr="00B514D5" w:rsidRDefault="00C44A91" w:rsidP="00C44A91">
                            <w:pPr>
                              <w:rPr>
                                <w:rFonts w:cs="Arial"/>
                                <w:sz w:val="20"/>
                                <w:szCs w:val="20"/>
                                <w:lang w:val="ru-RU"/>
                              </w:rPr>
                            </w:pPr>
                            <w:r w:rsidRPr="00B514D5">
                              <w:rPr>
                                <w:rFonts w:cs="Arial"/>
                                <w:sz w:val="20"/>
                                <w:szCs w:val="20"/>
                                <w:lang w:val="ru-RU"/>
                              </w:rPr>
                              <w:t xml:space="preserve">   </w:t>
                            </w:r>
                            <w:r w:rsidRPr="00DF2D86">
                              <w:rPr>
                                <w:rFonts w:cs="Arial"/>
                                <w:sz w:val="20"/>
                                <w:szCs w:val="20"/>
                                <w:lang w:val="pt-PT"/>
                              </w:rPr>
                              <w:t>E</w:t>
                            </w:r>
                            <w:r w:rsidRPr="00B514D5">
                              <w:rPr>
                                <w:rFonts w:cs="Arial"/>
                                <w:sz w:val="20"/>
                                <w:szCs w:val="20"/>
                                <w:lang w:val="ru-RU"/>
                              </w:rPr>
                              <w:tab/>
                            </w:r>
                            <w:r w:rsidRPr="00B514D5">
                              <w:rPr>
                                <w:rFonts w:cs="Arial"/>
                                <w:sz w:val="20"/>
                                <w:szCs w:val="20"/>
                                <w:lang w:val="ru-RU"/>
                              </w:rPr>
                              <w:tab/>
                              <w:t xml:space="preserve">           </w:t>
                            </w:r>
                            <w:r w:rsidR="00DF2D86" w:rsidRPr="00B514D5">
                              <w:rPr>
                                <w:rFonts w:cs="Arial"/>
                                <w:sz w:val="20"/>
                                <w:szCs w:val="20"/>
                                <w:lang w:val="ru-RU"/>
                              </w:rPr>
                              <w:t xml:space="preserve">             </w:t>
                            </w:r>
                            <w:r w:rsidRPr="00B514D5">
                              <w:rPr>
                                <w:rFonts w:cs="Arial"/>
                                <w:sz w:val="20"/>
                                <w:szCs w:val="20"/>
                                <w:lang w:val="ru-RU"/>
                              </w:rPr>
                              <w:t xml:space="preserve">   4,50</w:t>
                            </w:r>
                          </w:p>
                          <w:p w14:paraId="13793438" w14:textId="1553DEC1" w:rsidR="00C44A91" w:rsidRPr="00B514D5" w:rsidRDefault="00C44A91" w:rsidP="00C44A91">
                            <w:pPr>
                              <w:rPr>
                                <w:rFonts w:cs="Arial"/>
                                <w:sz w:val="20"/>
                                <w:szCs w:val="20"/>
                                <w:lang w:val="ru-RU"/>
                              </w:rPr>
                            </w:pPr>
                            <w:r w:rsidRPr="00B514D5">
                              <w:rPr>
                                <w:rFonts w:cs="Arial"/>
                                <w:sz w:val="20"/>
                                <w:szCs w:val="20"/>
                                <w:lang w:val="ru-RU"/>
                              </w:rPr>
                              <w:t xml:space="preserve">   </w:t>
                            </w:r>
                            <w:r w:rsidRPr="00DF2D86">
                              <w:rPr>
                                <w:rFonts w:cs="Arial"/>
                                <w:sz w:val="20"/>
                                <w:szCs w:val="20"/>
                                <w:lang w:val="pt-PT"/>
                              </w:rPr>
                              <w:t>F</w:t>
                            </w:r>
                            <w:r w:rsidRPr="00B514D5">
                              <w:rPr>
                                <w:rFonts w:cs="Arial"/>
                                <w:sz w:val="20"/>
                                <w:szCs w:val="20"/>
                                <w:lang w:val="ru-RU"/>
                              </w:rPr>
                              <w:tab/>
                            </w:r>
                            <w:r w:rsidRPr="00B514D5">
                              <w:rPr>
                                <w:rFonts w:cs="Arial"/>
                                <w:sz w:val="20"/>
                                <w:szCs w:val="20"/>
                                <w:lang w:val="ru-RU"/>
                              </w:rPr>
                              <w:tab/>
                              <w:t xml:space="preserve">           </w:t>
                            </w:r>
                            <w:r w:rsidR="00DF2D86" w:rsidRPr="00B514D5">
                              <w:rPr>
                                <w:rFonts w:cs="Arial"/>
                                <w:sz w:val="20"/>
                                <w:szCs w:val="20"/>
                                <w:lang w:val="ru-RU"/>
                              </w:rPr>
                              <w:t xml:space="preserve">             </w:t>
                            </w:r>
                            <w:r w:rsidRPr="00B514D5">
                              <w:rPr>
                                <w:rFonts w:cs="Arial"/>
                                <w:sz w:val="20"/>
                                <w:szCs w:val="20"/>
                                <w:lang w:val="ru-RU"/>
                              </w:rPr>
                              <w:t xml:space="preserve">   3,32</w:t>
                            </w:r>
                          </w:p>
                          <w:p w14:paraId="2BD4F501" w14:textId="7FE82EDC" w:rsidR="00C44A91" w:rsidRPr="00B514D5" w:rsidRDefault="00C44A91" w:rsidP="00C44A91">
                            <w:pPr>
                              <w:rPr>
                                <w:rFonts w:cs="Arial"/>
                                <w:sz w:val="20"/>
                                <w:szCs w:val="20"/>
                                <w:lang w:val="ru-RU"/>
                              </w:rPr>
                            </w:pPr>
                            <w:r w:rsidRPr="00B514D5">
                              <w:rPr>
                                <w:rFonts w:cs="Arial"/>
                                <w:sz w:val="20"/>
                                <w:szCs w:val="20"/>
                                <w:lang w:val="ru-RU"/>
                              </w:rPr>
                              <w:t xml:space="preserve"> </w:t>
                            </w:r>
                            <w:r w:rsidRPr="00C44A91">
                              <w:rPr>
                                <w:rFonts w:cs="Arial"/>
                                <w:sz w:val="20"/>
                                <w:szCs w:val="20"/>
                                <w:lang w:val="ru-RU"/>
                              </w:rPr>
                              <w:t>ГКД</w:t>
                            </w:r>
                            <w:r w:rsidRPr="00B514D5">
                              <w:rPr>
                                <w:rFonts w:cs="Arial"/>
                                <w:sz w:val="20"/>
                                <w:szCs w:val="20"/>
                                <w:lang w:val="ru-RU"/>
                              </w:rPr>
                              <w:tab/>
                            </w:r>
                            <w:r w:rsidRPr="00B514D5">
                              <w:rPr>
                                <w:rFonts w:cs="Arial"/>
                                <w:sz w:val="20"/>
                                <w:szCs w:val="20"/>
                                <w:lang w:val="ru-RU"/>
                              </w:rPr>
                              <w:tab/>
                              <w:t xml:space="preserve">           </w:t>
                            </w:r>
                            <w:r w:rsidR="00DF2D86" w:rsidRPr="00B514D5">
                              <w:rPr>
                                <w:rFonts w:cs="Arial"/>
                                <w:sz w:val="20"/>
                                <w:szCs w:val="20"/>
                                <w:lang w:val="ru-RU"/>
                              </w:rPr>
                              <w:t xml:space="preserve">         </w:t>
                            </w:r>
                            <w:r w:rsidR="00DF2D86">
                              <w:rPr>
                                <w:rFonts w:cs="Arial"/>
                                <w:sz w:val="20"/>
                                <w:szCs w:val="20"/>
                                <w:lang w:val="ru-RU"/>
                              </w:rPr>
                              <w:t xml:space="preserve"> </w:t>
                            </w:r>
                            <w:r w:rsidR="00DF2D86" w:rsidRPr="00B514D5">
                              <w:rPr>
                                <w:rFonts w:cs="Arial"/>
                                <w:sz w:val="20"/>
                                <w:szCs w:val="20"/>
                                <w:lang w:val="ru-RU"/>
                              </w:rPr>
                              <w:t xml:space="preserve">   </w:t>
                            </w:r>
                            <w:r w:rsidRPr="00B514D5">
                              <w:rPr>
                                <w:rFonts w:cs="Arial"/>
                                <w:sz w:val="20"/>
                                <w:szCs w:val="20"/>
                                <w:lang w:val="ru-RU"/>
                              </w:rPr>
                              <w:t xml:space="preserve">   2,30</w:t>
                            </w:r>
                          </w:p>
                          <w:p w14:paraId="23C7E4BB" w14:textId="2C5EA7EF" w:rsidR="00C44A91" w:rsidRPr="00B514D5" w:rsidRDefault="00C44A91" w:rsidP="00C44A91">
                            <w:pPr>
                              <w:rPr>
                                <w:rFonts w:cs="Arial"/>
                                <w:sz w:val="20"/>
                                <w:szCs w:val="20"/>
                                <w:lang w:val="ru-RU"/>
                              </w:rPr>
                            </w:pPr>
                            <w:r w:rsidRPr="00C44A91">
                              <w:rPr>
                                <w:rFonts w:cs="Arial"/>
                                <w:sz w:val="20"/>
                                <w:szCs w:val="20"/>
                                <w:lang w:val="ru-RU"/>
                              </w:rPr>
                              <w:t>Итого</w:t>
                            </w:r>
                            <w:r w:rsidRPr="00B514D5">
                              <w:rPr>
                                <w:rFonts w:cs="Arial"/>
                                <w:sz w:val="20"/>
                                <w:szCs w:val="20"/>
                                <w:lang w:val="ru-RU"/>
                              </w:rPr>
                              <w:tab/>
                            </w:r>
                            <w:r w:rsidRPr="00B514D5">
                              <w:rPr>
                                <w:rFonts w:cs="Arial"/>
                                <w:sz w:val="20"/>
                                <w:szCs w:val="20"/>
                                <w:lang w:val="ru-RU"/>
                              </w:rPr>
                              <w:tab/>
                              <w:t xml:space="preserve">          </w:t>
                            </w:r>
                            <w:r w:rsidR="00DF2D86" w:rsidRPr="00B514D5">
                              <w:rPr>
                                <w:rFonts w:cs="Arial"/>
                                <w:sz w:val="20"/>
                                <w:szCs w:val="20"/>
                                <w:lang w:val="ru-RU"/>
                              </w:rPr>
                              <w:t xml:space="preserve">        </w:t>
                            </w:r>
                            <w:r w:rsidR="00DF2D86">
                              <w:rPr>
                                <w:rFonts w:cs="Arial"/>
                                <w:sz w:val="20"/>
                                <w:szCs w:val="20"/>
                                <w:lang w:val="ru-RU"/>
                              </w:rPr>
                              <w:t xml:space="preserve">   </w:t>
                            </w:r>
                            <w:r w:rsidR="00DF2D86" w:rsidRPr="00B514D5">
                              <w:rPr>
                                <w:rFonts w:cs="Arial"/>
                                <w:sz w:val="20"/>
                                <w:szCs w:val="20"/>
                                <w:lang w:val="ru-RU"/>
                              </w:rPr>
                              <w:t xml:space="preserve">  </w:t>
                            </w:r>
                            <w:r w:rsidRPr="00B514D5">
                              <w:rPr>
                                <w:rFonts w:cs="Arial"/>
                                <w:sz w:val="20"/>
                                <w:szCs w:val="20"/>
                                <w:lang w:val="ru-RU"/>
                              </w:rPr>
                              <w:t xml:space="preserve">  28,50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du="http://schemas.microsoft.com/office/word/2023/wordml/word16du">
            <w:pict>
              <v:shapetype w14:anchorId="49D84E4F" id="_x0000_t202" coordsize="21600,21600" o:spt="202" path="m,l,21600r21600,l21600,xe">
                <v:stroke joinstyle="miter"/>
                <v:path gradientshapeok="t" o:connecttype="rect"/>
              </v:shapetype>
              <v:shape id="Text Box 3" o:spid="_x0000_s1026" type="#_x0000_t202" style="width:167.7pt;height:13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uEkOQIAAH0EAAAOAAAAZHJzL2Uyb0RvYy54bWysVE1v2zAMvQ/YfxB0XxxnSdYYcYosRYYB&#10;RVsgLXpWZCk2JouapMTOfv0o2flot9Owi0yJ1BP5+Oj5bVsrchDWVaBzmg6GlAjNoaj0Lqcvz+tP&#10;N5Q4z3TBFGiR06Nw9Hbx8cO8MZkYQQmqEJYgiHZZY3Jaem+yJHG8FDVzAzBCo1OCrZnHrd0lhWUN&#10;otcqGQ2H06QBWxgLXDiHp3edky4ivpSC+0cpnfBE5RRz83G1cd2GNVnMWbazzJQV79Ng/5BFzSqN&#10;j56h7phnZG+rP6DqiltwIP2AQ52AlBUXsQasJh2+q2ZTMiNiLUiOM2ea3P+D5Q+HjXmyxLdfocUG&#10;BkIa4zKHh6GeVto6fDFTgn6k8HimTbSecDwcpaPZJJ1QwtGXTqfp7GYccJLLdWOd/yagJsHIqcW+&#10;RLrY4d75LvQUEl5zoKpiXSkVN0ELYqUsOTDsovIxSQR/E6U0aXI6/TwZRuA3vgB9vr9VjP/o07uK&#10;QjylMedL8cHy7bbtGdlCcUSiLHQacoavK8S9Z84/MYuiQW5wEPwjLlIBJgO9RUkJ9tffzkM89hK9&#10;lDQowpy6n3tmBSXqu8Yuz9LxOKg2bsaTLyPc2GvP9tqj9/UKkKEUR87waIZ4r06mtFC/4rwsw6vo&#10;Yprj2zn1J3Plu9HAeeNiuYxBqFPD/L3eGB6gQ0cCn8/tK7Om76dHKTzASa4se9fWLjbc1LDce5BV&#10;7HkguGO15x01HlXTz2MYout9jLr8NRa/AQAA//8DAFBLAwQUAAYACAAAACEANV7tI9oAAAAFAQAA&#10;DwAAAGRycy9kb3ducmV2LnhtbEyPwU7DMBBE70j8g7VI3KjTFkoIcSpAhUtPFMR5G29ti3gdxW4a&#10;/h7DBS4rjWY087ZeT74TIw3RBVYwnxUgiNugHRsF72/PVyWImJA1doFJwRdFWDfnZzVWOpz4lcZd&#10;MiKXcKxQgU2pr6SMrSWPcRZ64uwdwuAxZTkYqQc85XLfyUVRrKRHx3nBYk9PltrP3dEr2DyaO9OW&#10;ONhNqZ0bp4/D1rwodXkxPdyDSDSlvzD84Gd0aDLTPhxZR9EpyI+k35u95fLmGsRewWI1vwXZ1PI/&#10;ffMNAAD//wMAUEsBAi0AFAAGAAgAAAAhALaDOJL+AAAA4QEAABMAAAAAAAAAAAAAAAAAAAAAAFtD&#10;b250ZW50X1R5cGVzXS54bWxQSwECLQAUAAYACAAAACEAOP0h/9YAAACUAQAACwAAAAAAAAAAAAAA&#10;AAAvAQAAX3JlbHMvLnJlbHNQSwECLQAUAAYACAAAACEA99bhJDkCAAB9BAAADgAAAAAAAAAAAAAA&#10;AAAuAgAAZHJzL2Uyb0RvYy54bWxQSwECLQAUAAYACAAAACEANV7tI9oAAAAFAQAADwAAAAAAAAAA&#10;AAAAAACTBAAAZHJzL2Rvd25yZXYueG1sUEsFBgAAAAAEAAQA8wAAAJoFAAAAAA==&#10;" fillcolor="white [3201]" strokeweight=".5pt">
                <v:textbox>
                  <w:txbxContent>
                    <w:p w14:paraId="29B34010" w14:textId="40DE21E1" w:rsidR="00C44A91" w:rsidRPr="00C44A91" w:rsidRDefault="00C44A91" w:rsidP="00DF2D86">
                      <w:pPr>
                        <w:spacing w:after="120"/>
                        <w:rPr>
                          <w:rFonts w:cs="Arial"/>
                          <w:sz w:val="20"/>
                          <w:szCs w:val="20"/>
                          <w:lang w:val="ru-RU"/>
                        </w:rPr>
                      </w:pPr>
                      <w:r w:rsidRPr="00C44A91">
                        <w:rPr>
                          <w:rFonts w:cs="Arial"/>
                          <w:sz w:val="20"/>
                          <w:szCs w:val="20"/>
                          <w:lang w:val="ru-RU"/>
                        </w:rPr>
                        <w:t xml:space="preserve">Функциональная </w:t>
                      </w:r>
                      <w:r w:rsidRPr="00C44A91">
                        <w:rPr>
                          <w:rFonts w:cs="Arial"/>
                          <w:sz w:val="20"/>
                          <w:szCs w:val="20"/>
                          <w:lang w:val="ru-RU"/>
                        </w:rPr>
                        <w:tab/>
                        <w:t>Число</w:t>
                      </w:r>
                      <w:r w:rsidRPr="00C44A91">
                        <w:rPr>
                          <w:rFonts w:cs="Arial"/>
                          <w:sz w:val="20"/>
                          <w:szCs w:val="20"/>
                          <w:lang w:val="ru-RU"/>
                        </w:rPr>
                        <w:br/>
                        <w:t xml:space="preserve">      область</w:t>
                      </w:r>
                      <w:r w:rsidRPr="00C44A91">
                        <w:rPr>
                          <w:rFonts w:cs="Arial"/>
                          <w:sz w:val="20"/>
                          <w:szCs w:val="20"/>
                          <w:lang w:val="ru-RU"/>
                        </w:rPr>
                        <w:tab/>
                        <w:t xml:space="preserve">         должностей</w:t>
                      </w:r>
                    </w:p>
                    <w:p w14:paraId="5CAD64FA" w14:textId="106D75C1" w:rsidR="00C44A91" w:rsidRPr="00B514D5" w:rsidRDefault="00C44A91" w:rsidP="00C44A91">
                      <w:pPr>
                        <w:rPr>
                          <w:rFonts w:cs="Arial"/>
                          <w:sz w:val="20"/>
                          <w:szCs w:val="20"/>
                          <w:lang w:val="ru-RU"/>
                        </w:rPr>
                      </w:pPr>
                      <w:r w:rsidRPr="00C44A91">
                        <w:rPr>
                          <w:rFonts w:cs="Arial"/>
                          <w:sz w:val="20"/>
                          <w:szCs w:val="20"/>
                          <w:lang w:val="ru-RU"/>
                        </w:rPr>
                        <w:t xml:space="preserve">   </w:t>
                      </w:r>
                      <w:r w:rsidRPr="00DF2D86">
                        <w:rPr>
                          <w:rFonts w:cs="Arial"/>
                          <w:sz w:val="20"/>
                          <w:szCs w:val="20"/>
                          <w:lang w:val="pt-PT"/>
                        </w:rPr>
                        <w:t>A</w:t>
                      </w:r>
                      <w:r w:rsidRPr="00B514D5">
                        <w:rPr>
                          <w:rFonts w:cs="Arial"/>
                          <w:sz w:val="20"/>
                          <w:szCs w:val="20"/>
                          <w:lang w:val="ru-RU"/>
                        </w:rPr>
                        <w:tab/>
                      </w:r>
                      <w:r w:rsidRPr="00B514D5">
                        <w:rPr>
                          <w:rFonts w:cs="Arial"/>
                          <w:sz w:val="20"/>
                          <w:szCs w:val="20"/>
                          <w:lang w:val="ru-RU"/>
                        </w:rPr>
                        <w:tab/>
                        <w:t xml:space="preserve">             </w:t>
                      </w:r>
                      <w:r w:rsidR="00DF2D86" w:rsidRPr="00B514D5">
                        <w:rPr>
                          <w:rFonts w:cs="Arial"/>
                          <w:sz w:val="20"/>
                          <w:szCs w:val="20"/>
                          <w:lang w:val="ru-RU"/>
                        </w:rPr>
                        <w:t xml:space="preserve">             </w:t>
                      </w:r>
                      <w:r w:rsidRPr="00B514D5">
                        <w:rPr>
                          <w:rFonts w:cs="Arial"/>
                          <w:sz w:val="20"/>
                          <w:szCs w:val="20"/>
                          <w:lang w:val="ru-RU"/>
                        </w:rPr>
                        <w:t xml:space="preserve"> 2,97</w:t>
                      </w:r>
                    </w:p>
                    <w:p w14:paraId="0307A962" w14:textId="1B3476CB" w:rsidR="00C44A91" w:rsidRPr="00B514D5" w:rsidRDefault="00C44A91" w:rsidP="00C44A91">
                      <w:pPr>
                        <w:rPr>
                          <w:rFonts w:cs="Arial"/>
                          <w:sz w:val="20"/>
                          <w:szCs w:val="20"/>
                          <w:lang w:val="ru-RU"/>
                        </w:rPr>
                      </w:pPr>
                      <w:r w:rsidRPr="00B514D5">
                        <w:rPr>
                          <w:rFonts w:cs="Arial"/>
                          <w:sz w:val="20"/>
                          <w:szCs w:val="20"/>
                          <w:lang w:val="ru-RU"/>
                        </w:rPr>
                        <w:t xml:space="preserve">   </w:t>
                      </w:r>
                      <w:r w:rsidRPr="00DF2D86">
                        <w:rPr>
                          <w:rFonts w:cs="Arial"/>
                          <w:sz w:val="20"/>
                          <w:szCs w:val="20"/>
                          <w:lang w:val="pt-PT"/>
                        </w:rPr>
                        <w:t>B</w:t>
                      </w:r>
                      <w:r w:rsidRPr="00B514D5">
                        <w:rPr>
                          <w:rFonts w:cs="Arial"/>
                          <w:sz w:val="20"/>
                          <w:szCs w:val="20"/>
                          <w:lang w:val="ru-RU"/>
                        </w:rPr>
                        <w:tab/>
                      </w:r>
                      <w:r w:rsidRPr="00B514D5">
                        <w:rPr>
                          <w:rFonts w:cs="Arial"/>
                          <w:sz w:val="20"/>
                          <w:szCs w:val="20"/>
                          <w:lang w:val="ru-RU"/>
                        </w:rPr>
                        <w:tab/>
                        <w:t xml:space="preserve">            </w:t>
                      </w:r>
                      <w:r w:rsidR="00DF2D86" w:rsidRPr="00B514D5">
                        <w:rPr>
                          <w:rFonts w:cs="Arial"/>
                          <w:sz w:val="20"/>
                          <w:szCs w:val="20"/>
                          <w:lang w:val="ru-RU"/>
                        </w:rPr>
                        <w:t xml:space="preserve">             </w:t>
                      </w:r>
                      <w:r w:rsidRPr="00B514D5">
                        <w:rPr>
                          <w:rFonts w:cs="Arial"/>
                          <w:sz w:val="20"/>
                          <w:szCs w:val="20"/>
                          <w:lang w:val="ru-RU"/>
                        </w:rPr>
                        <w:t xml:space="preserve">  6,22</w:t>
                      </w:r>
                    </w:p>
                    <w:p w14:paraId="57F9D0EB" w14:textId="68B3384C" w:rsidR="00C44A91" w:rsidRPr="00B514D5" w:rsidRDefault="00C44A91" w:rsidP="00C44A91">
                      <w:pPr>
                        <w:rPr>
                          <w:rFonts w:cs="Arial"/>
                          <w:sz w:val="20"/>
                          <w:szCs w:val="20"/>
                          <w:lang w:val="ru-RU"/>
                        </w:rPr>
                      </w:pPr>
                      <w:r w:rsidRPr="00B514D5">
                        <w:rPr>
                          <w:rFonts w:cs="Arial"/>
                          <w:sz w:val="20"/>
                          <w:szCs w:val="20"/>
                          <w:lang w:val="ru-RU"/>
                        </w:rPr>
                        <w:t xml:space="preserve">   </w:t>
                      </w:r>
                      <w:r w:rsidRPr="00DF2D86">
                        <w:rPr>
                          <w:rFonts w:cs="Arial"/>
                          <w:sz w:val="20"/>
                          <w:szCs w:val="20"/>
                          <w:lang w:val="pt-PT"/>
                        </w:rPr>
                        <w:t>C</w:t>
                      </w:r>
                      <w:r w:rsidRPr="00B514D5">
                        <w:rPr>
                          <w:rFonts w:cs="Arial"/>
                          <w:sz w:val="20"/>
                          <w:szCs w:val="20"/>
                          <w:lang w:val="ru-RU"/>
                        </w:rPr>
                        <w:tab/>
                      </w:r>
                      <w:r w:rsidRPr="00B514D5">
                        <w:rPr>
                          <w:rFonts w:cs="Arial"/>
                          <w:sz w:val="20"/>
                          <w:szCs w:val="20"/>
                          <w:lang w:val="ru-RU"/>
                        </w:rPr>
                        <w:tab/>
                        <w:t xml:space="preserve">        </w:t>
                      </w:r>
                      <w:r w:rsidR="00DF2D86" w:rsidRPr="00B514D5">
                        <w:rPr>
                          <w:rFonts w:cs="Arial"/>
                          <w:sz w:val="20"/>
                          <w:szCs w:val="20"/>
                          <w:lang w:val="ru-RU"/>
                        </w:rPr>
                        <w:t xml:space="preserve">          </w:t>
                      </w:r>
                      <w:r w:rsidRPr="00B514D5">
                        <w:rPr>
                          <w:rFonts w:cs="Arial"/>
                          <w:sz w:val="20"/>
                          <w:szCs w:val="20"/>
                          <w:lang w:val="ru-RU"/>
                        </w:rPr>
                        <w:t xml:space="preserve">  </w:t>
                      </w:r>
                      <w:r w:rsidR="00DF2D86" w:rsidRPr="00B514D5">
                        <w:rPr>
                          <w:rFonts w:cs="Arial"/>
                          <w:sz w:val="20"/>
                          <w:szCs w:val="20"/>
                          <w:lang w:val="ru-RU"/>
                        </w:rPr>
                        <w:t xml:space="preserve">   </w:t>
                      </w:r>
                      <w:r w:rsidRPr="00B514D5">
                        <w:rPr>
                          <w:rFonts w:cs="Arial"/>
                          <w:sz w:val="20"/>
                          <w:szCs w:val="20"/>
                          <w:lang w:val="ru-RU"/>
                        </w:rPr>
                        <w:t xml:space="preserve">    6,62</w:t>
                      </w:r>
                    </w:p>
                    <w:p w14:paraId="25D0A9AE" w14:textId="384D19B2" w:rsidR="00C44A91" w:rsidRPr="00B514D5" w:rsidRDefault="00C44A91" w:rsidP="00C44A91">
                      <w:pPr>
                        <w:rPr>
                          <w:rFonts w:cs="Arial"/>
                          <w:sz w:val="20"/>
                          <w:szCs w:val="20"/>
                          <w:lang w:val="ru-RU"/>
                        </w:rPr>
                      </w:pPr>
                      <w:r w:rsidRPr="00B514D5">
                        <w:rPr>
                          <w:rFonts w:cs="Arial"/>
                          <w:sz w:val="20"/>
                          <w:szCs w:val="20"/>
                          <w:lang w:val="ru-RU"/>
                        </w:rPr>
                        <w:t xml:space="preserve">   </w:t>
                      </w:r>
                      <w:r w:rsidRPr="00DF2D86">
                        <w:rPr>
                          <w:rFonts w:cs="Arial"/>
                          <w:sz w:val="20"/>
                          <w:szCs w:val="20"/>
                          <w:lang w:val="pt-PT"/>
                        </w:rPr>
                        <w:t>D</w:t>
                      </w:r>
                      <w:r w:rsidRPr="00B514D5">
                        <w:rPr>
                          <w:rFonts w:cs="Arial"/>
                          <w:sz w:val="20"/>
                          <w:szCs w:val="20"/>
                          <w:lang w:val="ru-RU"/>
                        </w:rPr>
                        <w:tab/>
                      </w:r>
                      <w:r w:rsidRPr="00B514D5">
                        <w:rPr>
                          <w:rFonts w:cs="Arial"/>
                          <w:sz w:val="20"/>
                          <w:szCs w:val="20"/>
                          <w:lang w:val="ru-RU"/>
                        </w:rPr>
                        <w:tab/>
                        <w:t xml:space="preserve">        </w:t>
                      </w:r>
                      <w:r w:rsidR="00DF2D86" w:rsidRPr="00B514D5">
                        <w:rPr>
                          <w:rFonts w:cs="Arial"/>
                          <w:sz w:val="20"/>
                          <w:szCs w:val="20"/>
                          <w:lang w:val="ru-RU"/>
                        </w:rPr>
                        <w:t xml:space="preserve">          </w:t>
                      </w:r>
                      <w:r w:rsidRPr="00B514D5">
                        <w:rPr>
                          <w:rFonts w:cs="Arial"/>
                          <w:sz w:val="20"/>
                          <w:szCs w:val="20"/>
                          <w:lang w:val="ru-RU"/>
                        </w:rPr>
                        <w:t xml:space="preserve">  </w:t>
                      </w:r>
                      <w:r w:rsidR="00DF2D86" w:rsidRPr="00B514D5">
                        <w:rPr>
                          <w:rFonts w:cs="Arial"/>
                          <w:sz w:val="20"/>
                          <w:szCs w:val="20"/>
                          <w:lang w:val="ru-RU"/>
                        </w:rPr>
                        <w:t xml:space="preserve">   </w:t>
                      </w:r>
                      <w:r w:rsidRPr="00B514D5">
                        <w:rPr>
                          <w:rFonts w:cs="Arial"/>
                          <w:sz w:val="20"/>
                          <w:szCs w:val="20"/>
                          <w:lang w:val="ru-RU"/>
                        </w:rPr>
                        <w:t xml:space="preserve">    2,57</w:t>
                      </w:r>
                    </w:p>
                    <w:p w14:paraId="510A4EAD" w14:textId="50FE1310" w:rsidR="00C44A91" w:rsidRPr="00B514D5" w:rsidRDefault="00C44A91" w:rsidP="00C44A91">
                      <w:pPr>
                        <w:rPr>
                          <w:rFonts w:cs="Arial"/>
                          <w:sz w:val="20"/>
                          <w:szCs w:val="20"/>
                          <w:lang w:val="ru-RU"/>
                        </w:rPr>
                      </w:pPr>
                      <w:r w:rsidRPr="00B514D5">
                        <w:rPr>
                          <w:rFonts w:cs="Arial"/>
                          <w:sz w:val="20"/>
                          <w:szCs w:val="20"/>
                          <w:lang w:val="ru-RU"/>
                        </w:rPr>
                        <w:t xml:space="preserve">   </w:t>
                      </w:r>
                      <w:r w:rsidRPr="00DF2D86">
                        <w:rPr>
                          <w:rFonts w:cs="Arial"/>
                          <w:sz w:val="20"/>
                          <w:szCs w:val="20"/>
                          <w:lang w:val="pt-PT"/>
                        </w:rPr>
                        <w:t>E</w:t>
                      </w:r>
                      <w:r w:rsidRPr="00B514D5">
                        <w:rPr>
                          <w:rFonts w:cs="Arial"/>
                          <w:sz w:val="20"/>
                          <w:szCs w:val="20"/>
                          <w:lang w:val="ru-RU"/>
                        </w:rPr>
                        <w:tab/>
                      </w:r>
                      <w:r w:rsidRPr="00B514D5">
                        <w:rPr>
                          <w:rFonts w:cs="Arial"/>
                          <w:sz w:val="20"/>
                          <w:szCs w:val="20"/>
                          <w:lang w:val="ru-RU"/>
                        </w:rPr>
                        <w:tab/>
                        <w:t xml:space="preserve">           </w:t>
                      </w:r>
                      <w:r w:rsidR="00DF2D86" w:rsidRPr="00B514D5">
                        <w:rPr>
                          <w:rFonts w:cs="Arial"/>
                          <w:sz w:val="20"/>
                          <w:szCs w:val="20"/>
                          <w:lang w:val="ru-RU"/>
                        </w:rPr>
                        <w:t xml:space="preserve">             </w:t>
                      </w:r>
                      <w:r w:rsidRPr="00B514D5">
                        <w:rPr>
                          <w:rFonts w:cs="Arial"/>
                          <w:sz w:val="20"/>
                          <w:szCs w:val="20"/>
                          <w:lang w:val="ru-RU"/>
                        </w:rPr>
                        <w:t xml:space="preserve">   4,50</w:t>
                      </w:r>
                    </w:p>
                    <w:p w14:paraId="13793438" w14:textId="1553DEC1" w:rsidR="00C44A91" w:rsidRPr="00B514D5" w:rsidRDefault="00C44A91" w:rsidP="00C44A91">
                      <w:pPr>
                        <w:rPr>
                          <w:rFonts w:cs="Arial"/>
                          <w:sz w:val="20"/>
                          <w:szCs w:val="20"/>
                          <w:lang w:val="ru-RU"/>
                        </w:rPr>
                      </w:pPr>
                      <w:r w:rsidRPr="00B514D5">
                        <w:rPr>
                          <w:rFonts w:cs="Arial"/>
                          <w:sz w:val="20"/>
                          <w:szCs w:val="20"/>
                          <w:lang w:val="ru-RU"/>
                        </w:rPr>
                        <w:t xml:space="preserve">   </w:t>
                      </w:r>
                      <w:r w:rsidRPr="00DF2D86">
                        <w:rPr>
                          <w:rFonts w:cs="Arial"/>
                          <w:sz w:val="20"/>
                          <w:szCs w:val="20"/>
                          <w:lang w:val="pt-PT"/>
                        </w:rPr>
                        <w:t>F</w:t>
                      </w:r>
                      <w:r w:rsidRPr="00B514D5">
                        <w:rPr>
                          <w:rFonts w:cs="Arial"/>
                          <w:sz w:val="20"/>
                          <w:szCs w:val="20"/>
                          <w:lang w:val="ru-RU"/>
                        </w:rPr>
                        <w:tab/>
                      </w:r>
                      <w:r w:rsidRPr="00B514D5">
                        <w:rPr>
                          <w:rFonts w:cs="Arial"/>
                          <w:sz w:val="20"/>
                          <w:szCs w:val="20"/>
                          <w:lang w:val="ru-RU"/>
                        </w:rPr>
                        <w:tab/>
                        <w:t xml:space="preserve">           </w:t>
                      </w:r>
                      <w:r w:rsidR="00DF2D86" w:rsidRPr="00B514D5">
                        <w:rPr>
                          <w:rFonts w:cs="Arial"/>
                          <w:sz w:val="20"/>
                          <w:szCs w:val="20"/>
                          <w:lang w:val="ru-RU"/>
                        </w:rPr>
                        <w:t xml:space="preserve">             </w:t>
                      </w:r>
                      <w:r w:rsidRPr="00B514D5">
                        <w:rPr>
                          <w:rFonts w:cs="Arial"/>
                          <w:sz w:val="20"/>
                          <w:szCs w:val="20"/>
                          <w:lang w:val="ru-RU"/>
                        </w:rPr>
                        <w:t xml:space="preserve">   3,32</w:t>
                      </w:r>
                    </w:p>
                    <w:p w14:paraId="2BD4F501" w14:textId="7FE82EDC" w:rsidR="00C44A91" w:rsidRPr="00B514D5" w:rsidRDefault="00C44A91" w:rsidP="00C44A91">
                      <w:pPr>
                        <w:rPr>
                          <w:rFonts w:cs="Arial"/>
                          <w:sz w:val="20"/>
                          <w:szCs w:val="20"/>
                          <w:lang w:val="ru-RU"/>
                        </w:rPr>
                      </w:pPr>
                      <w:r w:rsidRPr="00B514D5">
                        <w:rPr>
                          <w:rFonts w:cs="Arial"/>
                          <w:sz w:val="20"/>
                          <w:szCs w:val="20"/>
                          <w:lang w:val="ru-RU"/>
                        </w:rPr>
                        <w:t xml:space="preserve"> </w:t>
                      </w:r>
                      <w:r w:rsidRPr="00C44A91">
                        <w:rPr>
                          <w:rFonts w:cs="Arial"/>
                          <w:sz w:val="20"/>
                          <w:szCs w:val="20"/>
                          <w:lang w:val="ru-RU"/>
                        </w:rPr>
                        <w:t>ГКД</w:t>
                      </w:r>
                      <w:r w:rsidRPr="00B514D5">
                        <w:rPr>
                          <w:rFonts w:cs="Arial"/>
                          <w:sz w:val="20"/>
                          <w:szCs w:val="20"/>
                          <w:lang w:val="ru-RU"/>
                        </w:rPr>
                        <w:tab/>
                      </w:r>
                      <w:r w:rsidRPr="00B514D5">
                        <w:rPr>
                          <w:rFonts w:cs="Arial"/>
                          <w:sz w:val="20"/>
                          <w:szCs w:val="20"/>
                          <w:lang w:val="ru-RU"/>
                        </w:rPr>
                        <w:tab/>
                        <w:t xml:space="preserve">           </w:t>
                      </w:r>
                      <w:r w:rsidR="00DF2D86" w:rsidRPr="00B514D5">
                        <w:rPr>
                          <w:rFonts w:cs="Arial"/>
                          <w:sz w:val="20"/>
                          <w:szCs w:val="20"/>
                          <w:lang w:val="ru-RU"/>
                        </w:rPr>
                        <w:t xml:space="preserve">         </w:t>
                      </w:r>
                      <w:r w:rsidR="00DF2D86">
                        <w:rPr>
                          <w:rFonts w:cs="Arial"/>
                          <w:sz w:val="20"/>
                          <w:szCs w:val="20"/>
                          <w:lang w:val="ru-RU"/>
                        </w:rPr>
                        <w:t xml:space="preserve"> </w:t>
                      </w:r>
                      <w:r w:rsidR="00DF2D86" w:rsidRPr="00B514D5">
                        <w:rPr>
                          <w:rFonts w:cs="Arial"/>
                          <w:sz w:val="20"/>
                          <w:szCs w:val="20"/>
                          <w:lang w:val="ru-RU"/>
                        </w:rPr>
                        <w:t xml:space="preserve">   </w:t>
                      </w:r>
                      <w:r w:rsidRPr="00B514D5">
                        <w:rPr>
                          <w:rFonts w:cs="Arial"/>
                          <w:sz w:val="20"/>
                          <w:szCs w:val="20"/>
                          <w:lang w:val="ru-RU"/>
                        </w:rPr>
                        <w:t xml:space="preserve">   2,30</w:t>
                      </w:r>
                    </w:p>
                    <w:p w14:paraId="23C7E4BB" w14:textId="2C5EA7EF" w:rsidR="00C44A91" w:rsidRPr="00B514D5" w:rsidRDefault="00C44A91" w:rsidP="00C44A91">
                      <w:pPr>
                        <w:rPr>
                          <w:rFonts w:cs="Arial"/>
                          <w:sz w:val="20"/>
                          <w:szCs w:val="20"/>
                          <w:lang w:val="ru-RU"/>
                        </w:rPr>
                      </w:pPr>
                      <w:r w:rsidRPr="00C44A91">
                        <w:rPr>
                          <w:rFonts w:cs="Arial"/>
                          <w:sz w:val="20"/>
                          <w:szCs w:val="20"/>
                          <w:lang w:val="ru-RU"/>
                        </w:rPr>
                        <w:t>Итого</w:t>
                      </w:r>
                      <w:r w:rsidRPr="00B514D5">
                        <w:rPr>
                          <w:rFonts w:cs="Arial"/>
                          <w:sz w:val="20"/>
                          <w:szCs w:val="20"/>
                          <w:lang w:val="ru-RU"/>
                        </w:rPr>
                        <w:tab/>
                      </w:r>
                      <w:r w:rsidRPr="00B514D5">
                        <w:rPr>
                          <w:rFonts w:cs="Arial"/>
                          <w:sz w:val="20"/>
                          <w:szCs w:val="20"/>
                          <w:lang w:val="ru-RU"/>
                        </w:rPr>
                        <w:tab/>
                        <w:t xml:space="preserve">          </w:t>
                      </w:r>
                      <w:r w:rsidR="00DF2D86" w:rsidRPr="00B514D5">
                        <w:rPr>
                          <w:rFonts w:cs="Arial"/>
                          <w:sz w:val="20"/>
                          <w:szCs w:val="20"/>
                          <w:lang w:val="ru-RU"/>
                        </w:rPr>
                        <w:t xml:space="preserve">        </w:t>
                      </w:r>
                      <w:r w:rsidR="00DF2D86">
                        <w:rPr>
                          <w:rFonts w:cs="Arial"/>
                          <w:sz w:val="20"/>
                          <w:szCs w:val="20"/>
                          <w:lang w:val="ru-RU"/>
                        </w:rPr>
                        <w:t xml:space="preserve">   </w:t>
                      </w:r>
                      <w:r w:rsidR="00DF2D86" w:rsidRPr="00B514D5">
                        <w:rPr>
                          <w:rFonts w:cs="Arial"/>
                          <w:sz w:val="20"/>
                          <w:szCs w:val="20"/>
                          <w:lang w:val="ru-RU"/>
                        </w:rPr>
                        <w:t xml:space="preserve">  </w:t>
                      </w:r>
                      <w:r w:rsidRPr="00B514D5">
                        <w:rPr>
                          <w:rFonts w:cs="Arial"/>
                          <w:sz w:val="20"/>
                          <w:szCs w:val="20"/>
                          <w:lang w:val="ru-RU"/>
                        </w:rPr>
                        <w:t xml:space="preserve">  28,50</w:t>
                      </w:r>
                    </w:p>
                  </w:txbxContent>
                </v:textbox>
                <w10:anchorlock/>
              </v:shape>
            </w:pict>
          </mc:Fallback>
        </mc:AlternateContent>
      </w:r>
      <w:r w:rsidRPr="00C44A91">
        <w:rPr>
          <w:rFonts w:cs="Arial"/>
          <w:color w:val="000000"/>
          <w:szCs w:val="22"/>
          <w:lang w:val="ru-RU"/>
        </w:rPr>
        <w:t xml:space="preserve"> </w:t>
      </w:r>
      <w:r w:rsidRPr="00F943C5">
        <w:rPr>
          <w:rFonts w:cs="Arial"/>
          <w:noProof/>
          <w:szCs w:val="22"/>
          <w:lang w:eastAsia="en-GB"/>
        </w:rPr>
        <w:drawing>
          <wp:inline distT="0" distB="0" distL="0" distR="0" wp14:anchorId="7E50CF06" wp14:editId="7D230333">
            <wp:extent cx="3249976" cy="1561113"/>
            <wp:effectExtent l="0" t="0" r="13970" b="13970"/>
            <wp:docPr id="5" name="Chart 5">
              <a:extLst xmlns:a="http://schemas.openxmlformats.org/drawingml/2006/main">
                <a:ext uri="{FF2B5EF4-FFF2-40B4-BE49-F238E27FC236}">
                  <a16:creationId xmlns:a16="http://schemas.microsoft.com/office/drawing/2014/main" id="{798E7F7D-11F3-4A96-9939-5E0F22E244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11A7EDB" w14:textId="77777777" w:rsidR="00C44A91" w:rsidRPr="00F943C5" w:rsidRDefault="00C44A91" w:rsidP="00C44A91">
      <w:pPr>
        <w:jc w:val="both"/>
        <w:rPr>
          <w:rFonts w:cs="Arial"/>
          <w:color w:val="000000"/>
          <w:szCs w:val="22"/>
        </w:rPr>
      </w:pPr>
      <w:r w:rsidRPr="00C44A91">
        <w:rPr>
          <w:rFonts w:cs="Arial"/>
          <w:color w:val="000000"/>
          <w:szCs w:val="22"/>
          <w:lang w:val="ru-RU"/>
        </w:rPr>
        <w:t xml:space="preserve">Острая проблема недоукомплектованности Секретариата МОК отмечалась уже давно. В частности, на это указывалось в ходе внешней ревизии, проведенной в 2016 году. </w:t>
      </w:r>
      <w:r w:rsidRPr="00FF2577">
        <w:rPr>
          <w:rFonts w:cs="Arial"/>
          <w:color w:val="000000"/>
          <w:szCs w:val="22"/>
          <w:lang w:val="ru-RU"/>
        </w:rPr>
        <w:t>Об этом же наглядно свидетельствуют следующие примеры:</w:t>
      </w:r>
      <w:r w:rsidRPr="00FF2577">
        <w:rPr>
          <w:rFonts w:cs="Arial"/>
          <w:color w:val="000000"/>
          <w:szCs w:val="22"/>
          <w:lang w:val="ru-RU"/>
        </w:rPr>
        <w:cr/>
      </w:r>
    </w:p>
    <w:sdt>
      <w:sdtPr>
        <w:rPr>
          <w:rFonts w:cs="Arial"/>
          <w:szCs w:val="22"/>
        </w:rPr>
        <w:tag w:val="goog_rdk_4"/>
        <w:id w:val="1888144019"/>
      </w:sdtPr>
      <w:sdtEndPr/>
      <w:sdtContent>
        <w:p w14:paraId="508187E0" w14:textId="77777777" w:rsidR="00C44A91" w:rsidRPr="00C44A91" w:rsidRDefault="00C44A91" w:rsidP="00FF2577">
          <w:pPr>
            <w:numPr>
              <w:ilvl w:val="0"/>
              <w:numId w:val="7"/>
            </w:numPr>
            <w:pBdr>
              <w:top w:val="nil"/>
              <w:left w:val="nil"/>
              <w:bottom w:val="nil"/>
              <w:right w:val="nil"/>
              <w:between w:val="nil"/>
            </w:pBdr>
            <w:tabs>
              <w:tab w:val="clear" w:pos="567"/>
            </w:tabs>
            <w:snapToGrid/>
            <w:spacing w:after="120"/>
            <w:ind w:left="1134" w:hanging="567"/>
            <w:jc w:val="both"/>
            <w:rPr>
              <w:rFonts w:cs="Arial"/>
              <w:szCs w:val="22"/>
              <w:lang w:val="ru-RU"/>
            </w:rPr>
          </w:pPr>
          <w:r w:rsidRPr="00C44A91">
            <w:rPr>
              <w:rFonts w:cs="Arial"/>
              <w:szCs w:val="22"/>
              <w:lang w:val="ru-RU"/>
            </w:rPr>
            <w:t>Программу МОК по наращиванию потенциала возглавляет сотрудник категории специалистов. На эту работу ему отведено 20% эквивалента полного рабочего дня (ЭПРД), в то время как 80% своего рабочего времени он руководит важнейшей для МОК работой, связанной со сбором данных;</w:t>
          </w:r>
        </w:p>
      </w:sdtContent>
    </w:sdt>
    <w:sdt>
      <w:sdtPr>
        <w:rPr>
          <w:rFonts w:cs="Arial"/>
          <w:szCs w:val="22"/>
        </w:rPr>
        <w:tag w:val="goog_rdk_6"/>
        <w:id w:val="2103844350"/>
      </w:sdtPr>
      <w:sdtEndPr/>
      <w:sdtContent>
        <w:p w14:paraId="144680EF" w14:textId="77777777" w:rsidR="00C44A91" w:rsidRPr="00C44A91" w:rsidRDefault="00C0739D" w:rsidP="00FF2577">
          <w:pPr>
            <w:numPr>
              <w:ilvl w:val="0"/>
              <w:numId w:val="7"/>
            </w:numPr>
            <w:pBdr>
              <w:top w:val="nil"/>
              <w:left w:val="nil"/>
              <w:bottom w:val="nil"/>
              <w:right w:val="nil"/>
              <w:between w:val="nil"/>
            </w:pBdr>
            <w:tabs>
              <w:tab w:val="clear" w:pos="567"/>
            </w:tabs>
            <w:snapToGrid/>
            <w:spacing w:after="120"/>
            <w:ind w:left="1134" w:hanging="567"/>
            <w:jc w:val="both"/>
            <w:rPr>
              <w:rFonts w:cs="Arial"/>
              <w:szCs w:val="22"/>
              <w:lang w:val="ru-RU"/>
            </w:rPr>
          </w:pPr>
          <w:sdt>
            <w:sdtPr>
              <w:rPr>
                <w:rFonts w:cs="Arial"/>
                <w:szCs w:val="22"/>
              </w:rPr>
              <w:tag w:val="goog_rdk_5"/>
              <w:id w:val="-828907956"/>
            </w:sdtPr>
            <w:sdtEndPr/>
            <w:sdtContent>
              <w:r w:rsidR="00C44A91" w:rsidRPr="00C44A91">
                <w:rPr>
                  <w:rFonts w:cs="Arial"/>
                  <w:szCs w:val="22"/>
                  <w:lang w:val="ru-RU"/>
                </w:rPr>
                <w:t>Функции старшего руководителя и административного должностного лица обеспечиваются одним сотрудником категории специалистов, в помощь которому придан всего один помощник по административным вопросам, должность которого финансируется за счет средств ОП;</w:t>
              </w:r>
            </w:sdtContent>
          </w:sdt>
        </w:p>
      </w:sdtContent>
    </w:sdt>
    <w:p w14:paraId="6FCCFB28" w14:textId="77777777" w:rsidR="00C44A91" w:rsidRPr="00C44A91" w:rsidRDefault="00C44A91" w:rsidP="00FF2577">
      <w:pPr>
        <w:numPr>
          <w:ilvl w:val="0"/>
          <w:numId w:val="7"/>
        </w:numPr>
        <w:pBdr>
          <w:top w:val="nil"/>
          <w:left w:val="nil"/>
          <w:bottom w:val="nil"/>
          <w:right w:val="nil"/>
          <w:between w:val="nil"/>
        </w:pBdr>
        <w:tabs>
          <w:tab w:val="clear" w:pos="567"/>
        </w:tabs>
        <w:snapToGrid/>
        <w:spacing w:after="120"/>
        <w:ind w:left="1134" w:hanging="567"/>
        <w:jc w:val="both"/>
        <w:rPr>
          <w:rFonts w:cs="Arial"/>
          <w:szCs w:val="22"/>
          <w:lang w:val="ru-RU"/>
        </w:rPr>
      </w:pPr>
      <w:r w:rsidRPr="00C44A91">
        <w:rPr>
          <w:rFonts w:cs="Arial"/>
          <w:szCs w:val="22"/>
          <w:lang w:val="ru-RU"/>
        </w:rPr>
        <w:t>Лишь в трех из пяти секций МОК имеются должности категории общего обслуживания, финансируемые по линии ОП;</w:t>
      </w:r>
    </w:p>
    <w:p w14:paraId="25CC1F6D" w14:textId="77777777" w:rsidR="00C44A91" w:rsidRPr="00C44A91" w:rsidRDefault="00C44A91" w:rsidP="00FF2577">
      <w:pPr>
        <w:numPr>
          <w:ilvl w:val="0"/>
          <w:numId w:val="7"/>
        </w:numPr>
        <w:pBdr>
          <w:top w:val="nil"/>
          <w:left w:val="nil"/>
          <w:bottom w:val="nil"/>
          <w:right w:val="nil"/>
          <w:between w:val="nil"/>
        </w:pBdr>
        <w:tabs>
          <w:tab w:val="clear" w:pos="567"/>
        </w:tabs>
        <w:snapToGrid/>
        <w:spacing w:after="240"/>
        <w:ind w:left="1134" w:hanging="567"/>
        <w:jc w:val="both"/>
        <w:rPr>
          <w:rFonts w:cs="Arial"/>
          <w:szCs w:val="22"/>
          <w:lang w:val="ru-RU"/>
        </w:rPr>
      </w:pPr>
      <w:r w:rsidRPr="00C44A91">
        <w:rPr>
          <w:rFonts w:cs="Arial"/>
          <w:szCs w:val="22"/>
          <w:lang w:val="ru-RU"/>
        </w:rPr>
        <w:t>На функциональные области «А» и «</w:t>
      </w:r>
      <w:r w:rsidRPr="00F943C5">
        <w:rPr>
          <w:rFonts w:cs="Arial"/>
          <w:szCs w:val="22"/>
        </w:rPr>
        <w:t>D</w:t>
      </w:r>
      <w:r w:rsidRPr="00C44A91">
        <w:rPr>
          <w:rFonts w:cs="Arial"/>
          <w:szCs w:val="22"/>
          <w:lang w:val="ru-RU"/>
        </w:rPr>
        <w:t>» предусмотрено менее чем по две должности, а группа по координации проведения Десятилетия (ГКД) располагает менее чем двумя штатными единицами в эквиваленте полной занятости (ЭПЗ) для оказания содействия сотрудникам категории специалистов.</w:t>
      </w:r>
    </w:p>
    <w:p w14:paraId="22DE4FAC" w14:textId="77777777" w:rsidR="00C44A91" w:rsidRPr="00C44A91" w:rsidRDefault="00C44A91" w:rsidP="00C44A91">
      <w:pPr>
        <w:pBdr>
          <w:top w:val="nil"/>
          <w:left w:val="nil"/>
          <w:bottom w:val="nil"/>
          <w:right w:val="nil"/>
          <w:between w:val="nil"/>
        </w:pBdr>
        <w:spacing w:after="240"/>
        <w:jc w:val="both"/>
        <w:rPr>
          <w:rFonts w:cs="Arial"/>
          <w:szCs w:val="22"/>
          <w:lang w:val="ru-RU"/>
        </w:rPr>
      </w:pPr>
      <w:r w:rsidRPr="00C44A91">
        <w:rPr>
          <w:rFonts w:cs="Arial"/>
          <w:szCs w:val="22"/>
          <w:lang w:val="ru-RU"/>
        </w:rPr>
        <w:lastRenderedPageBreak/>
        <w:t xml:space="preserve">Численность персонала, расходы по которому финансируются из бюджета ОП, </w:t>
      </w:r>
      <w:proofErr w:type="gramStart"/>
      <w:r w:rsidRPr="00C44A91">
        <w:rPr>
          <w:rFonts w:cs="Arial"/>
          <w:szCs w:val="22"/>
          <w:lang w:val="ru-RU"/>
        </w:rPr>
        <w:t>т.е.</w:t>
      </w:r>
      <w:proofErr w:type="gramEnd"/>
      <w:r w:rsidRPr="00C44A91">
        <w:rPr>
          <w:rFonts w:cs="Arial"/>
          <w:szCs w:val="22"/>
          <w:lang w:val="ru-RU"/>
        </w:rPr>
        <w:t xml:space="preserve"> на относительно стабильной основе, приблизительно эквивалентна числу сотрудников, в том числе выполняющих ключевые функции, должности которых финансируются за счет ВБС. В докладе об исполнении бюджета за предыдущий финансовый период (</w:t>
      </w:r>
      <w:proofErr w:type="gramStart"/>
      <w:r w:rsidRPr="00C44A91">
        <w:rPr>
          <w:rFonts w:cs="Arial"/>
          <w:szCs w:val="22"/>
          <w:lang w:val="ru-RU"/>
        </w:rPr>
        <w:t>2020-2021</w:t>
      </w:r>
      <w:proofErr w:type="gramEnd"/>
      <w:r w:rsidRPr="00C44A91">
        <w:rPr>
          <w:rFonts w:cs="Arial"/>
          <w:szCs w:val="22"/>
          <w:lang w:val="ru-RU"/>
        </w:rPr>
        <w:t xml:space="preserve"> гг.)</w:t>
      </w:r>
      <w:r w:rsidRPr="00F943C5">
        <w:rPr>
          <w:rStyle w:val="FootnoteReference"/>
          <w:rFonts w:cs="Arial"/>
          <w:szCs w:val="22"/>
        </w:rPr>
        <w:footnoteReference w:id="8"/>
      </w:r>
      <w:r w:rsidRPr="00C44A91">
        <w:rPr>
          <w:rFonts w:cs="Arial"/>
          <w:szCs w:val="22"/>
          <w:lang w:val="ru-RU"/>
        </w:rPr>
        <w:t>, представленном Исполнительному совету МОК на его пятьдесят пятой сессии в июне 2022 года, содержалась разбивка должностей по источникам финансирования (соответственно ОП и ВБС). Согласно докладу, 26,5 должностей финансируются по линии бюджета ОП, а 28,1 должности – за счет ВБС. Таким образом, численность персонала эквивалентна 54,6 штатных единиц. Более детальная их разбивка представлена ниже:</w:t>
      </w:r>
    </w:p>
    <w:p w14:paraId="45A3405E" w14:textId="77777777" w:rsidR="00C44A91" w:rsidRPr="00F943C5" w:rsidRDefault="00C44A91" w:rsidP="00C44A91">
      <w:pPr>
        <w:pBdr>
          <w:top w:val="nil"/>
          <w:left w:val="nil"/>
          <w:bottom w:val="nil"/>
          <w:right w:val="nil"/>
          <w:between w:val="nil"/>
        </w:pBdr>
        <w:spacing w:after="240"/>
        <w:jc w:val="both"/>
        <w:rPr>
          <w:rFonts w:cs="Arial"/>
          <w:szCs w:val="22"/>
        </w:rPr>
      </w:pPr>
      <w:r w:rsidRPr="00F943C5">
        <w:rPr>
          <w:rFonts w:cs="Arial"/>
          <w:noProof/>
          <w:szCs w:val="22"/>
          <w:lang w:eastAsia="en-GB"/>
        </w:rPr>
        <w:drawing>
          <wp:inline distT="0" distB="0" distL="0" distR="0" wp14:anchorId="433EBCA1" wp14:editId="58D74521">
            <wp:extent cx="5431809" cy="3309582"/>
            <wp:effectExtent l="0" t="0" r="16510" b="5715"/>
            <wp:docPr id="2" name="Chart 2">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2E9298C" w14:textId="77777777" w:rsidR="00C44A91" w:rsidRPr="00C44A91" w:rsidRDefault="00C44A91" w:rsidP="00C44A91">
      <w:pPr>
        <w:pBdr>
          <w:top w:val="nil"/>
          <w:left w:val="nil"/>
          <w:bottom w:val="nil"/>
          <w:right w:val="nil"/>
          <w:between w:val="nil"/>
        </w:pBdr>
        <w:spacing w:after="240"/>
        <w:jc w:val="both"/>
        <w:rPr>
          <w:rFonts w:cs="Arial"/>
          <w:color w:val="000000"/>
          <w:szCs w:val="22"/>
          <w:lang w:val="ru-RU"/>
        </w:rPr>
      </w:pPr>
      <w:r w:rsidRPr="00C44A91">
        <w:rPr>
          <w:rFonts w:cs="Arial"/>
          <w:szCs w:val="22"/>
          <w:lang w:val="ru-RU"/>
        </w:rPr>
        <w:t>В число важных задач МОК, выполнение которых обеспечивается благодаря должностям, финансируемым преимущественно за счет ВБС, входят следующие направления работы: создание потенциала, рациональное хозяйствование в прибрежной зоне, морское пространственное планирование, управление крупными морскими экосистемами, картографирование рельефа морского дна, повышение грамотности в связанных с океаном вопросах, проект «Глобальная академия «Океан-инструктор», деятельность секретариата Системы предупреждения о цунами и смягчения их последствий в Индийском океане.</w:t>
      </w:r>
      <w:r w:rsidRPr="00C44A91">
        <w:rPr>
          <w:rFonts w:cs="Arial"/>
          <w:color w:val="000000"/>
          <w:szCs w:val="22"/>
          <w:lang w:val="ru-RU"/>
        </w:rPr>
        <w:t xml:space="preserve"> </w:t>
      </w:r>
      <w:r w:rsidRPr="00C44A91">
        <w:rPr>
          <w:rFonts w:cs="Arial"/>
          <w:szCs w:val="22"/>
          <w:lang w:val="ru-RU"/>
        </w:rPr>
        <w:t>Группа по координации проведения Десятилетия, в состав которой входят десять сотрудников, финансируется главным образом за счет внебюджетных ресурсов.</w:t>
      </w:r>
    </w:p>
    <w:p w14:paraId="65EB99B4" w14:textId="77777777" w:rsidR="00C44A91" w:rsidRPr="00C44A91" w:rsidRDefault="00C44A91" w:rsidP="00C44A91">
      <w:pPr>
        <w:spacing w:after="240"/>
        <w:jc w:val="both"/>
        <w:rPr>
          <w:rFonts w:cs="Arial"/>
          <w:szCs w:val="22"/>
          <w:lang w:val="ru-RU"/>
        </w:rPr>
      </w:pPr>
      <w:r w:rsidRPr="00C44A91">
        <w:rPr>
          <w:rFonts w:cs="Arial"/>
          <w:szCs w:val="22"/>
          <w:lang w:val="ru-RU"/>
        </w:rPr>
        <w:t>При этом вследствие неустойчивого и зачастую краткосрочного характера внебюджетного финансирования, ограниченного периодом реализации проектов, временные должности сотрудников, выполняющих значимые для МОК функции, представляют собой нестабильный вариант занятости и не подкреплены какими-либо гарантиями. Вкупе с отсутствием перспектив карьерного роста это является причиной постоянного оттока из МОК талантливых и компетентных сотрудников, получающих предложения более стабильной работы и/или более высокие должности в других организациях.</w:t>
      </w:r>
    </w:p>
    <w:p w14:paraId="1A7470ED" w14:textId="77777777" w:rsidR="00C44A91" w:rsidRPr="00FF2577" w:rsidRDefault="00C44A91" w:rsidP="00C44A91">
      <w:pPr>
        <w:spacing w:after="240"/>
        <w:jc w:val="both"/>
        <w:rPr>
          <w:rFonts w:cs="Arial"/>
          <w:szCs w:val="22"/>
          <w:lang w:val="ru-RU"/>
        </w:rPr>
      </w:pPr>
      <w:r w:rsidRPr="00C44A91">
        <w:rPr>
          <w:rFonts w:cs="Arial"/>
          <w:szCs w:val="22"/>
          <w:lang w:val="ru-RU"/>
        </w:rPr>
        <w:t xml:space="preserve">Все это происходит на фоне сокращающихся ресурсных возможностей МОК при одновременном повышении спроса на ее услуги и экспертные знания в области ответственной и рациональной эксплуатации морских ресурсов в целом. </w:t>
      </w:r>
      <w:r w:rsidRPr="00FF2577">
        <w:rPr>
          <w:rFonts w:cs="Arial"/>
          <w:szCs w:val="22"/>
          <w:lang w:val="ru-RU"/>
        </w:rPr>
        <w:t>Более подробно речь об этом пойдет ниже.</w:t>
      </w:r>
    </w:p>
    <w:p w14:paraId="001CE21C" w14:textId="77777777" w:rsidR="00C44A91" w:rsidRPr="00FF2577" w:rsidRDefault="00C44A91" w:rsidP="00FF2577">
      <w:pPr>
        <w:pStyle w:val="Heading1"/>
        <w:numPr>
          <w:ilvl w:val="0"/>
          <w:numId w:val="19"/>
        </w:numPr>
        <w:spacing w:before="0"/>
        <w:ind w:left="574" w:hanging="584"/>
        <w:jc w:val="left"/>
        <w:rPr>
          <w:rFonts w:cs="Arial"/>
          <w:szCs w:val="22"/>
          <w:lang w:val="ru-RU"/>
        </w:rPr>
      </w:pPr>
      <w:bookmarkStart w:id="10" w:name="_Toc120748661"/>
      <w:r w:rsidRPr="00FF2577">
        <w:rPr>
          <w:rFonts w:cs="Arial"/>
          <w:szCs w:val="22"/>
          <w:lang w:val="ru-RU"/>
        </w:rPr>
        <w:lastRenderedPageBreak/>
        <w:t>Общее видение программной деятельности МОК</w:t>
      </w:r>
      <w:bookmarkEnd w:id="10"/>
    </w:p>
    <w:p w14:paraId="6F1AED83" w14:textId="77777777" w:rsidR="00C44A91" w:rsidRPr="00C44A91" w:rsidRDefault="00C44A91" w:rsidP="00C44A91">
      <w:pPr>
        <w:spacing w:after="240"/>
        <w:jc w:val="both"/>
        <w:rPr>
          <w:rFonts w:cs="Arial"/>
          <w:color w:val="000000"/>
          <w:szCs w:val="22"/>
          <w:lang w:val="ru-RU"/>
        </w:rPr>
      </w:pPr>
      <w:r w:rsidRPr="00C44A91">
        <w:rPr>
          <w:rFonts w:cs="Arial"/>
          <w:color w:val="000000"/>
          <w:szCs w:val="22"/>
          <w:lang w:val="ru-RU"/>
        </w:rPr>
        <w:t xml:space="preserve">МОК-ЮНЕСКО, являющаяся единственной в системе ООН структурой, специализирующейся на проблематике морских научных исследований, оказалась сегодня на переднем крае усилий, направленных на формирование новой модели взаимоотношений человека с океаном. Проведение Десятилетия науки об океане дало дополнительный импульс этим усилиям и позволило расширить масштабы проводимой в этой области работы. </w:t>
      </w:r>
      <w:r w:rsidRPr="00C44A91">
        <w:rPr>
          <w:rFonts w:cs="Arial"/>
          <w:szCs w:val="22"/>
          <w:lang w:val="ru-RU"/>
        </w:rPr>
        <w:t>Сформулированное в рамках подготовки Десятилетия стратегическое видение «океана, который нам нужен», послужило для человечества объединяющим началом, а десять приоритетных задач Десятилетия помогли осознать, что для реализации этого видения нам «необходимы соответствующие научные знания».</w:t>
      </w:r>
      <w:r w:rsidRPr="00C44A91">
        <w:rPr>
          <w:rFonts w:cs="Arial"/>
          <w:color w:val="000000"/>
          <w:szCs w:val="22"/>
          <w:lang w:val="ru-RU"/>
        </w:rPr>
        <w:t xml:space="preserve"> МОК была уполномочена координировать связанную с Десятилетием деятельность, что, в свою очередь, предполагает проведение коренных преобразований в самой МОК, которые обеспечили бы ее способность противостоять новым вызовам и справляться с более широким кругом возложенных на нее задач. Эти задачи кратко представлены ниже.</w:t>
      </w:r>
    </w:p>
    <w:p w14:paraId="7716B446" w14:textId="77777777" w:rsidR="00C44A91" w:rsidRPr="00C44A91" w:rsidRDefault="00C44A91" w:rsidP="00C44A91">
      <w:pPr>
        <w:pStyle w:val="Heading2"/>
        <w:spacing w:before="0"/>
        <w:rPr>
          <w:rFonts w:cs="Arial"/>
          <w:szCs w:val="22"/>
          <w:lang w:val="ru-RU"/>
        </w:rPr>
      </w:pPr>
      <w:bookmarkStart w:id="11" w:name="_Toc120748662"/>
      <w:r w:rsidRPr="00C44A91">
        <w:rPr>
          <w:rFonts w:cs="Arial"/>
          <w:szCs w:val="22"/>
          <w:lang w:val="ru-RU"/>
        </w:rPr>
        <w:t>Морские научные исследования (функциональная область «А»)</w:t>
      </w:r>
      <w:bookmarkEnd w:id="11"/>
    </w:p>
    <w:p w14:paraId="3D0EC90E" w14:textId="07F52C30" w:rsidR="00C44A91" w:rsidRPr="00C44A91" w:rsidRDefault="00C44A91" w:rsidP="00C44A91">
      <w:pPr>
        <w:spacing w:after="240"/>
        <w:jc w:val="both"/>
        <w:rPr>
          <w:rFonts w:cs="Arial"/>
          <w:color w:val="000000"/>
          <w:szCs w:val="22"/>
          <w:lang w:val="ru-RU"/>
        </w:rPr>
      </w:pPr>
      <w:r w:rsidRPr="00C44A91">
        <w:rPr>
          <w:rFonts w:cs="Arial"/>
          <w:szCs w:val="22"/>
          <w:lang w:val="ru-RU"/>
        </w:rPr>
        <w:t>В настоящее время в качестве учреждения, официально уполномоченного оказывать информационно-методическую поддержку в деле достижения показателя ЦУР 14.а.1, МОК занимается определением реального потенциала в области морских научных исследований в государствах-членах.</w:t>
      </w:r>
      <w:r w:rsidRPr="00C44A91">
        <w:rPr>
          <w:rFonts w:cs="Arial"/>
          <w:color w:val="000000"/>
          <w:szCs w:val="22"/>
          <w:lang w:val="ru-RU"/>
        </w:rPr>
        <w:t xml:space="preserve"> </w:t>
      </w:r>
      <w:r w:rsidRPr="00C44A91">
        <w:rPr>
          <w:rFonts w:cs="Arial"/>
          <w:szCs w:val="22"/>
          <w:lang w:val="ru-RU"/>
        </w:rPr>
        <w:t xml:space="preserve">Посредством публикации получившего широкую известность </w:t>
      </w:r>
      <w:r w:rsidRPr="00C44A91">
        <w:rPr>
          <w:rFonts w:cs="Arial"/>
          <w:i/>
          <w:szCs w:val="22"/>
          <w:lang w:val="ru-RU"/>
        </w:rPr>
        <w:t>Глобального доклада о состоянии океанографии</w:t>
      </w:r>
      <w:r w:rsidRPr="00C44A91">
        <w:rPr>
          <w:rFonts w:cs="Arial"/>
          <w:szCs w:val="22"/>
          <w:lang w:val="ru-RU"/>
        </w:rPr>
        <w:t xml:space="preserve"> МОК предоставляет Организации Объединенных Наций информацию о финансировании морской научно-исследовательской деятельности, о гендерной сбалансированности кадров в сфере океанографии, о механизмах управления, применяемых в этой области, о задействовании знаний, накопленных местным и коренным населением и т.п. Кроме того, секретариат МОК координирует, направляет и поддерживает деятельность многочисленных сетевых структур и объединений исследователей и специалистов-практиков, занимающихся решением неотложных, потенциальных или недостаточно изученных проблем в области океанографии.</w:t>
      </w:r>
      <w:r w:rsidRPr="00C44A91">
        <w:rPr>
          <w:rFonts w:cs="Arial"/>
          <w:color w:val="000000"/>
          <w:szCs w:val="22"/>
          <w:lang w:val="ru-RU"/>
        </w:rPr>
        <w:t xml:space="preserve"> К числу таковых относятся, например, множественные факторы стрессогенного воздействия на океан, </w:t>
      </w:r>
      <w:proofErr w:type="spellStart"/>
      <w:r w:rsidRPr="00C44A91">
        <w:rPr>
          <w:rFonts w:cs="Arial"/>
          <w:color w:val="000000"/>
          <w:szCs w:val="22"/>
          <w:lang w:val="ru-RU"/>
        </w:rPr>
        <w:t>деоксигенация</w:t>
      </w:r>
      <w:proofErr w:type="spellEnd"/>
      <w:r w:rsidRPr="00C44A91">
        <w:rPr>
          <w:rFonts w:cs="Arial"/>
          <w:color w:val="000000"/>
          <w:szCs w:val="22"/>
          <w:lang w:val="ru-RU"/>
        </w:rPr>
        <w:t xml:space="preserve"> и закисление морской среды, получение долговременных рядов данных, борьба с вредоносным цветением водорослей, функционирование океанов в качестве важного стока «голубого углерода», комплексное исследование проблематики океанического углерода и т.д. Научные исследования по тематике океанического углерода, в свою очередь, являются важным вкладом в осуществление Рамочной конвенции Организации Объединенных Наций об изменении климата и подписанного в рамках РКИКООН Парижского соглашения. </w:t>
      </w:r>
      <w:r w:rsidRPr="00C44A91">
        <w:rPr>
          <w:rFonts w:cs="Arial"/>
          <w:szCs w:val="22"/>
          <w:lang w:val="ru-RU"/>
        </w:rPr>
        <w:t>Кроме того, МОК является инициатором деятельности многосторонней Объединенной группы экспертов по научным аспектам защиты морской среды (ГЕСАМП), работа которой позволила продвинуться в таких вопросах, как: (</w:t>
      </w:r>
      <w:r w:rsidRPr="00F943C5">
        <w:rPr>
          <w:rFonts w:cs="Arial"/>
          <w:szCs w:val="22"/>
        </w:rPr>
        <w:t>i</w:t>
      </w:r>
      <w:r w:rsidRPr="00C44A91">
        <w:rPr>
          <w:rFonts w:cs="Arial"/>
          <w:szCs w:val="22"/>
          <w:lang w:val="ru-RU"/>
        </w:rPr>
        <w:t>)</w:t>
      </w:r>
      <w:r w:rsidRPr="00F943C5">
        <w:rPr>
          <w:rFonts w:cs="Arial"/>
          <w:szCs w:val="22"/>
        </w:rPr>
        <w:t> </w:t>
      </w:r>
      <w:r w:rsidRPr="00C44A91">
        <w:rPr>
          <w:rFonts w:cs="Arial"/>
          <w:szCs w:val="22"/>
          <w:lang w:val="ru-RU"/>
        </w:rPr>
        <w:t>обнаружение участков пластикового загрязнения и других видов загрязнителей в Мировом океане и борьба с ними; (</w:t>
      </w:r>
      <w:r w:rsidRPr="00F943C5">
        <w:rPr>
          <w:rFonts w:cs="Arial"/>
          <w:szCs w:val="22"/>
        </w:rPr>
        <w:t>ii</w:t>
      </w:r>
      <w:r w:rsidRPr="00C44A91">
        <w:rPr>
          <w:rFonts w:cs="Arial"/>
          <w:szCs w:val="22"/>
          <w:lang w:val="ru-RU"/>
        </w:rPr>
        <w:t>) секвестрация океанического углерода в контексте изменение климата. МОК является также одним из соучредителей Всемирной программы исследований климата</w:t>
      </w:r>
      <w:r w:rsidR="00443722">
        <w:rPr>
          <w:rFonts w:cs="Arial"/>
          <w:szCs w:val="22"/>
          <w:lang w:val="ru-RU"/>
        </w:rPr>
        <w:t> </w:t>
      </w:r>
      <w:r w:rsidRPr="00C44A91">
        <w:rPr>
          <w:rFonts w:cs="Arial"/>
          <w:szCs w:val="22"/>
          <w:lang w:val="ru-RU"/>
        </w:rPr>
        <w:t>(ВПИК), основной на сегодняшний день в мире стратегически значимой платформы по разработке и координации осуществления глобальных и национальных научно-исследовательских программ, касающихся проблематики климата и климатических изменений, а также важного источника климатических прогнозов планетного масштаба, широко известных как климатические прогнозы МГЭИК.</w:t>
      </w:r>
    </w:p>
    <w:p w14:paraId="7B440004" w14:textId="77777777" w:rsidR="00C44A91" w:rsidRPr="00C44A91" w:rsidRDefault="00C44A91" w:rsidP="00C44A91">
      <w:pPr>
        <w:spacing w:after="240"/>
        <w:jc w:val="both"/>
        <w:rPr>
          <w:rFonts w:cs="Arial"/>
          <w:color w:val="000000"/>
          <w:szCs w:val="22"/>
          <w:lang w:val="ru-RU"/>
        </w:rPr>
      </w:pPr>
      <w:r w:rsidRPr="00C44A91">
        <w:rPr>
          <w:rFonts w:cs="Arial"/>
          <w:szCs w:val="22"/>
          <w:lang w:val="ru-RU"/>
        </w:rPr>
        <w:t xml:space="preserve">В условиях постоянно возникающих в связи с океаном новых проблем и в контексте приоритетной для МОК задачи содействия реализации планов и инициатив, приуроченных к Десятилетию науки об океане, в рамках собственных программ, касающихся закисления и </w:t>
      </w:r>
      <w:proofErr w:type="spellStart"/>
      <w:r w:rsidRPr="00C44A91">
        <w:rPr>
          <w:rFonts w:cs="Arial"/>
          <w:szCs w:val="22"/>
          <w:lang w:val="ru-RU"/>
        </w:rPr>
        <w:t>деоксигенации</w:t>
      </w:r>
      <w:proofErr w:type="spellEnd"/>
      <w:r w:rsidRPr="00C44A91">
        <w:rPr>
          <w:rFonts w:cs="Arial"/>
          <w:szCs w:val="22"/>
          <w:lang w:val="ru-RU"/>
        </w:rPr>
        <w:t xml:space="preserve"> океана, «голубого углерода», множественных факторов стрессогенного воздействия и других тематических направлений работы, способность МОК обеспечить решение этих важнейших задач становится все менее реальной вследствие ограниченности ее ресурсов.</w:t>
      </w:r>
      <w:r w:rsidRPr="00C44A91">
        <w:rPr>
          <w:rFonts w:cs="Arial"/>
          <w:color w:val="000000"/>
          <w:szCs w:val="22"/>
          <w:lang w:val="ru-RU"/>
        </w:rPr>
        <w:t xml:space="preserve"> </w:t>
      </w:r>
      <w:r w:rsidRPr="00C44A91">
        <w:rPr>
          <w:rFonts w:cs="Arial"/>
          <w:szCs w:val="22"/>
          <w:lang w:val="ru-RU"/>
        </w:rPr>
        <w:t xml:space="preserve">При этом последовательное укрепление и осуществление важнейших программ, касающихся морских научных исследований, наращивания научного потенциала и преобразования научных </w:t>
      </w:r>
      <w:r w:rsidRPr="00C44A91">
        <w:rPr>
          <w:rFonts w:cs="Arial"/>
          <w:szCs w:val="22"/>
          <w:lang w:val="ru-RU"/>
        </w:rPr>
        <w:lastRenderedPageBreak/>
        <w:t>знаний в применимые на практике инструменты является одним из важнейших условий успешного проведения Десятилетия.</w:t>
      </w:r>
    </w:p>
    <w:p w14:paraId="7AC182CD" w14:textId="77777777" w:rsidR="00C44A91" w:rsidRPr="00C44A91" w:rsidRDefault="00C44A91" w:rsidP="00443722">
      <w:pPr>
        <w:pStyle w:val="Heading2"/>
        <w:tabs>
          <w:tab w:val="clear" w:pos="567"/>
        </w:tabs>
        <w:spacing w:before="0"/>
        <w:ind w:left="0" w:firstLine="0"/>
        <w:rPr>
          <w:rFonts w:cs="Arial"/>
          <w:szCs w:val="22"/>
          <w:lang w:val="ru-RU"/>
        </w:rPr>
      </w:pPr>
      <w:bookmarkStart w:id="12" w:name="_Toc120748663"/>
      <w:r w:rsidRPr="00C44A91">
        <w:rPr>
          <w:rFonts w:cs="Arial"/>
          <w:szCs w:val="22"/>
          <w:lang w:val="ru-RU"/>
        </w:rPr>
        <w:t>Управление системами/данными океанографических наблюдений (функциональная область «В»)</w:t>
      </w:r>
      <w:bookmarkEnd w:id="12"/>
    </w:p>
    <w:p w14:paraId="6CC3DB4C" w14:textId="77777777" w:rsidR="00C44A91" w:rsidRPr="00C44A91" w:rsidRDefault="00C44A91" w:rsidP="00C44A91">
      <w:pPr>
        <w:spacing w:after="240"/>
        <w:jc w:val="both"/>
        <w:rPr>
          <w:rFonts w:cs="Arial"/>
          <w:color w:val="000000"/>
          <w:szCs w:val="22"/>
          <w:lang w:val="ru-RU"/>
        </w:rPr>
      </w:pPr>
      <w:r w:rsidRPr="00C44A91">
        <w:rPr>
          <w:rFonts w:cs="Arial"/>
          <w:color w:val="000000"/>
          <w:szCs w:val="22"/>
          <w:lang w:val="ru-RU"/>
        </w:rPr>
        <w:t>«Невозможно управлять тем, что нельзя измерить». Осуществление наблюдений за океаном и сбор океанографических данных составляют основу деятельности МОК. Данный аспект работы Комиссии нуждается в серьезной модернизации, которая позволила бы МОК справиться с растущим спросом современного глобального общества на информацию о текущем и будущем состоянии Мирового океана.</w:t>
      </w:r>
    </w:p>
    <w:p w14:paraId="30C0D0F2" w14:textId="5DB9FA03" w:rsidR="00C44A91" w:rsidRPr="00C44A91" w:rsidRDefault="00C44A91" w:rsidP="00C44A91">
      <w:pPr>
        <w:spacing w:after="240"/>
        <w:jc w:val="both"/>
        <w:rPr>
          <w:rFonts w:cs="Arial"/>
          <w:color w:val="000000"/>
          <w:szCs w:val="22"/>
          <w:lang w:val="ru-RU"/>
        </w:rPr>
      </w:pPr>
      <w:r w:rsidRPr="00C44A91">
        <w:rPr>
          <w:rFonts w:cs="Arial"/>
          <w:color w:val="000000"/>
          <w:szCs w:val="22"/>
          <w:lang w:val="ru-RU"/>
        </w:rPr>
        <w:t>Определяющую роль в поддержании, укреплении и комплексном использовании глобальных систем сбора и распространения данных океанографических наблюдений играют две важные программы МОК: совместно финансируемая Глобальная система наблюдений за океаном</w:t>
      </w:r>
      <w:r w:rsidR="00443722">
        <w:rPr>
          <w:rFonts w:cs="Arial"/>
          <w:color w:val="000000"/>
          <w:szCs w:val="22"/>
          <w:lang w:val="ru-RU"/>
        </w:rPr>
        <w:t> </w:t>
      </w:r>
      <w:r w:rsidRPr="00C44A91">
        <w:rPr>
          <w:rFonts w:cs="Arial"/>
          <w:color w:val="000000"/>
          <w:szCs w:val="22"/>
          <w:lang w:val="ru-RU"/>
        </w:rPr>
        <w:t>(ГСНО), основное внимание в рамках которой уделяется координации работы глобальных сетевых систем наблюдения за океаном в режиме реального времени, обеспечивающих возможность прогнозирования и моделирования состояния морской среды; и Программа международного обмена океанографическими данными (МООД), координирующая работу глобальной сети из примерно ста центров океанографических данных и ассоциированных структур МООД, которые обеспечивают управление научно подтвержденными данными, а также морских библиотек.</w:t>
      </w:r>
    </w:p>
    <w:p w14:paraId="701CA1C3" w14:textId="77777777" w:rsidR="00C44A91" w:rsidRPr="00C44A91" w:rsidRDefault="00C44A91" w:rsidP="00C44A91">
      <w:pPr>
        <w:spacing w:after="240"/>
        <w:jc w:val="both"/>
        <w:rPr>
          <w:rFonts w:cs="Arial"/>
          <w:color w:val="000000"/>
          <w:szCs w:val="22"/>
          <w:lang w:val="ru-RU"/>
        </w:rPr>
      </w:pPr>
      <w:r w:rsidRPr="00C44A91">
        <w:rPr>
          <w:rFonts w:cs="Arial"/>
          <w:color w:val="000000"/>
          <w:szCs w:val="22"/>
          <w:lang w:val="ru-RU"/>
        </w:rPr>
        <w:t xml:space="preserve">Принятие Повестки дня в области устойчивого развития способствовало беспрецедентному расширению взаимодействия между государствами-членами в рамках ГСНО и МООД на уровне производителей статистических данных, научных сообществ и специалистов-практиков. Эта деятельность является в высшей степени актуальной для достижения целей Десятилетия. </w:t>
      </w:r>
      <w:r w:rsidRPr="00C44A91">
        <w:rPr>
          <w:rFonts w:cs="Arial"/>
          <w:szCs w:val="22"/>
          <w:lang w:val="ru-RU"/>
        </w:rPr>
        <w:t>В рамках ГСНО и МООД создаются бюро по координации проведения Десятилетия, что позволяет увязать все аспекты, касающиеся океанографических наблюдений и данных, в единую цепочку приращения знаний в области морских наук в рамках реализации приоритетных задач Десятилетия.</w:t>
      </w:r>
      <w:r w:rsidRPr="00C44A91">
        <w:rPr>
          <w:rFonts w:cs="Arial"/>
          <w:color w:val="000000"/>
          <w:szCs w:val="22"/>
          <w:lang w:val="ru-RU"/>
        </w:rPr>
        <w:t xml:space="preserve"> Основные требования касаются расширения знаний об океане при помощи систем океанографических наблюдений и сбора данных: (</w:t>
      </w:r>
      <w:r w:rsidRPr="00F943C5">
        <w:rPr>
          <w:rFonts w:cs="Arial"/>
          <w:color w:val="000000"/>
          <w:szCs w:val="22"/>
        </w:rPr>
        <w:t>i</w:t>
      </w:r>
      <w:r w:rsidRPr="00C44A91">
        <w:rPr>
          <w:rFonts w:cs="Arial"/>
          <w:color w:val="000000"/>
          <w:szCs w:val="22"/>
          <w:lang w:val="ru-RU"/>
        </w:rPr>
        <w:t>) в тематическом отношении это связано с отслеживанием физических, биогеохимических, биологических и экологических переменных показателей состояния морской среды; (</w:t>
      </w:r>
      <w:r w:rsidRPr="00F943C5">
        <w:rPr>
          <w:rFonts w:cs="Arial"/>
          <w:color w:val="000000"/>
          <w:szCs w:val="22"/>
        </w:rPr>
        <w:t>ii</w:t>
      </w:r>
      <w:r w:rsidRPr="00C44A91">
        <w:rPr>
          <w:rFonts w:cs="Arial"/>
          <w:color w:val="000000"/>
          <w:szCs w:val="22"/>
          <w:lang w:val="ru-RU"/>
        </w:rPr>
        <w:t xml:space="preserve">) в географическом смысле речь идет о расширении количественного охвата стран и регионов (включая полярные районы и глубоководные участки Мирового океана) системами устойчивых наблюдений. Вместе с тем достижение указанных целей оказалось сопряжено с серьезными трудностями в связи с тем, что устойчивость основных сетевых каналов сбора и распространения океанографических данных и информации оказалась под воздействием ряда стресс-факторов, в частности, вследствие урона, который понесла океанографическая инфраструктура в акватории открытого океана, а также базы данных в период пандемии </w:t>
      </w:r>
      <w:r w:rsidRPr="00F943C5">
        <w:rPr>
          <w:rFonts w:cs="Arial"/>
          <w:color w:val="000000"/>
          <w:szCs w:val="22"/>
        </w:rPr>
        <w:t>COVID</w:t>
      </w:r>
      <w:r w:rsidRPr="00C44A91">
        <w:rPr>
          <w:rFonts w:cs="Arial"/>
          <w:color w:val="000000"/>
          <w:szCs w:val="22"/>
          <w:lang w:val="ru-RU"/>
        </w:rPr>
        <w:t>-19.</w:t>
      </w:r>
    </w:p>
    <w:p w14:paraId="1576AB7B" w14:textId="77777777" w:rsidR="00C44A91" w:rsidRPr="00C44A91" w:rsidRDefault="00C44A91" w:rsidP="00C44A91">
      <w:pPr>
        <w:spacing w:after="240"/>
        <w:jc w:val="both"/>
        <w:rPr>
          <w:rFonts w:cs="Arial"/>
          <w:color w:val="000000"/>
          <w:szCs w:val="22"/>
          <w:lang w:val="ru-RU"/>
        </w:rPr>
      </w:pPr>
      <w:r w:rsidRPr="00C44A91">
        <w:rPr>
          <w:rFonts w:cs="Arial"/>
          <w:color w:val="000000"/>
          <w:szCs w:val="22"/>
          <w:lang w:val="ru-RU"/>
        </w:rPr>
        <w:t>Перспективы внедрения устойчивых моделей управления ресурсами Мирового океана существенным образом зависят от успехов в деле создания цифровой модели Мирового океана как важнейшей инфраструктурной задачи Десятилетия, посвященного науке об океане. МОК приступила к реализации фундаментально значимой новаторской инициативы в этой области, а именно к созданию Системы океанографических данных и информации (ОДИС). Цель ОДИС</w:t>
      </w:r>
      <w:r>
        <w:rPr>
          <w:rFonts w:cs="Arial"/>
          <w:color w:val="000000"/>
          <w:szCs w:val="22"/>
        </w:rPr>
        <w:t> </w:t>
      </w:r>
      <w:r w:rsidRPr="00C44A91">
        <w:rPr>
          <w:rFonts w:cs="Arial"/>
          <w:color w:val="000000"/>
          <w:szCs w:val="22"/>
          <w:lang w:val="ru-RU"/>
        </w:rPr>
        <w:t xml:space="preserve">– обеспечить функциональную совместимость существующих и новейших систем океанографических данных и информации на принципах справедливого доступа (УДСМ), подразумевающих удобство поиска, доступность, функциональную совместимость и возможность многократного использования данных. </w:t>
      </w:r>
      <w:r w:rsidRPr="00C44A91">
        <w:rPr>
          <w:rFonts w:cs="Arial"/>
          <w:szCs w:val="22"/>
          <w:lang w:val="ru-RU"/>
        </w:rPr>
        <w:t>ОДИС кардинально изменит способ поиска и получения конечными потребителями океанографических данных из тысяч открытых источников и даст возможность небольшим ЦОД, например в развивающихся странах, включиться в глобальный обмен океанографическими данными и информацией, что будет способствовать равноправному участию всех государств-членов в программах МОК.</w:t>
      </w:r>
      <w:r w:rsidRPr="00C44A91">
        <w:rPr>
          <w:rFonts w:cs="Arial"/>
          <w:color w:val="000000"/>
          <w:szCs w:val="22"/>
          <w:lang w:val="ru-RU"/>
        </w:rPr>
        <w:t xml:space="preserve"> </w:t>
      </w:r>
      <w:r w:rsidRPr="00C44A91">
        <w:rPr>
          <w:rFonts w:cs="Arial"/>
          <w:szCs w:val="22"/>
          <w:lang w:val="ru-RU"/>
        </w:rPr>
        <w:t xml:space="preserve">Несмотря на общесистемную значимость этой инициативы, ОДИС развивается и дорабатывается в настоящее </w:t>
      </w:r>
      <w:r w:rsidRPr="00C44A91">
        <w:rPr>
          <w:rFonts w:cs="Arial"/>
          <w:szCs w:val="22"/>
          <w:lang w:val="ru-RU"/>
        </w:rPr>
        <w:lastRenderedPageBreak/>
        <w:t>время исключительно в рамках одного проекта и при поддержке единственного донора – правительства Фландрии (Бельгии).</w:t>
      </w:r>
    </w:p>
    <w:p w14:paraId="049D480F" w14:textId="77777777" w:rsidR="00C44A91" w:rsidRPr="00C44A91" w:rsidRDefault="00C44A91" w:rsidP="00C44A91">
      <w:pPr>
        <w:spacing w:after="240"/>
        <w:jc w:val="both"/>
        <w:rPr>
          <w:rFonts w:cs="Arial"/>
          <w:color w:val="000000"/>
          <w:szCs w:val="22"/>
          <w:lang w:val="ru-RU"/>
        </w:rPr>
      </w:pPr>
      <w:r w:rsidRPr="00C44A91">
        <w:rPr>
          <w:rFonts w:cs="Arial"/>
          <w:szCs w:val="22"/>
          <w:lang w:val="ru-RU"/>
        </w:rPr>
        <w:t>Наряду с этим МОК продолжит заниматься получением и обработкой информации о морском биологическом разнообразии, выступая в качестве хранителя соответствующих данных в рамках системы ОБИС – крупнейшей в мире и что еще важнее наиболее быстро развивающейся децентрализованной базы данных о живых ресурсах моря.</w:t>
      </w:r>
      <w:r w:rsidRPr="00C44A91">
        <w:rPr>
          <w:rFonts w:cs="Arial"/>
          <w:color w:val="000000"/>
          <w:szCs w:val="22"/>
          <w:lang w:val="ru-RU"/>
        </w:rPr>
        <w:t xml:space="preserve"> В настоящее время ОБИС вступает в новую фазу своего развития, что стало возможным благодаря применению принципиально новых средств обнаружения морских биологических видов и осуществления наблюдений за ними с использованием экологичных технологий изучения ДНК. Тем самым ОБИС обеспечивает ценный инструментарий мониторинга достижения целей в области морского биоразнообразия, предусмотренных в Конвенции о биологическом разнообразии (КБР).</w:t>
      </w:r>
    </w:p>
    <w:p w14:paraId="20E207AC" w14:textId="77777777" w:rsidR="00C44A91" w:rsidRPr="00C44A91" w:rsidRDefault="00C44A91" w:rsidP="00443722">
      <w:pPr>
        <w:pStyle w:val="Heading2"/>
        <w:tabs>
          <w:tab w:val="clear" w:pos="567"/>
        </w:tabs>
        <w:spacing w:before="0"/>
        <w:ind w:left="0" w:firstLine="0"/>
        <w:rPr>
          <w:rFonts w:cs="Arial"/>
          <w:szCs w:val="22"/>
          <w:lang w:val="ru-RU"/>
        </w:rPr>
      </w:pPr>
      <w:bookmarkStart w:id="13" w:name="_Toc120748664"/>
      <w:r w:rsidRPr="00C44A91">
        <w:rPr>
          <w:rFonts w:cs="Arial"/>
          <w:szCs w:val="22"/>
          <w:lang w:val="ru-RU"/>
        </w:rPr>
        <w:t>Раннее предупреждение и океанографическое обслуживание (функциональная область «С»)</w:t>
      </w:r>
      <w:bookmarkEnd w:id="13"/>
    </w:p>
    <w:p w14:paraId="1A4D0902" w14:textId="77777777" w:rsidR="00C44A91" w:rsidRPr="00C44A91" w:rsidRDefault="00C44A91" w:rsidP="00C44A91">
      <w:pPr>
        <w:spacing w:after="240"/>
        <w:jc w:val="both"/>
        <w:rPr>
          <w:rFonts w:cs="Arial"/>
          <w:color w:val="000000"/>
          <w:szCs w:val="22"/>
          <w:lang w:val="ru-RU"/>
        </w:rPr>
      </w:pPr>
      <w:r w:rsidRPr="00C44A91">
        <w:rPr>
          <w:rFonts w:cs="Arial"/>
          <w:szCs w:val="22"/>
          <w:lang w:val="ru-RU"/>
        </w:rPr>
        <w:t>Климатические изменения обусловили усиление тропических штормов, что вкупе с загрязнением и эвтрофикацией прибрежной зоны, а также ускоренными темпами роста населения прибрежных районов повысило их подверженность риску опасных природных явлений.</w:t>
      </w:r>
      <w:r w:rsidRPr="00C44A91">
        <w:rPr>
          <w:rFonts w:cs="Arial"/>
          <w:color w:val="000000"/>
          <w:szCs w:val="22"/>
          <w:lang w:val="ru-RU"/>
        </w:rPr>
        <w:t xml:space="preserve"> </w:t>
      </w:r>
      <w:r w:rsidRPr="00C44A91">
        <w:rPr>
          <w:rFonts w:cs="Arial"/>
          <w:szCs w:val="22"/>
          <w:lang w:val="ru-RU"/>
        </w:rPr>
        <w:t>На фоне повсеместного стремительного расширения масштабов хозяйственной деятельности, в частности развития аквакультуры, возрос спрос на услуги систем раннего предупреждения (СРП) о вредоносном цветении водорослей. Продолжают возникать новые виды опасностей природного происхождения. На этом фоне, по-прежнему не удается окончательно решить проблему распространения саргассовых водорослей в регионе Карибского бассейна.</w:t>
      </w:r>
      <w:r w:rsidRPr="00C44A91">
        <w:rPr>
          <w:rFonts w:cs="Arial"/>
          <w:color w:val="000000"/>
          <w:szCs w:val="22"/>
          <w:lang w:val="ru-RU"/>
        </w:rPr>
        <w:t xml:space="preserve"> При этом самым важным вкладом МОК в сохранение человеческих жизней и в повышение безопасности прибрежных территорий является развитие систем предупреждения о цунами и минимизации их последствий. Как сказано в выводах проведенной в 2021 году оценки деятельности ЮНЕСКО, </w:t>
      </w:r>
      <w:r w:rsidRPr="00C44A91">
        <w:rPr>
          <w:rFonts w:cs="Arial"/>
          <w:i/>
          <w:color w:val="000000"/>
          <w:szCs w:val="22"/>
          <w:lang w:val="ru-RU"/>
        </w:rPr>
        <w:t xml:space="preserve">«системы раннего предупреждения о цунами (СРП) МОК-ЮНЕСКО обладают несомненной практической ценностью в плане снижения потенциальной опасности стихийных бедствий, а также с точки зрения реализации целей </w:t>
      </w:r>
      <w:proofErr w:type="spellStart"/>
      <w:r w:rsidRPr="00C44A91">
        <w:rPr>
          <w:rFonts w:cs="Arial"/>
          <w:i/>
          <w:color w:val="000000"/>
          <w:szCs w:val="22"/>
          <w:lang w:val="ru-RU"/>
        </w:rPr>
        <w:t>Сендайской</w:t>
      </w:r>
      <w:proofErr w:type="spellEnd"/>
      <w:r w:rsidRPr="00C44A91">
        <w:rPr>
          <w:rFonts w:cs="Arial"/>
          <w:i/>
          <w:color w:val="000000"/>
          <w:szCs w:val="22"/>
          <w:lang w:val="ru-RU"/>
        </w:rPr>
        <w:t xml:space="preserve"> рамочной программы. Не вызывает сомнения, что создание СРП снизило уровень рисков, связанных со стихийными бедствиями и гибелью людей, утратой средств к существованию и нанесением ущерба здоровью»</w:t>
      </w:r>
      <w:r w:rsidRPr="00C44A91">
        <w:rPr>
          <w:rFonts w:cs="Arial"/>
          <w:color w:val="000000"/>
          <w:szCs w:val="22"/>
          <w:lang w:val="ru-RU"/>
        </w:rPr>
        <w:t>.</w:t>
      </w:r>
    </w:p>
    <w:p w14:paraId="185F5C0F" w14:textId="77777777" w:rsidR="00C44A91" w:rsidRPr="00C44A91" w:rsidRDefault="00C44A91" w:rsidP="00C44A91">
      <w:pPr>
        <w:spacing w:after="240"/>
        <w:jc w:val="both"/>
        <w:rPr>
          <w:rFonts w:cs="Arial"/>
          <w:color w:val="000000"/>
          <w:szCs w:val="22"/>
          <w:lang w:val="ru-RU"/>
        </w:rPr>
      </w:pPr>
      <w:r w:rsidRPr="00C44A91">
        <w:rPr>
          <w:rFonts w:cs="Arial"/>
          <w:szCs w:val="22"/>
          <w:lang w:val="ru-RU"/>
        </w:rPr>
        <w:t>После катастрофического цунами, случившегося в Индийском океане в 2004 году, Генеральная Ассамблея ООН уполномочила МОК обеспечить глобальную координацию усилий по созданию систем предупреждения о цунами и минимизации их последствий.</w:t>
      </w:r>
      <w:r w:rsidRPr="00C44A91">
        <w:rPr>
          <w:rFonts w:cs="Arial"/>
          <w:color w:val="333333"/>
          <w:szCs w:val="22"/>
          <w:highlight w:val="white"/>
          <w:lang w:val="ru-RU"/>
        </w:rPr>
        <w:t xml:space="preserve"> </w:t>
      </w:r>
      <w:r w:rsidRPr="00C44A91">
        <w:rPr>
          <w:rFonts w:cs="Arial"/>
          <w:szCs w:val="22"/>
          <w:lang w:val="ru-RU"/>
        </w:rPr>
        <w:t>Провозглашение Десятилетия науки об океане потребовало от МОК существенно активизировать свои усилия в этой области, в том числе направленные на создание нового поколения таких глобальных систем.</w:t>
      </w:r>
      <w:r w:rsidRPr="00C44A91">
        <w:rPr>
          <w:rFonts w:cs="Arial"/>
          <w:color w:val="000000"/>
          <w:szCs w:val="22"/>
          <w:lang w:val="ru-RU"/>
        </w:rPr>
        <w:t xml:space="preserve"> Реакцией МОК на провозглашение Десятилетия, посвященного науке об океане, стала разработка и реализация в рамках Десятилетия специальной программы по цунами. Цель программы заключается в том, чтобы существенно усовершенствовать функциональные возможности существующей системы благодаря внедрению достижений научно-технического прогресса и обеспечить 100-процентный охват проживающего в зоне риска населения регионов Карибского бассейна, Тихого и Индийского океанов, Средиземного моря и северо-восточной части Атлантики программой сертификации готовности к цунами. Для этого потребуется в числе прочего дополнительно увеличить расходы, связанные с укреплением функционирующих в регионах центров информации о цунами (ЦИЦ). Три из четырех таких центров расположены в государствах-членах (Барбадос, Индонезия, Соединенные Штаты), и все они должны быть доукомплектованы, обеспечены стабильным финансированием и превращены в полноценно функционирующие структуры.</w:t>
      </w:r>
    </w:p>
    <w:p w14:paraId="1D5B661F" w14:textId="77777777" w:rsidR="00C44A91" w:rsidRPr="00C44A91" w:rsidRDefault="00C44A91" w:rsidP="00443722">
      <w:pPr>
        <w:pStyle w:val="Heading2"/>
        <w:tabs>
          <w:tab w:val="clear" w:pos="567"/>
        </w:tabs>
        <w:spacing w:before="0"/>
        <w:ind w:left="0" w:firstLine="0"/>
        <w:rPr>
          <w:rFonts w:cs="Arial"/>
          <w:szCs w:val="22"/>
          <w:lang w:val="ru-RU"/>
        </w:rPr>
      </w:pPr>
      <w:bookmarkStart w:id="14" w:name="_Toc120748665"/>
      <w:r w:rsidRPr="00C44A91">
        <w:rPr>
          <w:rFonts w:cs="Arial"/>
          <w:szCs w:val="22"/>
          <w:lang w:val="ru-RU"/>
        </w:rPr>
        <w:lastRenderedPageBreak/>
        <w:t>Участие в механизмах оценки и информационная поддержка научно-политического взаимодействия (функциональная область «</w:t>
      </w:r>
      <w:r w:rsidRPr="00F943C5">
        <w:rPr>
          <w:rFonts w:cs="Arial"/>
          <w:szCs w:val="22"/>
        </w:rPr>
        <w:t>D</w:t>
      </w:r>
      <w:r w:rsidRPr="00C44A91">
        <w:rPr>
          <w:rFonts w:cs="Arial"/>
          <w:szCs w:val="22"/>
          <w:lang w:val="ru-RU"/>
        </w:rPr>
        <w:t>»)</w:t>
      </w:r>
      <w:bookmarkEnd w:id="14"/>
    </w:p>
    <w:p w14:paraId="56696F5A" w14:textId="77777777" w:rsidR="00C44A91" w:rsidRPr="00C44A91" w:rsidRDefault="00C44A91" w:rsidP="00C44A91">
      <w:pPr>
        <w:spacing w:after="240"/>
        <w:jc w:val="both"/>
        <w:rPr>
          <w:rFonts w:cs="Arial"/>
          <w:color w:val="000000"/>
          <w:szCs w:val="22"/>
          <w:lang w:val="ru-RU"/>
        </w:rPr>
      </w:pPr>
      <w:r w:rsidRPr="00C44A91">
        <w:rPr>
          <w:rFonts w:cs="Arial"/>
          <w:color w:val="000000"/>
          <w:szCs w:val="22"/>
          <w:lang w:val="ru-RU"/>
        </w:rPr>
        <w:t xml:space="preserve">МОК принимала и продолжит принимать на централизованной основе участие в глобальных механизмах оценки, таких как проводимая ООН третья оценка состояния Мирового океана, а также в подготовке оценочных докладов МГЭИК и МПБЭУ. Наряду с этим МОК проводит собственную масштабную работу, связанную с оценкой состояния морской среды. МОК официально уполномочена ООН обеспечить методическую поддержку в деле достижения показателей 14.3.1 (закисление океана) и 14.а.1 (укрепление потенциала в области океанографических исследований) в рамках реализации Повестки-2030. Что касается последнего показателя, то в </w:t>
      </w:r>
      <w:r w:rsidRPr="00C44A91">
        <w:rPr>
          <w:rFonts w:cs="Arial"/>
          <w:i/>
          <w:color w:val="000000"/>
          <w:szCs w:val="22"/>
          <w:lang w:val="ru-RU"/>
        </w:rPr>
        <w:t>Глобальном докладе МОК о состоянии океанографии</w:t>
      </w:r>
      <w:r w:rsidRPr="00C44A91">
        <w:rPr>
          <w:rFonts w:cs="Arial"/>
          <w:color w:val="000000"/>
          <w:szCs w:val="22"/>
          <w:lang w:val="ru-RU"/>
        </w:rPr>
        <w:t xml:space="preserve"> (ГДСО) представляется отдельная подробная оценка положения дел; подобный анализ, как ожидается, будет проводиться на регулярной основе. </w:t>
      </w:r>
      <w:r w:rsidRPr="00C44A91">
        <w:rPr>
          <w:rFonts w:cs="Arial"/>
          <w:szCs w:val="22"/>
          <w:lang w:val="ru-RU"/>
        </w:rPr>
        <w:t>Кроме того, МОК помогает ЮНЕП в разработке научного обоснования и методических руководств по достижению показателей для ЦУР 14, в частности, касающихся борьбы с загрязнением морской среды (14.1.1) и доли национальных исключительных экономических зон, в управлении которыми применяются экосистемные подходы (14.2.1).</w:t>
      </w:r>
    </w:p>
    <w:p w14:paraId="25E1C376" w14:textId="77777777" w:rsidR="00C44A91" w:rsidRPr="00C44A91" w:rsidRDefault="00C44A91" w:rsidP="00C44A91">
      <w:pPr>
        <w:spacing w:after="240"/>
        <w:jc w:val="both"/>
        <w:rPr>
          <w:rFonts w:cs="Arial"/>
          <w:color w:val="000000"/>
          <w:szCs w:val="22"/>
          <w:lang w:val="ru-RU"/>
        </w:rPr>
      </w:pPr>
      <w:r w:rsidRPr="00C44A91">
        <w:rPr>
          <w:rFonts w:cs="Arial"/>
          <w:szCs w:val="22"/>
          <w:lang w:val="ru-RU"/>
        </w:rPr>
        <w:t xml:space="preserve">Помимо этого, государства – члены МОК предложили продолжить подготовку </w:t>
      </w:r>
      <w:r w:rsidRPr="00C44A91">
        <w:rPr>
          <w:rFonts w:cs="Arial"/>
          <w:i/>
          <w:szCs w:val="22"/>
          <w:lang w:val="ru-RU"/>
        </w:rPr>
        <w:t>Доклада о состоянии Мирового океана</w:t>
      </w:r>
      <w:r w:rsidRPr="00C44A91">
        <w:rPr>
          <w:rFonts w:cs="Arial"/>
          <w:szCs w:val="22"/>
          <w:lang w:val="ru-RU"/>
        </w:rPr>
        <w:t xml:space="preserve"> (ДСМО), пилотная версия которого была опубликована в 2022</w:t>
      </w:r>
      <w:r>
        <w:rPr>
          <w:rFonts w:cs="Arial"/>
          <w:szCs w:val="22"/>
        </w:rPr>
        <w:t> </w:t>
      </w:r>
      <w:r w:rsidRPr="00C44A91">
        <w:rPr>
          <w:rFonts w:cs="Arial"/>
          <w:szCs w:val="22"/>
          <w:lang w:val="ru-RU"/>
        </w:rPr>
        <w:t>году.</w:t>
      </w:r>
      <w:r w:rsidRPr="00C44A91">
        <w:rPr>
          <w:rFonts w:cs="Arial"/>
          <w:color w:val="000000"/>
          <w:szCs w:val="22"/>
          <w:lang w:val="ru-RU"/>
        </w:rPr>
        <w:t xml:space="preserve"> </w:t>
      </w:r>
      <w:r w:rsidRPr="00C44A91">
        <w:rPr>
          <w:rFonts w:cs="Arial"/>
          <w:szCs w:val="22"/>
          <w:lang w:val="ru-RU"/>
        </w:rPr>
        <w:t xml:space="preserve">Призывы к более активному участию МОК звучат и на уровне механизма диалога по вопросам климата и океана, функционирующего в рамках Вспомогательного органа РКИКООН для консультирования по научным и техническим аспектам. </w:t>
      </w:r>
      <w:r w:rsidRPr="00C44A91">
        <w:rPr>
          <w:rFonts w:cs="Arial"/>
          <w:szCs w:val="22"/>
          <w:highlight w:val="white"/>
          <w:lang w:val="ru-RU"/>
        </w:rPr>
        <w:t xml:space="preserve">Основываясь на опыте своей работы, связанной с повышением степени готовности проживающего в зонах риска населения, с наблюдением за состоянием океана и комплексным хозяйственным использованием прибрежных районов, МОК содействует формированию в государствах-членах компетенций, необходимых для понимания причин изменения климата и прогнозирования такого изменения, его воздействия на состояние Мирового океана и прибрежных зон, а также осуществляет методическое руководство разработкой и ускоренной реализацией эффективных стратегий адаптации к климатическим изменениям и смягчения их последствий. </w:t>
      </w:r>
      <w:r w:rsidRPr="00C44A91">
        <w:rPr>
          <w:rFonts w:cs="Arial"/>
          <w:color w:val="000000"/>
          <w:szCs w:val="22"/>
          <w:lang w:val="ru-RU"/>
        </w:rPr>
        <w:t>Во взаимодействии с Международной гидрографической организацией МОК участвует в создании Генеральной батиметрической карты океанов (ГЕБКО) и планирует благодаря совместной инициативе Фонда «Ниппон» и проекта ГЕБКО «Морское дно-2030» завершить к 2030 году картографирование всей поверхности дна Мирового океана. Для проведения этой работы необходимо иметь более четкое представление об участках морского дна, подлежащих картографированию, чему может способствовать поощрение сотрудничества на предмет обмена неиспользуемыми наборами уже имеющихся данных, активизация усилий по сбору таких данных, содействие внедрению инновационных методов картографирования подводного рельефа океана, использование соответствующих датчиков на существующих платформах наблюдения за океаном, а также подготовка специальных информационных материалов по тематике создания батиметрических карт в рамках усилий по обеспечению рационального использования ресурсов океана и их охраны.</w:t>
      </w:r>
    </w:p>
    <w:p w14:paraId="611451B1" w14:textId="77777777" w:rsidR="00C44A91" w:rsidRPr="00C44A91" w:rsidRDefault="00C44A91" w:rsidP="00C44A91">
      <w:pPr>
        <w:spacing w:after="240"/>
        <w:jc w:val="both"/>
        <w:rPr>
          <w:rFonts w:cs="Arial"/>
          <w:color w:val="000000"/>
          <w:szCs w:val="22"/>
          <w:lang w:val="ru-RU"/>
        </w:rPr>
      </w:pPr>
      <w:r w:rsidRPr="00C44A91">
        <w:rPr>
          <w:rFonts w:cs="Arial"/>
          <w:color w:val="000000"/>
          <w:szCs w:val="22"/>
          <w:lang w:val="ru-RU"/>
        </w:rPr>
        <w:t xml:space="preserve">Широкий спектр деятельности МОК превращает ее в важного участника информационного обеспечения политики. В то же время МОК нуждается в более основательной и надежной ресурсной базе, которая позволит ей и впредь выполнять функцию информационно-методического сопровождения в деле достижения целого ряда показателей ЦУР и вносить весомый вклад в подготовку глобальных оценочных докладов. Необходимо также укрепить материально-техническую базу подготовки МОК собственных оценочных докладов (ГДСО, ДСМО, проблематика закисления океана и </w:t>
      </w:r>
      <w:proofErr w:type="gramStart"/>
      <w:r w:rsidRPr="00C44A91">
        <w:rPr>
          <w:rFonts w:cs="Arial"/>
          <w:color w:val="000000"/>
          <w:szCs w:val="22"/>
          <w:lang w:val="ru-RU"/>
        </w:rPr>
        <w:t>т.д.</w:t>
      </w:r>
      <w:proofErr w:type="gramEnd"/>
      <w:r w:rsidRPr="00C44A91">
        <w:rPr>
          <w:rFonts w:cs="Arial"/>
          <w:color w:val="000000"/>
          <w:szCs w:val="22"/>
          <w:lang w:val="ru-RU"/>
        </w:rPr>
        <w:t>) и более активно содействовать решению задачи исторической значимости – завершению к 2030 году картографирования всей поверхности дна Мирового океана.</w:t>
      </w:r>
    </w:p>
    <w:p w14:paraId="638EEC9C" w14:textId="77777777" w:rsidR="00C44A91" w:rsidRPr="00C44A91" w:rsidRDefault="00C44A91" w:rsidP="001762E2">
      <w:pPr>
        <w:pStyle w:val="Heading2"/>
        <w:tabs>
          <w:tab w:val="clear" w:pos="567"/>
        </w:tabs>
        <w:spacing w:before="0"/>
        <w:ind w:left="0" w:right="-143" w:firstLine="0"/>
        <w:rPr>
          <w:rFonts w:cs="Arial"/>
          <w:szCs w:val="22"/>
          <w:lang w:val="ru-RU"/>
        </w:rPr>
      </w:pPr>
      <w:bookmarkStart w:id="15" w:name="_Toc120748666"/>
      <w:r w:rsidRPr="00C44A91">
        <w:rPr>
          <w:rFonts w:cs="Arial"/>
          <w:szCs w:val="22"/>
          <w:lang w:val="ru-RU"/>
        </w:rPr>
        <w:lastRenderedPageBreak/>
        <w:t xml:space="preserve">Актуальные аспекты будущей модели рационального </w:t>
      </w:r>
      <w:proofErr w:type="spellStart"/>
      <w:r w:rsidRPr="00C44A91">
        <w:rPr>
          <w:rFonts w:cs="Arial"/>
          <w:szCs w:val="22"/>
          <w:lang w:val="ru-RU"/>
        </w:rPr>
        <w:t>морепользования</w:t>
      </w:r>
      <w:proofErr w:type="spellEnd"/>
      <w:r w:rsidRPr="00C44A91">
        <w:rPr>
          <w:rFonts w:cs="Arial"/>
          <w:szCs w:val="22"/>
          <w:lang w:val="ru-RU"/>
        </w:rPr>
        <w:t xml:space="preserve"> и научно обоснованного управления ресурсами Мирового океана (функциональная область «Е»)</w:t>
      </w:r>
      <w:bookmarkEnd w:id="15"/>
    </w:p>
    <w:p w14:paraId="7D17F96E" w14:textId="77777777" w:rsidR="00C44A91" w:rsidRPr="00C44A91" w:rsidRDefault="00C44A91" w:rsidP="00C44A91">
      <w:pPr>
        <w:spacing w:after="240"/>
        <w:jc w:val="both"/>
        <w:rPr>
          <w:rFonts w:cs="Arial"/>
          <w:szCs w:val="22"/>
          <w:lang w:val="ru-RU"/>
        </w:rPr>
      </w:pPr>
      <w:r w:rsidRPr="00C44A91">
        <w:rPr>
          <w:rFonts w:cs="Arial"/>
          <w:szCs w:val="22"/>
          <w:lang w:val="ru-RU"/>
        </w:rPr>
        <w:t xml:space="preserve">Программа МОК по морскому пространственному планированию (МПП) обеспечивает основу для долгосрочного рационального планирования в сфере </w:t>
      </w:r>
      <w:proofErr w:type="spellStart"/>
      <w:r w:rsidRPr="00C44A91">
        <w:rPr>
          <w:rFonts w:cs="Arial"/>
          <w:szCs w:val="22"/>
          <w:lang w:val="ru-RU"/>
        </w:rPr>
        <w:t>морепользования</w:t>
      </w:r>
      <w:proofErr w:type="spellEnd"/>
      <w:r w:rsidRPr="00C44A91">
        <w:rPr>
          <w:rFonts w:cs="Arial"/>
          <w:szCs w:val="22"/>
          <w:lang w:val="ru-RU"/>
        </w:rPr>
        <w:t xml:space="preserve"> и является важнейшим инструментом реализации принципа экологичного морского хозяйствования. На сегодняшний день существует устойчивый и постоянно растущий спрос со стороны государств-членов на услуги в области МПП. Разработка МОК </w:t>
      </w:r>
      <w:r w:rsidRPr="00C44A91">
        <w:rPr>
          <w:rFonts w:cs="Arial"/>
          <w:i/>
          <w:szCs w:val="22"/>
          <w:lang w:val="ru-RU"/>
        </w:rPr>
        <w:t>Методического руководства</w:t>
      </w:r>
      <w:r w:rsidRPr="00C44A91">
        <w:rPr>
          <w:rFonts w:cs="Arial"/>
          <w:szCs w:val="22"/>
          <w:lang w:val="ru-RU"/>
        </w:rPr>
        <w:t xml:space="preserve"> по вопросам пространственного планирования морской зоны сыграла важную роль в развертывании связанной с МПП деятельности по всему миру. Вместе с тем, несмотря на широкое признание ведущей роли МОК в деле формулирования глобальных руководящих принципов в области МПП, небольшой секретариат Комиссии на сегодняшний день не в состоянии реагировать на системной основе на запросы правительств об оказании методической поддержки и содействия в наращивании потенциала в этой области. Это обусловлено тем, что работа МОК, касающаяся МПП финансируется в основном по линии внебюджетных проектов, в том числе в рамках партнерского взаимодействия с Европейской комиссией и ГЭФ (ПРООН и ЮНЕП), а также благодаря содействию ряда двусторонних доноров (в частности Швеции). Для удовлетворения растущего спроса государств-членов на услуги в области МПП и комплексного управления морскими ресурсами настоятельно необходимо выйти за рамки финансирования ограниченных во времени проектов и сосредоточиться на предоставлении «базовой» финансовой поддержки в области МПП, что позволит превратить одноименную программу МОК в междисциплинарное направление деятельности, в рамках которого адаптированные под конкретные условия научные исследования, сбор данных, океанографические наблюдения и услуги могли бы быть объединены в логически последовательную рамочную программу по планированию морской хозяйственной деятельности.</w:t>
      </w:r>
    </w:p>
    <w:p w14:paraId="1BC8EC38" w14:textId="77777777" w:rsidR="00C44A91" w:rsidRPr="00C44A91" w:rsidRDefault="00C44A91" w:rsidP="00C44A91">
      <w:pPr>
        <w:spacing w:after="240"/>
        <w:jc w:val="both"/>
        <w:rPr>
          <w:rFonts w:cs="Arial"/>
          <w:szCs w:val="22"/>
          <w:lang w:val="ru-RU"/>
        </w:rPr>
      </w:pPr>
      <w:r w:rsidRPr="00C44A91">
        <w:rPr>
          <w:rFonts w:cs="Arial"/>
          <w:szCs w:val="22"/>
          <w:lang w:val="ru-RU"/>
        </w:rPr>
        <w:t>Поскольку в существующих и во вновь принимаемых глобальных рамочных документах ООН океанская проблематика все чаще рассматривается сквозь призму взаимосвязи между климатом, океаном и биоразнообразием, МОК необходимо будет наглядно повысить свой вклад в осуществление Повестки дня ООН на период до 2030 года и в реализацию предусмотренных в ней целей в области устойчивого развития (ЦУР) в качестве учреждения системы ООН, отвечающего за представление отчетности, касающейся реализации ЦУР 14.3 и 14.а, а также Парижского соглашения РКИКООН, выступая при этом за уделение большего внимания проблематике Мирового океана, в поддержку новой Глобальной рамочной программы в области биоразнообразия (ГРПБ) на период после 2020 года, связанной с осуществлением Конвенции о биологическом разнообразии, в том числе достижение потенциально новых целевых показателей в области сохранения морского биоразнообразия, таких как инициатива «30х30», а также в поддержку принятия на базе ЮНКЛОС нового международного юридически обязательного документа о сохранении и устойчивом использовании морского биоразнообразия в районах за пределами действия национальной юрисдикции (БПНЮ). В рамках выполнения этой работы МОК как ведущий орган системы Организации Объединенных Наций, специализирующийся в области морских наук, должна быть обеспечена всем необходимым для подготовки научно обоснованных предложений, касающихся разработки рамочных принципов мониторинга морского биоразнообразия и изменения климата, осуществления перспективного анализа связанных с морскими науками проблемных аспектов, а также реализации совместных рамочных программ в области развития потенциала как в границах отдельных океанических бассейнов, так и в глобальном масштабе.</w:t>
      </w:r>
    </w:p>
    <w:p w14:paraId="061AF28B" w14:textId="77777777" w:rsidR="00C44A91" w:rsidRPr="00C44A91" w:rsidRDefault="00C44A91" w:rsidP="00C44A91">
      <w:pPr>
        <w:spacing w:after="240"/>
        <w:jc w:val="both"/>
        <w:rPr>
          <w:rFonts w:cs="Arial"/>
          <w:szCs w:val="22"/>
          <w:lang w:val="ru-RU"/>
        </w:rPr>
      </w:pPr>
      <w:r w:rsidRPr="00C44A91">
        <w:rPr>
          <w:rFonts w:cs="Arial"/>
          <w:szCs w:val="22"/>
          <w:lang w:val="ru-RU"/>
        </w:rPr>
        <w:t>В оптимальном с точки зрения ресурсного обеспечения варианте развития ситуации наиболее актуальным предложением со стороны МОК мог бы стать комплексный пакет услуг в области рациональной эксплуатации морских ресурсов, в частности: (</w:t>
      </w:r>
      <w:r w:rsidRPr="00F943C5">
        <w:rPr>
          <w:rFonts w:cs="Arial"/>
          <w:szCs w:val="22"/>
        </w:rPr>
        <w:t>i</w:t>
      </w:r>
      <w:r w:rsidRPr="00C44A91">
        <w:rPr>
          <w:rFonts w:cs="Arial"/>
          <w:szCs w:val="22"/>
          <w:lang w:val="ru-RU"/>
        </w:rPr>
        <w:t>) проведение научных исследований, разработка моделей и прогнозов на основе экосистемного подхода, включая оценку долгосрочного воздействия антропогенных стресс-факторов, экологической устойчивости и жизнеспособности морских экосистем; (</w:t>
      </w:r>
      <w:r w:rsidRPr="00F943C5">
        <w:rPr>
          <w:rFonts w:cs="Arial"/>
          <w:szCs w:val="22"/>
        </w:rPr>
        <w:t>ii</w:t>
      </w:r>
      <w:r w:rsidRPr="00C44A91">
        <w:rPr>
          <w:rFonts w:cs="Arial"/>
          <w:szCs w:val="22"/>
          <w:lang w:val="ru-RU"/>
        </w:rPr>
        <w:t>)</w:t>
      </w:r>
      <w:r w:rsidRPr="00F943C5">
        <w:rPr>
          <w:rFonts w:cs="Arial"/>
          <w:szCs w:val="22"/>
        </w:rPr>
        <w:t> </w:t>
      </w:r>
      <w:r w:rsidRPr="00C44A91">
        <w:rPr>
          <w:rFonts w:cs="Arial"/>
          <w:szCs w:val="22"/>
          <w:lang w:val="ru-RU"/>
        </w:rPr>
        <w:t xml:space="preserve">развитие служб наблюдения за океаном и соответствующей инфраструктуры обработки данных для информационного обеспечения планирования и реализации морской хозяйственной деятельности в интересах содействия </w:t>
      </w:r>
      <w:r w:rsidRPr="00C44A91">
        <w:rPr>
          <w:rFonts w:cs="Arial"/>
          <w:szCs w:val="22"/>
          <w:lang w:val="ru-RU"/>
        </w:rPr>
        <w:lastRenderedPageBreak/>
        <w:t>комплексному использованию и распространению данных и информации на разных уровнях и по различным областям знаний; (</w:t>
      </w:r>
      <w:r w:rsidRPr="00F943C5">
        <w:rPr>
          <w:rFonts w:cs="Arial"/>
          <w:szCs w:val="22"/>
        </w:rPr>
        <w:t>iii</w:t>
      </w:r>
      <w:r w:rsidRPr="00C44A91">
        <w:rPr>
          <w:rFonts w:cs="Arial"/>
          <w:szCs w:val="22"/>
          <w:lang w:val="ru-RU"/>
        </w:rPr>
        <w:t>) разработка инструментов, содействующих принятию решений, включая проведение экономической оценки, в интересах содействия сотрудничеству и координации между основными заинтересованными сторонами (государственные органы, производственный сектор и т.д.) в вопросах рациональной эксплуатации экосистем, а также в целях развития эффективного диалога между наукой, властями и обществом; (</w:t>
      </w:r>
      <w:r w:rsidRPr="00F943C5">
        <w:rPr>
          <w:rFonts w:cs="Arial"/>
          <w:szCs w:val="22"/>
        </w:rPr>
        <w:t>iv</w:t>
      </w:r>
      <w:r w:rsidRPr="00C44A91">
        <w:rPr>
          <w:rFonts w:cs="Arial"/>
          <w:szCs w:val="22"/>
          <w:lang w:val="ru-RU"/>
        </w:rPr>
        <w:t>)</w:t>
      </w:r>
      <w:r w:rsidRPr="00F943C5">
        <w:rPr>
          <w:rFonts w:cs="Arial"/>
          <w:szCs w:val="22"/>
        </w:rPr>
        <w:t> </w:t>
      </w:r>
      <w:r w:rsidRPr="00C44A91">
        <w:rPr>
          <w:rFonts w:cs="Arial"/>
          <w:szCs w:val="22"/>
          <w:lang w:val="ru-RU"/>
        </w:rPr>
        <w:t xml:space="preserve">оказание государствам-членам поддержки в создании потенциала в указанных областях и в обмене опытом через налаживание эффективного сетевого взаимодействия с использованием региональных структур МОК. Такое предложение согласуется со стратегическими рекомендациями, сформулированными Группой высокого уровня по вопросам устойчивости морской экономики, а также с положениями Политической декларации, принятой участниками Конференции ООН по океану (2022 г., Лиссабон), региональными соглашениями (конвенциями по региональным морям), Морской стратегией Европейского союза и соответствующими рамочными документами по вопросам </w:t>
      </w:r>
      <w:proofErr w:type="spellStart"/>
      <w:r w:rsidRPr="00C44A91">
        <w:rPr>
          <w:rFonts w:cs="Arial"/>
          <w:szCs w:val="22"/>
          <w:lang w:val="ru-RU"/>
        </w:rPr>
        <w:t>морепользования</w:t>
      </w:r>
      <w:proofErr w:type="spellEnd"/>
      <w:r w:rsidRPr="00C44A91">
        <w:rPr>
          <w:rFonts w:cs="Arial"/>
          <w:szCs w:val="22"/>
          <w:lang w:val="ru-RU"/>
        </w:rPr>
        <w:t>.</w:t>
      </w:r>
    </w:p>
    <w:p w14:paraId="52D77BF0" w14:textId="77777777" w:rsidR="00C44A91" w:rsidRPr="00C44A91" w:rsidRDefault="00C44A91" w:rsidP="00C44A91">
      <w:pPr>
        <w:spacing w:after="240"/>
        <w:jc w:val="both"/>
        <w:rPr>
          <w:rFonts w:cs="Arial"/>
          <w:szCs w:val="22"/>
          <w:lang w:val="ru-RU"/>
        </w:rPr>
      </w:pPr>
      <w:r w:rsidRPr="00C44A91">
        <w:rPr>
          <w:rFonts w:cs="Arial"/>
          <w:szCs w:val="22"/>
          <w:lang w:val="ru-RU"/>
        </w:rPr>
        <w:t xml:space="preserve">Ответственная и рациональная эксплуатация морских ресурсов может стать основным и принципиально важным результатом участия МОК в осуществлении Повестки дня на период до 2030 года и в реализации в рамках Десятилетия науки об океане мер, направленных на реальные изменения, что благотворно скажется на всех аспектах устойчивого развития. Комплексный подход к управлению ресурсами Мирового океана позволит коренным образом трансформировать то, что в настоящее время представляют собой отдельные компоненты такого управления, объединить под руководством МОК и на основе научного подхода усилия в области морского пространственного планирования и хозяйственного освоения прибрежных районов, совершить масштабный переход от местного и национального к региональному уровню за счет более эффективного управления крупными морскими экосистемами и применения других трансграничных подходов в области </w:t>
      </w:r>
      <w:proofErr w:type="spellStart"/>
      <w:r w:rsidRPr="00C44A91">
        <w:rPr>
          <w:rFonts w:cs="Arial"/>
          <w:szCs w:val="22"/>
          <w:lang w:val="ru-RU"/>
        </w:rPr>
        <w:t>морепользования</w:t>
      </w:r>
      <w:proofErr w:type="spellEnd"/>
      <w:r w:rsidRPr="00C44A91">
        <w:rPr>
          <w:rFonts w:cs="Arial"/>
          <w:szCs w:val="22"/>
          <w:lang w:val="ru-RU"/>
        </w:rPr>
        <w:t>.</w:t>
      </w:r>
    </w:p>
    <w:p w14:paraId="2FBA7DEE" w14:textId="77777777" w:rsidR="00C44A91" w:rsidRPr="00C44A91" w:rsidRDefault="00C44A91" w:rsidP="001762E2">
      <w:pPr>
        <w:pStyle w:val="Heading2"/>
        <w:tabs>
          <w:tab w:val="clear" w:pos="567"/>
        </w:tabs>
        <w:spacing w:before="0"/>
        <w:ind w:left="0" w:firstLine="0"/>
        <w:rPr>
          <w:rFonts w:cs="Arial"/>
          <w:szCs w:val="22"/>
          <w:lang w:val="ru-RU"/>
        </w:rPr>
      </w:pPr>
      <w:bookmarkStart w:id="16" w:name="_Toc120748667"/>
      <w:r w:rsidRPr="00C44A91">
        <w:rPr>
          <w:rFonts w:cs="Arial"/>
          <w:szCs w:val="22"/>
          <w:lang w:val="ru-RU"/>
        </w:rPr>
        <w:t>Развитие потенциала и повышение грамотности в связанных с океаном вопросах (функциональная область «</w:t>
      </w:r>
      <w:r w:rsidRPr="00F943C5">
        <w:rPr>
          <w:rFonts w:cs="Arial"/>
          <w:szCs w:val="22"/>
        </w:rPr>
        <w:t>F</w:t>
      </w:r>
      <w:r w:rsidRPr="00C44A91">
        <w:rPr>
          <w:rFonts w:cs="Arial"/>
          <w:szCs w:val="22"/>
          <w:lang w:val="ru-RU"/>
        </w:rPr>
        <w:t>»)</w:t>
      </w:r>
      <w:bookmarkEnd w:id="16"/>
    </w:p>
    <w:p w14:paraId="207DE1D7" w14:textId="77777777" w:rsidR="00C44A91" w:rsidRPr="00C44A91" w:rsidRDefault="00C44A91" w:rsidP="00C44A91">
      <w:pPr>
        <w:spacing w:after="240"/>
        <w:jc w:val="both"/>
        <w:rPr>
          <w:rFonts w:cs="Arial"/>
          <w:color w:val="000000"/>
          <w:szCs w:val="22"/>
          <w:lang w:val="ru-RU"/>
        </w:rPr>
      </w:pPr>
      <w:r w:rsidRPr="00C44A91">
        <w:rPr>
          <w:rFonts w:cs="Arial"/>
          <w:szCs w:val="22"/>
          <w:lang w:val="ru-RU"/>
        </w:rPr>
        <w:t>Укрепление институционального потенциала государств-членов в рамках всех вышеперечисленных функциональных областей является одним из сквозных приоритетов МОК.</w:t>
      </w:r>
      <w:r w:rsidRPr="00C44A91">
        <w:rPr>
          <w:rFonts w:cs="Arial"/>
          <w:color w:val="000000"/>
          <w:szCs w:val="22"/>
          <w:lang w:val="ru-RU"/>
        </w:rPr>
        <w:t xml:space="preserve"> </w:t>
      </w:r>
      <w:r w:rsidRPr="00C44A91">
        <w:rPr>
          <w:rFonts w:cs="Arial"/>
          <w:szCs w:val="22"/>
          <w:lang w:val="ru-RU"/>
        </w:rPr>
        <w:t>Уникальность опыта Комиссии, позволяющего ей содействовать государствам-членам в деле развития потенциала (РП), связана с проводимым МОК на системной основе мониторингом кадровых возможностей в области океанографии и освещением в ГДСО существующих в этой области проблем.</w:t>
      </w:r>
      <w:r w:rsidRPr="00C44A91">
        <w:rPr>
          <w:rFonts w:cs="Arial"/>
          <w:color w:val="000000"/>
          <w:szCs w:val="22"/>
          <w:lang w:val="ru-RU"/>
        </w:rPr>
        <w:t xml:space="preserve"> </w:t>
      </w:r>
      <w:r w:rsidRPr="00C44A91">
        <w:rPr>
          <w:rFonts w:cs="Arial"/>
          <w:szCs w:val="22"/>
          <w:lang w:val="ru-RU"/>
        </w:rPr>
        <w:t>МОК традиционно и с успехом участвовала в определении направленности усилий, связанных с наращиванием потенциала, в рамках Организации Объединенных Наций.</w:t>
      </w:r>
      <w:r w:rsidRPr="00C44A91">
        <w:rPr>
          <w:rFonts w:cs="Arial"/>
          <w:color w:val="000000"/>
          <w:szCs w:val="22"/>
          <w:lang w:val="ru-RU"/>
        </w:rPr>
        <w:t xml:space="preserve"> Именно поэтому </w:t>
      </w:r>
      <w:r w:rsidRPr="00C44A91">
        <w:rPr>
          <w:rFonts w:cs="Arial"/>
          <w:i/>
          <w:color w:val="000000"/>
          <w:szCs w:val="22"/>
          <w:lang w:val="ru-RU"/>
        </w:rPr>
        <w:t>Критерии и руководящие принципы МОК в отношении передачи морской технологии</w:t>
      </w:r>
      <w:r w:rsidRPr="00C44A91">
        <w:rPr>
          <w:rFonts w:cs="Arial"/>
          <w:color w:val="000000"/>
          <w:szCs w:val="22"/>
          <w:lang w:val="ru-RU"/>
        </w:rPr>
        <w:t xml:space="preserve"> напрямую цитируются в формулировках целевых показателей ЦУР</w:t>
      </w:r>
      <w:r w:rsidRPr="00F943C5">
        <w:rPr>
          <w:rFonts w:cs="Arial"/>
          <w:color w:val="000000"/>
          <w:szCs w:val="22"/>
          <w:vertAlign w:val="superscript"/>
        </w:rPr>
        <w:footnoteReference w:id="9"/>
      </w:r>
      <w:r w:rsidRPr="00C44A91">
        <w:rPr>
          <w:rFonts w:cs="Arial"/>
          <w:color w:val="000000"/>
          <w:szCs w:val="22"/>
          <w:lang w:val="ru-RU"/>
        </w:rPr>
        <w:t xml:space="preserve">. </w:t>
      </w:r>
      <w:r w:rsidRPr="00C44A91">
        <w:rPr>
          <w:rFonts w:cs="Arial"/>
          <w:szCs w:val="22"/>
          <w:lang w:val="ru-RU"/>
        </w:rPr>
        <w:t>Глобальная академия МОК «Океан-Инструктор» является важнейшей сетью, объединяющей 17 учебных центров по всему миру, которая вместе с сетью региональных учебно-исследовательских центров ВЕСТПАК является ведущей в мире онлайновой учебно-образовательной платформой по подготовке специалистов-</w:t>
      </w:r>
      <w:proofErr w:type="spellStart"/>
      <w:r w:rsidRPr="00C44A91">
        <w:rPr>
          <w:rFonts w:cs="Arial"/>
          <w:szCs w:val="22"/>
          <w:lang w:val="ru-RU"/>
        </w:rPr>
        <w:t>мореведов</w:t>
      </w:r>
      <w:proofErr w:type="spellEnd"/>
      <w:r w:rsidRPr="00C44A91">
        <w:rPr>
          <w:rFonts w:cs="Arial"/>
          <w:szCs w:val="22"/>
          <w:lang w:val="ru-RU"/>
        </w:rPr>
        <w:t>.</w:t>
      </w:r>
      <w:r w:rsidRPr="00C44A91">
        <w:rPr>
          <w:rFonts w:cs="Arial"/>
          <w:color w:val="000000"/>
          <w:szCs w:val="22"/>
          <w:lang w:val="ru-RU"/>
        </w:rPr>
        <w:t xml:space="preserve"> Расширению возможностей МОК в области подготовки кадров способствовало также создание центров ЮНЕСКО категории 2 в Исламской Республике Иран, Индии и Исландии. </w:t>
      </w:r>
      <w:r w:rsidRPr="00C44A91">
        <w:rPr>
          <w:rFonts w:cs="Arial"/>
          <w:szCs w:val="22"/>
          <w:lang w:val="ru-RU"/>
        </w:rPr>
        <w:t xml:space="preserve">Наряду с этим по инициативе вышеупомянутой Группы экспертов МОК по развитию потенциала (ГЭМОК-РП) в настоящее время создается онлайновый справочник по тематике РП – банк данных в помощь заинтересованным лицам, в том числе начинающим специалистам, руководителям среднего звена, техническим работникам, сотрудникам государственных органов, педагогам и отдельным организациям, рассматривающим варианты повышения уровня своих знаний в области океанографии, такие как </w:t>
      </w:r>
      <w:r w:rsidRPr="00C44A91">
        <w:rPr>
          <w:rFonts w:cs="Arial"/>
          <w:szCs w:val="22"/>
          <w:lang w:val="ru-RU"/>
        </w:rPr>
        <w:lastRenderedPageBreak/>
        <w:t xml:space="preserve">курсы повышения квалификации, стипендии, гранты, стажировки, образовательные ресурсы, тренинги и т.д., предлагаемые по всему миру. </w:t>
      </w:r>
      <w:r w:rsidRPr="00C44A91">
        <w:rPr>
          <w:rFonts w:cs="Arial"/>
          <w:color w:val="000000"/>
          <w:szCs w:val="22"/>
          <w:lang w:val="ru-RU"/>
        </w:rPr>
        <w:t>Государства – члены Организации Объединенных Наций рассматривают МОК в качестве основного разработчика компонента «Наращивание потенциала» в рамках разработки нормативного документа по БПНЮ. Параллельно, в свете приближающегося завершения работы над соглашением по БПНЮ, МОК занимается созданием механизма, который будет способствовать обеспечению потребностей в области РП путем привлечения потенциальных доноров. Эта инициатива станет частью проекта ОДИС (функциональная область «В»), а в настоящее время осуществляется как проект МООД «</w:t>
      </w:r>
      <w:proofErr w:type="spellStart"/>
      <w:r w:rsidRPr="00C44A91">
        <w:rPr>
          <w:rFonts w:cs="Arial"/>
          <w:color w:val="000000"/>
          <w:szCs w:val="22"/>
          <w:lang w:val="ru-RU"/>
        </w:rPr>
        <w:t>Инфохаб</w:t>
      </w:r>
      <w:proofErr w:type="spellEnd"/>
      <w:r w:rsidRPr="00C44A91">
        <w:rPr>
          <w:rFonts w:cs="Arial"/>
          <w:color w:val="000000"/>
          <w:szCs w:val="22"/>
          <w:lang w:val="ru-RU"/>
        </w:rPr>
        <w:t>-Океан» (ИХО), призванный повсеместно упростить доступ к информации, данным и научным публикациям по тематике океанографии в интересах обеспечения хозяйственной деятельности и устойчивого развития. Реализация проекта «</w:t>
      </w:r>
      <w:proofErr w:type="spellStart"/>
      <w:r w:rsidRPr="00C44A91">
        <w:rPr>
          <w:rFonts w:cs="Arial"/>
          <w:color w:val="000000"/>
          <w:szCs w:val="22"/>
          <w:lang w:val="ru-RU"/>
        </w:rPr>
        <w:t>Инфохаб</w:t>
      </w:r>
      <w:proofErr w:type="spellEnd"/>
      <w:r w:rsidRPr="00C44A91">
        <w:rPr>
          <w:rFonts w:cs="Arial"/>
          <w:color w:val="000000"/>
          <w:szCs w:val="22"/>
          <w:lang w:val="ru-RU"/>
        </w:rPr>
        <w:t xml:space="preserve">-Океан» (ИХО) будет стимулировать создание и укрепление сети региональных и тематических центров, в том числе существующих информационно-справочных центров. На сегодняшний день создано уже три региональных платформы по обмену опытом (Африка, Латинская Америка и Карибский бассейн, МОСРГ региона Тихого океана). </w:t>
      </w:r>
      <w:r w:rsidRPr="00C44A91">
        <w:rPr>
          <w:rFonts w:cs="Arial"/>
          <w:szCs w:val="22"/>
          <w:lang w:val="ru-RU"/>
        </w:rPr>
        <w:t>Стратегия МОК в области развития потенциала, которая в настоящее время пересматривается Группой экспертов МОК по развитию потенциала (ГЭМОК-РП) и будет представлена на утверждение Ассамблее МОК в 2023 году, нацелена на обеспечение долгосрочного воздействия и устойчивости глобальных и региональных программ в области РП.</w:t>
      </w:r>
      <w:r w:rsidRPr="00C44A91">
        <w:rPr>
          <w:rFonts w:cs="Arial"/>
          <w:color w:val="000000"/>
          <w:szCs w:val="22"/>
          <w:lang w:val="ru-RU"/>
        </w:rPr>
        <w:t xml:space="preserve"> В ней предусматривается расширение масштабов деятельности по всем аспектам РП и создание условий для начала оказания государствам-членам, в первую очередь странам Африки, НРС и МОСРГ, практического содействия в данной области.</w:t>
      </w:r>
    </w:p>
    <w:p w14:paraId="184DA86F" w14:textId="77777777" w:rsidR="00C44A91" w:rsidRPr="00C44A91" w:rsidRDefault="00C44A91" w:rsidP="00C44A91">
      <w:pPr>
        <w:spacing w:after="240"/>
        <w:jc w:val="both"/>
        <w:rPr>
          <w:rFonts w:cs="Arial"/>
          <w:color w:val="000000"/>
          <w:szCs w:val="22"/>
          <w:lang w:val="ru-RU"/>
        </w:rPr>
      </w:pPr>
      <w:r w:rsidRPr="00C44A91">
        <w:rPr>
          <w:rFonts w:cs="Arial"/>
          <w:szCs w:val="22"/>
          <w:lang w:val="ru-RU"/>
        </w:rPr>
        <w:t>За последние пять лет МОК смогла коренным образом изменить отношение мирового сообщества к проблематике повышения грамотности в связанных с океаном вопросах (ПГО), создала специальную онлайновую платформу, разработала комплект методических руководств по этому вопросу, занимается продвижением данной темы на глобальном и региональном уровнях и активно участвует в фундаментально важной работе ЮНЕСКО, касающейся образования в интересах устойчивого развития.</w:t>
      </w:r>
      <w:r w:rsidRPr="00C44A91">
        <w:rPr>
          <w:rFonts w:cs="Arial"/>
          <w:color w:val="000000"/>
          <w:szCs w:val="22"/>
          <w:lang w:val="ru-RU"/>
        </w:rPr>
        <w:t xml:space="preserve"> </w:t>
      </w:r>
      <w:r w:rsidRPr="00C44A91">
        <w:rPr>
          <w:rFonts w:cs="Arial"/>
          <w:szCs w:val="22"/>
          <w:lang w:val="ru-RU"/>
        </w:rPr>
        <w:t>Знание того, чем океан является для людей и как люди влияют на его состояние, является необходимым условием для выстраивания более гармоничных отношений между человечеством и океаном.</w:t>
      </w:r>
      <w:r w:rsidRPr="00C44A91">
        <w:rPr>
          <w:rFonts w:cs="Arial"/>
          <w:color w:val="000000"/>
          <w:szCs w:val="22"/>
          <w:lang w:val="ru-RU"/>
        </w:rPr>
        <w:t xml:space="preserve"> Это направление работы полностью финансировалось за счет не всегда регулярных добровольных взносов. Усилия в этом направлении должны быть продолжены, получить более широкий охват и устойчивую финансовую поддержку.</w:t>
      </w:r>
    </w:p>
    <w:p w14:paraId="76436E0E" w14:textId="77777777" w:rsidR="00C44A91" w:rsidRPr="00C44A91" w:rsidRDefault="00C44A91" w:rsidP="00C44A91">
      <w:pPr>
        <w:pStyle w:val="Heading2"/>
        <w:spacing w:before="0"/>
        <w:rPr>
          <w:rFonts w:cs="Arial"/>
          <w:szCs w:val="22"/>
          <w:lang w:val="ru-RU"/>
        </w:rPr>
      </w:pPr>
      <w:bookmarkStart w:id="17" w:name="_Toc120748668"/>
      <w:r w:rsidRPr="00C44A91">
        <w:rPr>
          <w:rFonts w:cs="Arial"/>
          <w:szCs w:val="22"/>
          <w:lang w:val="ru-RU"/>
        </w:rPr>
        <w:t>Десятилетие, посвященное науке об океане</w:t>
      </w:r>
      <w:bookmarkEnd w:id="17"/>
    </w:p>
    <w:p w14:paraId="13E21715" w14:textId="77777777" w:rsidR="00C44A91" w:rsidRPr="00C44A91" w:rsidRDefault="00C0739D" w:rsidP="00C44A91">
      <w:pPr>
        <w:spacing w:after="240"/>
        <w:jc w:val="both"/>
        <w:rPr>
          <w:rFonts w:cs="Arial"/>
          <w:szCs w:val="22"/>
          <w:lang w:val="ru-RU"/>
        </w:rPr>
      </w:pPr>
      <w:sdt>
        <w:sdtPr>
          <w:rPr>
            <w:rFonts w:cs="Arial"/>
            <w:szCs w:val="22"/>
          </w:rPr>
          <w:tag w:val="goog_rdk_26"/>
          <w:id w:val="1947496177"/>
        </w:sdtPr>
        <w:sdtEndPr/>
        <w:sdtContent/>
      </w:sdt>
      <w:r w:rsidR="00C44A91" w:rsidRPr="00C44A91">
        <w:rPr>
          <w:rFonts w:cs="Arial"/>
          <w:szCs w:val="22"/>
          <w:lang w:val="ru-RU"/>
        </w:rPr>
        <w:t xml:space="preserve">В проведенной в 2021 году оценке стратегического позиционирования Межправительственной океанографической комиссии было отмечено, что </w:t>
      </w:r>
      <w:r w:rsidR="00C44A91" w:rsidRPr="00C44A91">
        <w:rPr>
          <w:rFonts w:cs="Arial"/>
          <w:i/>
          <w:iCs/>
          <w:szCs w:val="22"/>
          <w:lang w:val="ru-RU"/>
        </w:rPr>
        <w:t>«провозглашение Десятилетия Организации Объединенных Наций и решение Генеральной Ассамблеи Организации Объединенных Наций поручить координацию соответствующей деятельности МОК-ЮНЕСКО являются очевидным свидетельством доверия к МОК со стороны мирового сообщества. В качестве успешного примера общесистемного творческого подхода Десятилетие науки об океане предоставило уникальную возможность ускорить переход к модели неистощительного использования ресурсов океана, в которой учтена необходимость минимизации последствий климатических изменений и адаптации к ним, а также улучшения экологического состояния морской среды, в том числе его биоразнообразия, и устойчивого обеспечения ресурсами, включая продовольствие».</w:t>
      </w:r>
    </w:p>
    <w:p w14:paraId="639C4E2E" w14:textId="77777777" w:rsidR="00C44A91" w:rsidRPr="00C44A91" w:rsidRDefault="00C44A91" w:rsidP="00C44A91">
      <w:pPr>
        <w:spacing w:after="240"/>
        <w:jc w:val="both"/>
        <w:rPr>
          <w:rFonts w:cs="Arial"/>
          <w:szCs w:val="22"/>
          <w:lang w:val="ru-RU"/>
        </w:rPr>
      </w:pPr>
      <w:r w:rsidRPr="00C44A91">
        <w:rPr>
          <w:rFonts w:cs="Arial"/>
          <w:szCs w:val="22"/>
          <w:lang w:val="ru-RU"/>
        </w:rPr>
        <w:t xml:space="preserve">После трехлетнего подготовительного периода и почти двух лет непосредственного проведения, координируемого МОК, </w:t>
      </w:r>
      <w:r w:rsidRPr="00C44A91">
        <w:rPr>
          <w:rFonts w:cs="Arial"/>
          <w:i/>
          <w:szCs w:val="22"/>
          <w:lang w:val="ru-RU"/>
        </w:rPr>
        <w:t>Десятилетие науки об океане превратилось в крупнейшее мероприятие в истории морской науки</w:t>
      </w:r>
      <w:r w:rsidRPr="00C44A91">
        <w:rPr>
          <w:rFonts w:cs="Arial"/>
          <w:szCs w:val="22"/>
          <w:lang w:val="ru-RU"/>
        </w:rPr>
        <w:t>, план проведения которого включает 44 программы и почти 200 отдельных проектов, на реализацию которых удалось привлечь порядка 1</w:t>
      </w:r>
      <w:r>
        <w:rPr>
          <w:rFonts w:cs="Arial"/>
          <w:szCs w:val="22"/>
        </w:rPr>
        <w:t> </w:t>
      </w:r>
      <w:r w:rsidRPr="00C44A91">
        <w:rPr>
          <w:rFonts w:cs="Arial"/>
          <w:szCs w:val="22"/>
          <w:lang w:val="ru-RU"/>
        </w:rPr>
        <w:t>млрд.</w:t>
      </w:r>
      <w:r>
        <w:rPr>
          <w:rFonts w:cs="Arial"/>
          <w:szCs w:val="22"/>
        </w:rPr>
        <w:t> </w:t>
      </w:r>
      <w:r w:rsidRPr="00C44A91">
        <w:rPr>
          <w:rFonts w:cs="Arial"/>
          <w:szCs w:val="22"/>
          <w:lang w:val="ru-RU"/>
        </w:rPr>
        <w:t xml:space="preserve">долл. США. Кроме того, Десятилетие стало крупнейшим в истории механизмом совместного планирования глобальных морских научных исследований, ориентированных в первую очередь на практическое содействие реализации почти всего комплекса целей в области устойчивого развития. Обеспечив участие стран, объединение усилий регионов, </w:t>
      </w:r>
      <w:r w:rsidRPr="00C44A91">
        <w:rPr>
          <w:rFonts w:cs="Arial"/>
          <w:szCs w:val="22"/>
          <w:lang w:val="ru-RU"/>
        </w:rPr>
        <w:lastRenderedPageBreak/>
        <w:t>совместное использование научно-технических знаний и применение общих этических принципов, Десятилетие стало уникальной возможностью повысить будущую узнаваемость МОК и признание ее лидирующих позиций в рамках системы Организации Объединенных Наций и за ее пределами. Кроме того, оно существенно расширило возможности МОК в плане разработки и реализации новых программ и инициатив, которые будут дополнительно способствовать выполнению ею своих основных институциональных задач.</w:t>
      </w:r>
    </w:p>
    <w:p w14:paraId="7E701479" w14:textId="77777777" w:rsidR="00C44A91" w:rsidRPr="00C44A91" w:rsidRDefault="00C44A91" w:rsidP="00C44A91">
      <w:pPr>
        <w:spacing w:after="240"/>
        <w:jc w:val="both"/>
        <w:rPr>
          <w:rFonts w:cs="Arial"/>
          <w:szCs w:val="22"/>
          <w:lang w:val="ru-RU"/>
        </w:rPr>
      </w:pPr>
      <w:r w:rsidRPr="00C44A91">
        <w:rPr>
          <w:rFonts w:cs="Arial"/>
          <w:szCs w:val="22"/>
          <w:lang w:val="ru-RU"/>
        </w:rPr>
        <w:t>Тем не менее, Десятилетие несет в себе и определенные риски для МОК. Не являясь непреодолимыми, указанные риски должны быть приняты во внимание и находиться под постоянным контролем. Один из основных таких рисков заключается в том, что повсеместное повышение узнаваемости и привлекательности Десятилетия может привести к снижению ресурсной поддержки и внимания в отношении существующих программ МОК из-за объяснимого стремления доноров стать частью весьма узнаваемого глобального движения в поддержку Десятилетия. Второй серьезный риск связан с наличием у МОК потенциала обеспечить успешное и эффективное непрерывное расширение масштабов деятельности в рамках Десятилетия</w:t>
      </w:r>
      <w:r w:rsidRPr="00F943C5">
        <w:rPr>
          <w:rFonts w:cs="Arial"/>
          <w:szCs w:val="22"/>
          <w:vertAlign w:val="superscript"/>
        </w:rPr>
        <w:footnoteReference w:id="10"/>
      </w:r>
      <w:r w:rsidRPr="00C44A91">
        <w:rPr>
          <w:rFonts w:cs="Arial"/>
          <w:szCs w:val="22"/>
          <w:lang w:val="ru-RU"/>
        </w:rPr>
        <w:t>. Деятельность по координации проведения Десятилетия обеспечивается МОК главным образом за счет внебюджетных взносов, а основная часть сотрудников, занимающихся вопросами Десятилетия, имеет статус консультантов. Результатом этого являются высокий уровень текучести кадров и трудности с набором на стратегические должности наилучших из имеющихся кандидатов.</w:t>
      </w:r>
    </w:p>
    <w:p w14:paraId="2CCE5706" w14:textId="77777777" w:rsidR="00C44A91" w:rsidRPr="00C44A91" w:rsidRDefault="00C44A91" w:rsidP="00C44A91">
      <w:pPr>
        <w:spacing w:after="240"/>
        <w:jc w:val="both"/>
        <w:rPr>
          <w:rFonts w:cs="Arial"/>
          <w:szCs w:val="22"/>
          <w:lang w:val="ru-RU"/>
        </w:rPr>
      </w:pPr>
      <w:r w:rsidRPr="00C44A91">
        <w:rPr>
          <w:rFonts w:cs="Arial"/>
          <w:szCs w:val="22"/>
          <w:lang w:val="ru-RU"/>
        </w:rPr>
        <w:t>Существующие для МОК в контексте Десятилетия риски могут быть минимизированы, поскольку, как указывалось выше, между нынешними и будущими программными приоритетами МОК (ЦВУ и функциональные области) и стратегической целью, ожидаемыми результатами и десятью приоритетными задачами Десятилетия существует тесная взаимосвязанность и взаимодополняемость усилий. Участие МОК в программах и мероприятиях Десятилетия и возложенные на нее руководящие функции, а также вовлеченность в разработку и принятие решений о расширении масштабов новых мероприятий (соответствующих приоритетам и основным задачам МОК) в качестве вклада в проведение Десятилетия создает потенциальные возможности расширения в будущем масштабов собственной деятельности МОК как с точки зрения уровня и географического охвата, так и в плане финансовой поддержки на цели повышения уровня компетентности персонала и кадрового укрепления. Таким образом, долгосрочным эффектом Десятилетия могло бы стать укрепление потенциала, повышение авторитета и улучшение ресурсного обеспечения МОК. Для достижения этого эффекта внимание в рамках диалога МОК с потенциальными источниками финансирования должно обращаться на следующие аспекты: (</w:t>
      </w:r>
      <w:r w:rsidRPr="00F943C5">
        <w:rPr>
          <w:rFonts w:cs="Arial"/>
          <w:szCs w:val="22"/>
        </w:rPr>
        <w:t>i</w:t>
      </w:r>
      <w:r w:rsidRPr="00C44A91">
        <w:rPr>
          <w:rFonts w:cs="Arial"/>
          <w:szCs w:val="22"/>
          <w:lang w:val="ru-RU"/>
        </w:rPr>
        <w:t>)</w:t>
      </w:r>
      <w:r w:rsidRPr="00F943C5">
        <w:rPr>
          <w:rFonts w:cs="Arial"/>
          <w:szCs w:val="22"/>
        </w:rPr>
        <w:t> </w:t>
      </w:r>
      <w:r w:rsidRPr="00C44A91">
        <w:rPr>
          <w:rFonts w:cs="Arial"/>
          <w:szCs w:val="22"/>
          <w:lang w:val="ru-RU"/>
        </w:rPr>
        <w:t>взаимосвязь между успехом Десятилетия и масштабами будущей деятельности МОК; (</w:t>
      </w:r>
      <w:r w:rsidRPr="00F943C5">
        <w:rPr>
          <w:rFonts w:cs="Arial"/>
          <w:szCs w:val="22"/>
        </w:rPr>
        <w:t>ii</w:t>
      </w:r>
      <w:r w:rsidRPr="00C44A91">
        <w:rPr>
          <w:rFonts w:cs="Arial"/>
          <w:szCs w:val="22"/>
          <w:lang w:val="ru-RU"/>
        </w:rPr>
        <w:t>)</w:t>
      </w:r>
      <w:r w:rsidRPr="00F943C5">
        <w:rPr>
          <w:rFonts w:cs="Arial"/>
          <w:szCs w:val="22"/>
        </w:rPr>
        <w:t> </w:t>
      </w:r>
      <w:r w:rsidRPr="00C44A91">
        <w:rPr>
          <w:rFonts w:cs="Arial"/>
          <w:szCs w:val="22"/>
          <w:lang w:val="ru-RU"/>
        </w:rPr>
        <w:t>базовая инфраструктура и услуги, предоставляемые в рамках многих программ, мероприятий и проектов МОК, используются в интересах не только МОК, но и инициатив ее партнеров, нуждающихся в постоянной поддержке; (</w:t>
      </w:r>
      <w:r w:rsidRPr="00F943C5">
        <w:rPr>
          <w:rFonts w:cs="Arial"/>
          <w:szCs w:val="22"/>
        </w:rPr>
        <w:t>iii</w:t>
      </w:r>
      <w:r w:rsidRPr="00C44A91">
        <w:rPr>
          <w:rFonts w:cs="Arial"/>
          <w:szCs w:val="22"/>
          <w:lang w:val="ru-RU"/>
        </w:rPr>
        <w:t>) реальные потребности МОК в области координации проведения Десятилетия и потребности в поддержке связанных с МОК (и не связанных с ней) мероприятий, включенных в программу Десятилетия в течение следующих восьми лет.</w:t>
      </w:r>
    </w:p>
    <w:p w14:paraId="02ED5EC5" w14:textId="77777777" w:rsidR="00C44A91" w:rsidRPr="00C44A91" w:rsidRDefault="00C44A91" w:rsidP="001762E2">
      <w:pPr>
        <w:pStyle w:val="Heading2"/>
        <w:tabs>
          <w:tab w:val="clear" w:pos="567"/>
        </w:tabs>
        <w:spacing w:before="0"/>
        <w:ind w:left="0" w:firstLine="0"/>
        <w:rPr>
          <w:rFonts w:cs="Arial"/>
          <w:szCs w:val="22"/>
          <w:lang w:val="ru-RU"/>
        </w:rPr>
      </w:pPr>
      <w:bookmarkStart w:id="18" w:name="_Toc120748669"/>
      <w:r w:rsidRPr="00C44A91">
        <w:rPr>
          <w:rFonts w:cs="Arial"/>
          <w:szCs w:val="22"/>
          <w:lang w:val="ru-RU"/>
        </w:rPr>
        <w:t>Обеспечение максимальной эффективности поддержки, оказываемой МОК основным бенефициарам, посредством концентрации усилий на региональном и национальном уровнях</w:t>
      </w:r>
      <w:bookmarkEnd w:id="18"/>
    </w:p>
    <w:p w14:paraId="67595A05" w14:textId="77777777" w:rsidR="00C44A91" w:rsidRPr="00C44A91" w:rsidRDefault="00C44A91" w:rsidP="00C44A91">
      <w:pPr>
        <w:spacing w:after="240"/>
        <w:jc w:val="both"/>
        <w:rPr>
          <w:rFonts w:cs="Arial"/>
          <w:color w:val="000000"/>
          <w:szCs w:val="22"/>
          <w:lang w:val="ru-RU"/>
        </w:rPr>
      </w:pPr>
      <w:r w:rsidRPr="00C44A91">
        <w:rPr>
          <w:rFonts w:cs="Arial"/>
          <w:color w:val="000000"/>
          <w:szCs w:val="22"/>
          <w:lang w:val="ru-RU"/>
        </w:rPr>
        <w:t xml:space="preserve">Обеспечивая нормативную поддержку всех аспектов морской научно-исследовательской деятельности и будучи </w:t>
      </w:r>
      <w:proofErr w:type="spellStart"/>
      <w:r w:rsidRPr="00C44A91">
        <w:rPr>
          <w:rFonts w:cs="Arial"/>
          <w:color w:val="000000"/>
          <w:szCs w:val="22"/>
          <w:lang w:val="ru-RU"/>
        </w:rPr>
        <w:t>нормоустанавливающей</w:t>
      </w:r>
      <w:proofErr w:type="spellEnd"/>
      <w:r w:rsidRPr="00C44A91">
        <w:rPr>
          <w:rFonts w:cs="Arial"/>
          <w:color w:val="000000"/>
          <w:szCs w:val="22"/>
          <w:lang w:val="ru-RU"/>
        </w:rPr>
        <w:t xml:space="preserve"> организацией глобального уровня, МОК должна </w:t>
      </w:r>
      <w:r w:rsidRPr="00C44A91">
        <w:rPr>
          <w:rFonts w:cs="Arial"/>
          <w:color w:val="000000"/>
          <w:szCs w:val="22"/>
          <w:lang w:val="ru-RU"/>
        </w:rPr>
        <w:lastRenderedPageBreak/>
        <w:t xml:space="preserve">одновременно содействовать практической реализации положений глобальных программ и инициатив на местном, региональном и страновом уровнях, помогая таким образом своим государствам-членам. Такая работа на региональном уровне координируется через посредство региональных подкомиссий МОК (МОКАРИБ, МОКАФРИКА и ВЕСТПАК), располагающих своими бюро соответственно в Картахене (Колумбия), Найроби (Кения) и Бангкоке (Таиланд), а также с помощью Регионального комитета МОК для центральной части Индийского океана (ИОСИНДИО), который в настоящее время находится в процессе преобразования в полноценную региональную подкомиссию. Подкомиссия ВЕСТПАК разработала весьма насыщенную и масштабную программу действий, дополнительный импульс которой, скорее всего, придаст проводимое Десятилетие науки об океане, мероприятия которого будут координироваться специально созданным в ВЕСТПАК бюро по координации проведения Десятилетия. Государства – члены ВЕСТПАК предоставляют этой подкомиссии существенный объем внебюджетных средств. Африканский континент является одним из глобальных приоритетов ЮНЕСКО, а возможности для расширения масштабов деятельности МОКАФРИКА сегодня как никогда велики, на что указывается в разработанной недавно </w:t>
      </w:r>
      <w:r w:rsidRPr="00C44A91">
        <w:rPr>
          <w:rFonts w:cs="Arial"/>
          <w:i/>
          <w:color w:val="000000"/>
          <w:szCs w:val="22"/>
          <w:lang w:val="ru-RU"/>
        </w:rPr>
        <w:t>Дорожной карте проведения Десятилетия науки об океане в странах Африки</w:t>
      </w:r>
      <w:r w:rsidRPr="00C44A91">
        <w:rPr>
          <w:rFonts w:cs="Arial"/>
          <w:color w:val="000000"/>
          <w:szCs w:val="22"/>
          <w:lang w:val="ru-RU"/>
        </w:rPr>
        <w:t xml:space="preserve">, которая нуждается теперь в активном продвижении со стороны государств – членов МОКАФРИКА. Аналогичным образом начало проведения Десятилетия науки об океане было использовано МОКАРИБ для активного вовлечения своих государств-членов </w:t>
      </w:r>
      <w:proofErr w:type="gramStart"/>
      <w:r w:rsidRPr="00C44A91">
        <w:rPr>
          <w:rFonts w:cs="Arial"/>
          <w:color w:val="000000"/>
          <w:szCs w:val="22"/>
          <w:lang w:val="ru-RU"/>
        </w:rPr>
        <w:t>к работе по подготовке</w:t>
      </w:r>
      <w:proofErr w:type="gramEnd"/>
      <w:r w:rsidRPr="00C44A91">
        <w:rPr>
          <w:rFonts w:cs="Arial"/>
          <w:color w:val="000000"/>
          <w:szCs w:val="22"/>
          <w:lang w:val="ru-RU"/>
        </w:rPr>
        <w:t xml:space="preserve"> региональной программы действий подкомиссии.</w:t>
      </w:r>
    </w:p>
    <w:p w14:paraId="69DF6355" w14:textId="77777777" w:rsidR="00C44A91" w:rsidRPr="00C44A91" w:rsidRDefault="00C44A91" w:rsidP="00C44A91">
      <w:pPr>
        <w:spacing w:after="240"/>
        <w:jc w:val="both"/>
        <w:rPr>
          <w:rFonts w:cs="Arial"/>
          <w:szCs w:val="22"/>
          <w:lang w:val="ru-RU"/>
        </w:rPr>
      </w:pPr>
      <w:r w:rsidRPr="00C44A91">
        <w:rPr>
          <w:rFonts w:cs="Arial"/>
          <w:color w:val="000000"/>
          <w:szCs w:val="22"/>
          <w:lang w:val="ru-RU"/>
        </w:rPr>
        <w:t xml:space="preserve">Региональные подкомиссии активно участвуют в усилиях по реализации программ МОК. </w:t>
      </w:r>
      <w:r w:rsidRPr="00C44A91">
        <w:rPr>
          <w:rFonts w:cs="Arial"/>
          <w:szCs w:val="22"/>
          <w:lang w:val="ru-RU"/>
        </w:rPr>
        <w:t xml:space="preserve">Региональные альянсы ГСНО учитывают потребности соответствующих государств в своих региональных системах и предоставляют на региональном, национальном и глобальном уровнях преференциальные возможности, обеспечиваемые стратегией, структурой и программами ГСНО. В круглосуточном режиме функционируют четыре региональные системы оповещения о цунами. В рамках Десятилетия науки об океане осуществляется семь региональных проектов. Практическая работа в области морского пространственного планирования осуществляется на сегодня во всех частях мира. Ожидается дальнейшее расширение масштабов этой работы. Малые островные развивающиеся государства входят в число приоритетных групп МОК, на что прямо указывается в Среднесрочной стратегии МОК на </w:t>
      </w:r>
      <w:proofErr w:type="gramStart"/>
      <w:r w:rsidRPr="00C44A91">
        <w:rPr>
          <w:rFonts w:cs="Arial"/>
          <w:szCs w:val="22"/>
          <w:lang w:val="ru-RU"/>
        </w:rPr>
        <w:t>2022-2029</w:t>
      </w:r>
      <w:proofErr w:type="gramEnd"/>
      <w:r w:rsidRPr="00C44A91">
        <w:rPr>
          <w:rFonts w:cs="Arial"/>
          <w:szCs w:val="22"/>
          <w:lang w:val="ru-RU"/>
        </w:rPr>
        <w:t xml:space="preserve"> гг. Основными приоритетными направлениями работы МОК со странами МОСРГ являются вопросы безопасности, в частности обеспечение эффективной работы систем оповещения об угрозе цунами, а также проблематика неистощительного использования ресурсов океана. По линии ВПИК удалось достичь существенного прогресса в оценке и прогнозировании подъема уровня моря и его региональных колебаний. Для МОСРГ этот вопрос носит экзистенциальный характер. Помимо этого, МОК поддерживает прямые рабочие контакты с отделом малых островных развивающихся государств Сектора естественных наук ЮНЕСКО. Дополнительный охват некоторых регионов, в особенности Атлантического и Тихого океанов, обеспечивается благодаря программам партнерства, налаженного ими с другими организациями и альянсами.</w:t>
      </w:r>
    </w:p>
    <w:p w14:paraId="39F2ABD7" w14:textId="77777777" w:rsidR="00C44A91" w:rsidRPr="00C44A91" w:rsidRDefault="00C44A91" w:rsidP="00C44A91">
      <w:pPr>
        <w:spacing w:after="240"/>
        <w:jc w:val="both"/>
        <w:rPr>
          <w:rFonts w:cs="Arial"/>
          <w:color w:val="000000"/>
          <w:szCs w:val="22"/>
          <w:lang w:val="ru-RU"/>
        </w:rPr>
      </w:pPr>
      <w:r w:rsidRPr="00C44A91">
        <w:rPr>
          <w:rFonts w:cs="Arial"/>
          <w:szCs w:val="22"/>
          <w:lang w:val="ru-RU"/>
        </w:rPr>
        <w:t>Работа МОК в регионах требует серьезных усовершенствований, осуществление которых полностью зависит от наличия необходимых ресурсов. Так, например, и это отнюдь не исключение, деятельность по глобальному приоритету ЮНЕСКО «гендерное равенство» не обеспечена в МОК достаточными ресурсами, и это при том, что Комиссия ведет мониторинг ситуации с представленностью женщин и мужчин в мореведческой профессии по всему миру (с помощью ГДСО и своего информационного портала) и имеет возможность сообщить, что процентная доля женщин, работающих сегодня в сфере морских наук, выше аналогичного среднего показателя в сфере естественных наук.</w:t>
      </w:r>
      <w:r w:rsidRPr="00C44A91">
        <w:rPr>
          <w:rFonts w:cs="Arial"/>
          <w:color w:val="000000"/>
          <w:szCs w:val="22"/>
          <w:lang w:val="ru-RU"/>
        </w:rPr>
        <w:t xml:space="preserve"> </w:t>
      </w:r>
      <w:r w:rsidRPr="00C44A91">
        <w:rPr>
          <w:rFonts w:cs="Arial"/>
          <w:szCs w:val="22"/>
          <w:lang w:val="ru-RU"/>
        </w:rPr>
        <w:t xml:space="preserve">В одной из рекомендаций, сформулированных в выводах проведенной </w:t>
      </w:r>
      <w:r w:rsidRPr="00F943C5">
        <w:rPr>
          <w:rFonts w:cs="Arial"/>
          <w:szCs w:val="22"/>
        </w:rPr>
        <w:t>IOS</w:t>
      </w:r>
      <w:r w:rsidRPr="00C44A91">
        <w:rPr>
          <w:rFonts w:cs="Arial"/>
          <w:szCs w:val="22"/>
          <w:lang w:val="ru-RU"/>
        </w:rPr>
        <w:t xml:space="preserve"> в отношении МОК оценки, говорится о необходимости создания рабочей группы для разработки плана действий, с помощью которого можно было бы более эффективно продвигать принципы гендерного равенства в рамках Десятилетия науки об океане, в дополнение к уже запланированной разработке специальной программы по поощрению инициативного участия женщин в проведении Десятилетия.</w:t>
      </w:r>
    </w:p>
    <w:p w14:paraId="2DB72987" w14:textId="77777777" w:rsidR="00C44A91" w:rsidRPr="00C44A91" w:rsidRDefault="00C44A91" w:rsidP="00C44A91">
      <w:pPr>
        <w:spacing w:after="240"/>
        <w:jc w:val="both"/>
        <w:rPr>
          <w:rFonts w:cs="Arial"/>
          <w:color w:val="000000"/>
          <w:szCs w:val="22"/>
          <w:lang w:val="ru-RU"/>
        </w:rPr>
      </w:pPr>
      <w:r w:rsidRPr="00C44A91">
        <w:rPr>
          <w:rFonts w:cs="Arial"/>
          <w:color w:val="000000"/>
          <w:szCs w:val="22"/>
          <w:lang w:val="ru-RU"/>
        </w:rPr>
        <w:lastRenderedPageBreak/>
        <w:t>Обеспечение устойчивости морских экосистем требует мобилизации усилий людей всех поколений и самых разных слоев общества. МОК стремится активно задействовать в рамках проведения Десятилетия науки об океане потенциал и энергию начинающих специалистов-</w:t>
      </w:r>
      <w:proofErr w:type="spellStart"/>
      <w:r w:rsidRPr="00C44A91">
        <w:rPr>
          <w:rFonts w:cs="Arial"/>
          <w:color w:val="000000"/>
          <w:szCs w:val="22"/>
          <w:lang w:val="ru-RU"/>
        </w:rPr>
        <w:t>мореведов</w:t>
      </w:r>
      <w:proofErr w:type="spellEnd"/>
      <w:r w:rsidRPr="00C44A91">
        <w:rPr>
          <w:rFonts w:cs="Arial"/>
          <w:color w:val="000000"/>
          <w:szCs w:val="22"/>
          <w:lang w:val="ru-RU"/>
        </w:rPr>
        <w:t>, а также вовлечь в процесс поиска ответов на существующие проблемы носителей знаний коренных народов.</w:t>
      </w:r>
    </w:p>
    <w:p w14:paraId="66C0F263" w14:textId="77777777" w:rsidR="00C44A91" w:rsidRPr="00C44A91" w:rsidRDefault="00C44A91" w:rsidP="00C44A91">
      <w:pPr>
        <w:pStyle w:val="Heading2"/>
        <w:spacing w:before="0"/>
        <w:rPr>
          <w:rFonts w:cs="Arial"/>
          <w:szCs w:val="22"/>
          <w:lang w:val="ru-RU"/>
        </w:rPr>
      </w:pPr>
      <w:bookmarkStart w:id="19" w:name="_Toc120748670"/>
      <w:r w:rsidRPr="00C44A91">
        <w:rPr>
          <w:rFonts w:cs="Arial"/>
          <w:szCs w:val="22"/>
          <w:lang w:val="ru-RU"/>
        </w:rPr>
        <w:t>Информационно-пропагандистское обеспечение</w:t>
      </w:r>
      <w:bookmarkEnd w:id="19"/>
    </w:p>
    <w:p w14:paraId="131FB1B6" w14:textId="77777777" w:rsidR="00C44A91" w:rsidRPr="00C44A91" w:rsidRDefault="00C44A91" w:rsidP="00C44A91">
      <w:pPr>
        <w:spacing w:after="240"/>
        <w:jc w:val="both"/>
        <w:rPr>
          <w:rFonts w:cs="Arial"/>
          <w:color w:val="000000"/>
          <w:szCs w:val="22"/>
          <w:lang w:val="ru-RU"/>
        </w:rPr>
      </w:pPr>
      <w:r w:rsidRPr="00C44A91">
        <w:rPr>
          <w:rFonts w:cs="Arial"/>
          <w:color w:val="000000"/>
          <w:szCs w:val="22"/>
          <w:lang w:val="ru-RU"/>
        </w:rPr>
        <w:t xml:space="preserve">В последние годы, не располагая целевыми ВБС, МОК, тем не менее, смогла обеспечить финансирование деятельности, связанной с расширением информационно-пропагандистского аспекта своей работы. </w:t>
      </w:r>
      <w:r w:rsidRPr="00C44A91">
        <w:rPr>
          <w:rFonts w:cs="Arial"/>
          <w:szCs w:val="22"/>
          <w:lang w:val="ru-RU"/>
        </w:rPr>
        <w:t xml:space="preserve">Эти финансовые средства, изысканные за счет внутренних резервов, имели решающее значение для популяризации целей и задач МОК среди партнеров, заинтересованных сторон и финансирующих организаций. </w:t>
      </w:r>
      <w:r w:rsidRPr="00C44A91">
        <w:rPr>
          <w:rFonts w:cs="Arial"/>
          <w:color w:val="000000"/>
          <w:szCs w:val="22"/>
          <w:lang w:val="ru-RU"/>
        </w:rPr>
        <w:t>Провозглашение Десятилетия, посвященного науке об океане, само по себе стало результатом успешной популяризации деятельности МОК среди учреждений системы Организации Объединенных Наций. Активное и широкое участие в проведении Десятилетия в значительной степени было обеспечено благодаря информационно-пропагандистским усилиям. Кульминационным моментом этой работы стала поддержка, высказанная главами государств и правительств в ходе совещания высокого уровня представителей Альянса в поддержку Десятилетия науки об океане. Продолжение и расширение этой работы является для МОК обязательным условием реализации ее ЦВУ и стратегической цели Десятилетия.</w:t>
      </w:r>
    </w:p>
    <w:p w14:paraId="41F13C41" w14:textId="77777777" w:rsidR="00C44A91" w:rsidRPr="001762E2" w:rsidRDefault="00C44A91" w:rsidP="001762E2">
      <w:pPr>
        <w:pStyle w:val="Heading1"/>
        <w:numPr>
          <w:ilvl w:val="0"/>
          <w:numId w:val="19"/>
        </w:numPr>
        <w:spacing w:before="0"/>
        <w:ind w:left="567" w:hanging="567"/>
        <w:jc w:val="left"/>
        <w:rPr>
          <w:rFonts w:cs="Arial"/>
          <w:szCs w:val="22"/>
          <w:lang w:val="ru-RU"/>
        </w:rPr>
      </w:pPr>
      <w:bookmarkStart w:id="20" w:name="_Toc120748671"/>
      <w:r w:rsidRPr="001762E2">
        <w:rPr>
          <w:rFonts w:cs="Arial"/>
          <w:szCs w:val="22"/>
          <w:lang w:val="ru-RU"/>
        </w:rPr>
        <w:t>Сметная оценка необходимого ресурсного обеспечения</w:t>
      </w:r>
      <w:bookmarkEnd w:id="20"/>
    </w:p>
    <w:p w14:paraId="5EA158BC" w14:textId="77777777" w:rsidR="00C44A91" w:rsidRPr="00C44A91" w:rsidRDefault="00C44A91" w:rsidP="00C44A91">
      <w:pPr>
        <w:spacing w:after="240"/>
        <w:jc w:val="both"/>
        <w:rPr>
          <w:rFonts w:cs="Arial"/>
          <w:szCs w:val="22"/>
          <w:lang w:val="ru-RU"/>
        </w:rPr>
      </w:pPr>
      <w:r w:rsidRPr="00C44A91">
        <w:rPr>
          <w:rFonts w:cs="Arial"/>
          <w:szCs w:val="22"/>
          <w:lang w:val="ru-RU"/>
        </w:rPr>
        <w:t>Приведенные ниже аналитические выкладки были подготовлены с учетом потребностей го</w:t>
      </w:r>
      <w:r w:rsidRPr="00C44A91">
        <w:rPr>
          <w:rFonts w:cs="Arial"/>
          <w:szCs w:val="22"/>
          <w:lang w:val="ru-RU"/>
        </w:rPr>
        <w:softHyphen/>
        <w:t>су</w:t>
      </w:r>
      <w:r w:rsidRPr="00C44A91">
        <w:rPr>
          <w:rFonts w:cs="Arial"/>
          <w:szCs w:val="22"/>
          <w:lang w:val="ru-RU"/>
        </w:rPr>
        <w:softHyphen/>
        <w:t>дарств-членов, сформулированных в Среднесрочной стратегии МОК на 2022-2029 гг., в плане работы, представленном в Среднесрочной стратегии ЮНЕСК0 (41</w:t>
      </w:r>
      <w:r w:rsidRPr="00F943C5">
        <w:rPr>
          <w:rFonts w:cs="Arial"/>
          <w:szCs w:val="22"/>
        </w:rPr>
        <w:t> </w:t>
      </w:r>
      <w:r w:rsidRPr="00C44A91">
        <w:rPr>
          <w:rFonts w:cs="Arial"/>
          <w:szCs w:val="22"/>
          <w:lang w:val="ru-RU"/>
        </w:rPr>
        <w:t>С/4), включая планы структурных подразделений МОК, в частности ее программ и региональных органов, а также по итогам оценки потребностей в рамках осуществляемых по инициативе и под руководством Комиссии программ Десятилетия науки об океане и других инициатив, в которых участвует МОК. Кроме того, участвовавшая в подготовке оценки консалтинговая компания провела консультации с рядом имеющих отношение к деятельности МОК сторон, в том числе с представителями государств-членов, дабы убедиться в том, что потенциальные результаты деятельности, о которых говорится в разделе 3 настоящего документа, согласуются с представлениями на этот счет заинтересованных в деятельности МОК сторон. Существенные усилия были направлены на то, чтобы обеспечить внутреннюю непротиворечивость сметных расходов и их согласование в масштабах МОК.</w:t>
      </w:r>
    </w:p>
    <w:p w14:paraId="6ED61D4E" w14:textId="77777777" w:rsidR="00C44A91" w:rsidRPr="00C44A91" w:rsidRDefault="00C44A91" w:rsidP="00C44A91">
      <w:pPr>
        <w:spacing w:after="240"/>
        <w:jc w:val="both"/>
        <w:rPr>
          <w:rFonts w:cs="Arial"/>
          <w:szCs w:val="22"/>
          <w:lang w:val="ru-RU"/>
        </w:rPr>
      </w:pPr>
      <w:r w:rsidRPr="00C44A91">
        <w:rPr>
          <w:rFonts w:cs="Arial"/>
          <w:szCs w:val="22"/>
          <w:lang w:val="ru-RU"/>
        </w:rPr>
        <w:t>Первоначальная оценка была основана на результатах непосредственного обобщения и суммирования потребностей в ресурсах в разбивке по функциональным областям МОК и аспектам междисциплинарного характера на предмет определения числа требуемых должностей и объемов финансирования, необходимого для обеспечения соответствующих направлений деятельности. Для этой цели был разработан специальный вопросник, ответы на который были сначала подробно изучены консалтинговой компанией, а затем проанализированы группой руководящих сотрудников МОК. После этого прогнозные оценки были подвергнуты проверке путем сопоставления с тенденциями прошлых периодов на предмет структуры финансирования и фактической возможности реализации. Дополнительным уровнем проверки стало сравнение с использовавшимся в прошлые финансовые периоды значимым показателем соотношения между расходами на персонал и бюджетом на мероприятия для деятельности персонала. На основе вышеописанного подхода были сформулированы следующие основные выводы.</w:t>
      </w:r>
    </w:p>
    <w:p w14:paraId="272F2097" w14:textId="77777777" w:rsidR="00C44A91" w:rsidRPr="00C44A91" w:rsidRDefault="00C44A91" w:rsidP="00C44A91">
      <w:pPr>
        <w:spacing w:after="200"/>
        <w:jc w:val="both"/>
        <w:rPr>
          <w:rFonts w:cs="Arial"/>
          <w:szCs w:val="22"/>
          <w:lang w:val="ru-RU"/>
        </w:rPr>
      </w:pPr>
      <w:r w:rsidRPr="00C44A91">
        <w:rPr>
          <w:rFonts w:cs="Arial"/>
          <w:szCs w:val="22"/>
          <w:lang w:val="ru-RU"/>
        </w:rPr>
        <w:t xml:space="preserve">За исходный принят объем ассигнований, выделенных в рамках текущего двухгодичного бюджета (41 С/5) по линии ОП на выплату заработной платы, в сумме 9,4 млн. долл. для </w:t>
      </w:r>
      <w:r w:rsidRPr="00C44A91">
        <w:rPr>
          <w:rFonts w:cs="Arial"/>
          <w:szCs w:val="22"/>
          <w:lang w:val="ru-RU"/>
        </w:rPr>
        <w:lastRenderedPageBreak/>
        <w:t>28,5</w:t>
      </w:r>
      <w:r>
        <w:rPr>
          <w:rFonts w:cs="Arial"/>
          <w:szCs w:val="22"/>
        </w:rPr>
        <w:t> </w:t>
      </w:r>
      <w:r w:rsidRPr="00C44A91">
        <w:rPr>
          <w:rFonts w:cs="Arial"/>
          <w:szCs w:val="22"/>
          <w:lang w:val="ru-RU"/>
        </w:rPr>
        <w:t>штатных должностей в эквиваленте полной занятости (ЭПЗ). Бюджет на мероприятия по линии ОП составил 1,8 млн. долл.</w:t>
      </w:r>
      <w:r w:rsidRPr="00F943C5">
        <w:rPr>
          <w:rStyle w:val="FootnoteReference"/>
          <w:rFonts w:cs="Arial"/>
          <w:szCs w:val="22"/>
        </w:rPr>
        <w:footnoteReference w:id="11"/>
      </w:r>
    </w:p>
    <w:p w14:paraId="56020005" w14:textId="77777777" w:rsidR="00C44A91" w:rsidRPr="00C44A91" w:rsidRDefault="00C44A91" w:rsidP="00C44A91">
      <w:pPr>
        <w:spacing w:after="200"/>
        <w:jc w:val="both"/>
        <w:rPr>
          <w:rFonts w:cs="Arial"/>
          <w:szCs w:val="22"/>
          <w:lang w:val="ru-RU"/>
        </w:rPr>
      </w:pPr>
      <w:r w:rsidRPr="00C44A91">
        <w:rPr>
          <w:rFonts w:cs="Arial"/>
          <w:szCs w:val="22"/>
          <w:lang w:val="ru-RU"/>
        </w:rPr>
        <w:t xml:space="preserve">Текущий объем расходов МОК на заработную плату, необходимых для сохранения основного пакета мероприятий и проведения Десятилетия, составляет порядка 12,5 млн. долл. и включает как средства обычной программы, так и внебюджетные поступления (см. отчет о расходах за </w:t>
      </w:r>
      <w:proofErr w:type="gramStart"/>
      <w:r w:rsidRPr="00C44A91">
        <w:rPr>
          <w:rFonts w:cs="Arial"/>
          <w:szCs w:val="22"/>
          <w:lang w:val="ru-RU"/>
        </w:rPr>
        <w:t>2020-2021</w:t>
      </w:r>
      <w:proofErr w:type="gramEnd"/>
      <w:r w:rsidRPr="00C44A91">
        <w:rPr>
          <w:rFonts w:cs="Arial"/>
          <w:szCs w:val="22"/>
          <w:lang w:val="ru-RU"/>
        </w:rPr>
        <w:t xml:space="preserve"> гг.)</w:t>
      </w:r>
      <w:r w:rsidRPr="00F943C5">
        <w:rPr>
          <w:rStyle w:val="FootnoteReference"/>
          <w:rFonts w:cs="Arial"/>
          <w:szCs w:val="22"/>
        </w:rPr>
        <w:footnoteReference w:id="12"/>
      </w:r>
      <w:r w:rsidRPr="00C44A91">
        <w:rPr>
          <w:rFonts w:cs="Arial"/>
          <w:szCs w:val="22"/>
          <w:lang w:val="ru-RU"/>
        </w:rPr>
        <w:t>. Численность персонала, на который выделяются эти средства, составляет на сегодня около 60 человек (28,5 ЭПЗ, финансируемых по линии ОП, 28,1 ЭПЗ, финансируемых за счет ВБС, а также несколько временно прикомандированных сотрудников, учитываемых как взнос в натуральной форме).</w:t>
      </w:r>
    </w:p>
    <w:p w14:paraId="25C79E61" w14:textId="77777777" w:rsidR="00C44A91" w:rsidRPr="00C44A91" w:rsidRDefault="00C44A91" w:rsidP="00C44A91">
      <w:pPr>
        <w:spacing w:after="200"/>
        <w:jc w:val="both"/>
        <w:rPr>
          <w:rFonts w:cs="Arial"/>
          <w:szCs w:val="22"/>
          <w:lang w:val="ru-RU"/>
        </w:rPr>
      </w:pPr>
      <w:r w:rsidRPr="00C44A91">
        <w:rPr>
          <w:rFonts w:cs="Arial"/>
          <w:szCs w:val="22"/>
          <w:lang w:val="ru-RU"/>
        </w:rPr>
        <w:t>Что касается ресурсов, необходимых для покрытия выявленных возросших потребностей го</w:t>
      </w:r>
      <w:r w:rsidRPr="00C44A91">
        <w:rPr>
          <w:rFonts w:cs="Arial"/>
          <w:szCs w:val="22"/>
          <w:lang w:val="ru-RU"/>
        </w:rPr>
        <w:softHyphen/>
        <w:t xml:space="preserve">сударств-членов, то, по общему мнению группы руководящих сотрудников МОК, руководителей секций, руководителя группы по координации проведения Десятилетия и Исполнительного секретаря МОК, численность сотрудников, необходимых </w:t>
      </w:r>
      <w:r w:rsidRPr="00C44A91">
        <w:rPr>
          <w:rFonts w:cs="Arial"/>
          <w:szCs w:val="22"/>
          <w:u w:val="single"/>
          <w:lang w:val="ru-RU"/>
        </w:rPr>
        <w:t>в дополнение к штатному персоналу, финансируемому за счет бюджета ОП</w:t>
      </w:r>
      <w:r w:rsidRPr="00C44A91">
        <w:rPr>
          <w:rFonts w:cs="Arial"/>
          <w:szCs w:val="22"/>
          <w:lang w:val="ru-RU"/>
        </w:rPr>
        <w:t xml:space="preserve">, составляет 60 должностей. Таким образом, общая численность сотрудников МОК составит около 90 человек, </w:t>
      </w:r>
      <w:proofErr w:type="gramStart"/>
      <w:r w:rsidRPr="00C44A91">
        <w:rPr>
          <w:rFonts w:cs="Arial"/>
          <w:szCs w:val="22"/>
          <w:lang w:val="ru-RU"/>
        </w:rPr>
        <w:t>т.е.</w:t>
      </w:r>
      <w:proofErr w:type="gramEnd"/>
      <w:r w:rsidRPr="00C44A91">
        <w:rPr>
          <w:rFonts w:cs="Arial"/>
          <w:szCs w:val="22"/>
          <w:lang w:val="ru-RU"/>
        </w:rPr>
        <w:t xml:space="preserve"> примерно на 50% больше в сравнении с нынешней численностью. При этом ориентировочный двухгодичный фонд оплаты труда составит без учета ассигнований по линии ОП порядка 20 млн. долл. Расходы на укомплектование персоналом были определены исходя из стандартных расходов на персонал в документе 41</w:t>
      </w:r>
      <w:r w:rsidRPr="00F943C5">
        <w:rPr>
          <w:rFonts w:cs="Arial"/>
          <w:szCs w:val="22"/>
        </w:rPr>
        <w:t> C</w:t>
      </w:r>
      <w:r w:rsidRPr="00C44A91">
        <w:rPr>
          <w:rFonts w:cs="Arial"/>
          <w:szCs w:val="22"/>
          <w:lang w:val="ru-RU"/>
        </w:rPr>
        <w:t>/5 по средней ставке для требуемых классов должностей.</w:t>
      </w:r>
    </w:p>
    <w:p w14:paraId="7613AB8D" w14:textId="77777777" w:rsidR="00C44A91" w:rsidRPr="00C44A91" w:rsidRDefault="00C44A91" w:rsidP="00C44A91">
      <w:pPr>
        <w:spacing w:after="200"/>
        <w:jc w:val="both"/>
        <w:rPr>
          <w:rFonts w:cs="Arial"/>
          <w:szCs w:val="22"/>
          <w:lang w:val="ru-RU"/>
        </w:rPr>
      </w:pPr>
      <w:r w:rsidRPr="00C44A91">
        <w:rPr>
          <w:rFonts w:cs="Arial"/>
          <w:szCs w:val="22"/>
          <w:lang w:val="ru-RU"/>
        </w:rPr>
        <w:t>Наиболее существенное увеличение потребностей в ресурсах (30% от общего объема увеличения) приходится на функциональную область «В» (Управление системами/данными океанографических наблюдений), на деятельность, связанную с Десятилетием науки об океане, этот показатель составляет 15%, на функциональную область «</w:t>
      </w:r>
      <w:r w:rsidRPr="00F943C5">
        <w:rPr>
          <w:rFonts w:cs="Arial"/>
          <w:szCs w:val="22"/>
        </w:rPr>
        <w:t>F</w:t>
      </w:r>
      <w:r w:rsidRPr="00C44A91">
        <w:rPr>
          <w:rFonts w:cs="Arial"/>
          <w:szCs w:val="22"/>
          <w:lang w:val="ru-RU"/>
        </w:rPr>
        <w:t>» (Развитие потенциала, в том числе региональный аспект работы, к которому относятся Африка и МОСРГ) – 15%, и по 10% на функциональные области «С» (Раннее предупреждение и океанографическое обслуживание), «Е» (Рациональное хозяйствование и управление ресурсами), «А» (Морские научные исследования) и «</w:t>
      </w:r>
      <w:r w:rsidRPr="00F943C5">
        <w:rPr>
          <w:rFonts w:cs="Arial"/>
          <w:szCs w:val="22"/>
        </w:rPr>
        <w:t>D</w:t>
      </w:r>
      <w:r w:rsidRPr="00C44A91">
        <w:rPr>
          <w:rFonts w:cs="Arial"/>
          <w:szCs w:val="22"/>
          <w:lang w:val="ru-RU"/>
        </w:rPr>
        <w:t>» (Оценка состояния океана и информационное обеспечение политики).</w:t>
      </w:r>
    </w:p>
    <w:p w14:paraId="6BA948E4" w14:textId="77777777" w:rsidR="00C44A91" w:rsidRPr="00C44A91" w:rsidRDefault="00C44A91" w:rsidP="00C44A91">
      <w:pPr>
        <w:spacing w:after="200"/>
        <w:jc w:val="both"/>
        <w:rPr>
          <w:rFonts w:cs="Arial"/>
          <w:szCs w:val="22"/>
          <w:lang w:val="ru-RU"/>
        </w:rPr>
      </w:pPr>
      <w:r w:rsidRPr="00C44A91">
        <w:rPr>
          <w:rFonts w:cs="Arial"/>
          <w:szCs w:val="22"/>
          <w:lang w:val="ru-RU"/>
        </w:rPr>
        <w:t>Увеличение не связанных с персоналом расходов на мероприятия с целью расширения масштабов деятельности на фоне возросшего спроса со стороны государств-членов оценивается в сумму порядка 20 млн. долл.</w:t>
      </w:r>
    </w:p>
    <w:p w14:paraId="585E38A8" w14:textId="77777777" w:rsidR="00C44A91" w:rsidRPr="00C44A91" w:rsidRDefault="00C44A91" w:rsidP="00C44A91">
      <w:pPr>
        <w:spacing w:after="200"/>
        <w:jc w:val="both"/>
        <w:rPr>
          <w:rFonts w:cs="Arial"/>
          <w:szCs w:val="22"/>
          <w:lang w:val="ru-RU"/>
        </w:rPr>
      </w:pPr>
      <w:r w:rsidRPr="00C44A91">
        <w:rPr>
          <w:rFonts w:cs="Arial"/>
          <w:szCs w:val="22"/>
          <w:lang w:val="ru-RU"/>
        </w:rPr>
        <w:t xml:space="preserve">Ниже в таблице приводится сводная информация о предполагаемом количестве требуемых </w:t>
      </w:r>
      <w:r w:rsidRPr="00C44A91">
        <w:rPr>
          <w:rFonts w:cs="Arial"/>
          <w:szCs w:val="22"/>
          <w:u w:val="single"/>
          <w:lang w:val="ru-RU"/>
        </w:rPr>
        <w:t>дополнительно должностей и объемах необходимого для этого финансирования за счет ВБС</w:t>
      </w:r>
      <w:r w:rsidRPr="00C44A91">
        <w:rPr>
          <w:rFonts w:cs="Arial"/>
          <w:szCs w:val="22"/>
          <w:lang w:val="ru-RU"/>
        </w:rPr>
        <w:t xml:space="preserve"> (</w:t>
      </w:r>
      <w:proofErr w:type="gramStart"/>
      <w:r w:rsidRPr="00C44A91">
        <w:rPr>
          <w:rFonts w:cs="Arial"/>
          <w:szCs w:val="22"/>
          <w:lang w:val="ru-RU"/>
        </w:rPr>
        <w:t>т.е.</w:t>
      </w:r>
      <w:proofErr w:type="gramEnd"/>
      <w:r w:rsidRPr="00C44A91">
        <w:rPr>
          <w:rFonts w:cs="Arial"/>
          <w:szCs w:val="22"/>
          <w:lang w:val="ru-RU"/>
        </w:rPr>
        <w:t xml:space="preserve"> расходы на персонал и мероприятия, требуемые сверх ассигнований, предусмотренных в бюджете обычной программы (41 С/5)) с разбивкой по функциональным областям:</w:t>
      </w:r>
    </w:p>
    <w:p w14:paraId="31B0592D" w14:textId="2EA7F617" w:rsidR="00C44A91" w:rsidRPr="00C44A91" w:rsidRDefault="00C44A91" w:rsidP="00C44A91">
      <w:pPr>
        <w:pBdr>
          <w:bottom w:val="single" w:sz="4" w:space="1" w:color="auto"/>
        </w:pBdr>
        <w:ind w:right="266"/>
        <w:rPr>
          <w:rFonts w:cs="Arial"/>
          <w:sz w:val="18"/>
          <w:szCs w:val="18"/>
          <w:lang w:val="ru-RU"/>
        </w:rPr>
      </w:pPr>
      <w:r w:rsidRPr="00C44A91">
        <w:rPr>
          <w:rFonts w:cs="Arial"/>
          <w:sz w:val="18"/>
          <w:szCs w:val="18"/>
          <w:lang w:val="ru-RU"/>
        </w:rPr>
        <w:t>Функциональная область</w:t>
      </w:r>
      <w:r w:rsidRPr="00C44A91">
        <w:rPr>
          <w:rFonts w:cs="Arial"/>
          <w:sz w:val="18"/>
          <w:szCs w:val="18"/>
          <w:lang w:val="ru-RU"/>
        </w:rPr>
        <w:tab/>
      </w:r>
      <w:r w:rsidR="001762E2">
        <w:rPr>
          <w:rFonts w:cs="Arial"/>
          <w:sz w:val="18"/>
          <w:szCs w:val="18"/>
          <w:lang w:val="ru-RU"/>
        </w:rPr>
        <w:t xml:space="preserve">   </w:t>
      </w:r>
      <w:r w:rsidRPr="00C44A91">
        <w:rPr>
          <w:rFonts w:cs="Arial"/>
          <w:sz w:val="18"/>
          <w:szCs w:val="18"/>
          <w:lang w:val="ru-RU"/>
        </w:rPr>
        <w:t>Число должностей</w:t>
      </w:r>
      <w:r w:rsidRPr="00C44A91">
        <w:rPr>
          <w:rFonts w:cs="Arial"/>
          <w:sz w:val="18"/>
          <w:szCs w:val="18"/>
          <w:lang w:val="ru-RU"/>
        </w:rPr>
        <w:tab/>
      </w:r>
      <w:r w:rsidRPr="00C44A91">
        <w:rPr>
          <w:rFonts w:cs="Arial"/>
          <w:sz w:val="18"/>
          <w:szCs w:val="18"/>
          <w:lang w:val="ru-RU"/>
        </w:rPr>
        <w:tab/>
        <w:t xml:space="preserve">Общий объем требуемого финансирования </w:t>
      </w:r>
      <w:r w:rsidRPr="00C44A91">
        <w:rPr>
          <w:rFonts w:cs="Arial"/>
          <w:sz w:val="18"/>
          <w:szCs w:val="18"/>
          <w:lang w:val="ru-RU"/>
        </w:rPr>
        <w:br/>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001762E2">
        <w:rPr>
          <w:rFonts w:cs="Arial"/>
          <w:sz w:val="18"/>
          <w:szCs w:val="18"/>
          <w:lang w:val="ru-RU"/>
        </w:rPr>
        <w:t xml:space="preserve">      </w:t>
      </w:r>
      <w:r w:rsidRPr="00C44A91">
        <w:rPr>
          <w:rFonts w:cs="Arial"/>
          <w:sz w:val="18"/>
          <w:szCs w:val="18"/>
          <w:lang w:val="ru-RU"/>
        </w:rPr>
        <w:t>сверх ассигнований ОП (в долл. США)</w:t>
      </w:r>
    </w:p>
    <w:p w14:paraId="5559EC83" w14:textId="77777777" w:rsidR="00C44A91" w:rsidRPr="00C44A91" w:rsidRDefault="00C44A91" w:rsidP="00C44A91">
      <w:pPr>
        <w:jc w:val="both"/>
        <w:rPr>
          <w:rFonts w:cs="Arial"/>
          <w:sz w:val="18"/>
          <w:szCs w:val="18"/>
          <w:lang w:val="ru-RU"/>
        </w:rPr>
      </w:pPr>
      <w:r w:rsidRPr="005D4196">
        <w:rPr>
          <w:rFonts w:cs="Arial"/>
          <w:sz w:val="18"/>
          <w:szCs w:val="18"/>
        </w:rPr>
        <w:t>A</w:t>
      </w:r>
      <w:r w:rsidRPr="00C44A91">
        <w:rPr>
          <w:rFonts w:cs="Arial"/>
          <w:sz w:val="18"/>
          <w:szCs w:val="18"/>
          <w:lang w:val="ru-RU"/>
        </w:rPr>
        <w:tab/>
      </w:r>
      <w:r w:rsidRPr="00C44A91">
        <w:rPr>
          <w:rFonts w:cs="Arial"/>
          <w:sz w:val="18"/>
          <w:szCs w:val="18"/>
          <w:lang w:val="ru-RU"/>
        </w:rPr>
        <w:tab/>
        <w:t xml:space="preserve"> </w:t>
      </w:r>
      <w:r w:rsidRPr="00C44A91">
        <w:rPr>
          <w:rFonts w:cs="Arial"/>
          <w:sz w:val="18"/>
          <w:szCs w:val="18"/>
          <w:lang w:val="ru-RU"/>
        </w:rPr>
        <w:tab/>
      </w:r>
      <w:r w:rsidRPr="00C44A91">
        <w:rPr>
          <w:rFonts w:cs="Arial"/>
          <w:sz w:val="18"/>
          <w:szCs w:val="18"/>
          <w:lang w:val="ru-RU"/>
        </w:rPr>
        <w:tab/>
      </w:r>
      <w:proofErr w:type="gramStart"/>
      <w:r w:rsidRPr="00C44A91">
        <w:rPr>
          <w:rFonts w:cs="Arial"/>
          <w:sz w:val="18"/>
          <w:szCs w:val="18"/>
          <w:lang w:val="ru-RU"/>
        </w:rPr>
        <w:tab/>
        <w:t xml:space="preserve">  5</w:t>
      </w:r>
      <w:proofErr w:type="gramEnd"/>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t xml:space="preserve"> </w:t>
      </w:r>
      <w:r w:rsidRPr="00C44A91">
        <w:rPr>
          <w:rFonts w:cs="Arial"/>
          <w:sz w:val="18"/>
          <w:szCs w:val="18"/>
          <w:lang w:val="ru-RU"/>
        </w:rPr>
        <w:tab/>
        <w:t xml:space="preserve">  3</w:t>
      </w:r>
      <w:r w:rsidRPr="005D4196">
        <w:rPr>
          <w:rFonts w:cs="Arial"/>
          <w:sz w:val="18"/>
          <w:szCs w:val="18"/>
        </w:rPr>
        <w:t> </w:t>
      </w:r>
      <w:r w:rsidRPr="00C44A91">
        <w:rPr>
          <w:rFonts w:cs="Arial"/>
          <w:sz w:val="18"/>
          <w:szCs w:val="18"/>
          <w:lang w:val="ru-RU"/>
        </w:rPr>
        <w:t>000</w:t>
      </w:r>
      <w:r w:rsidRPr="005D4196">
        <w:rPr>
          <w:rFonts w:cs="Arial"/>
          <w:sz w:val="18"/>
          <w:szCs w:val="18"/>
        </w:rPr>
        <w:t> </w:t>
      </w:r>
      <w:r w:rsidRPr="00C44A91">
        <w:rPr>
          <w:rFonts w:cs="Arial"/>
          <w:sz w:val="18"/>
          <w:szCs w:val="18"/>
          <w:lang w:val="ru-RU"/>
        </w:rPr>
        <w:t>000</w:t>
      </w:r>
    </w:p>
    <w:p w14:paraId="75D33D45" w14:textId="77777777" w:rsidR="00C44A91" w:rsidRPr="00C44A91" w:rsidRDefault="00C44A91" w:rsidP="00C44A91">
      <w:pPr>
        <w:jc w:val="both"/>
        <w:rPr>
          <w:rFonts w:cs="Arial"/>
          <w:sz w:val="18"/>
          <w:szCs w:val="18"/>
          <w:lang w:val="ru-RU"/>
        </w:rPr>
      </w:pPr>
      <w:r w:rsidRPr="005D4196">
        <w:rPr>
          <w:rFonts w:cs="Arial"/>
          <w:sz w:val="18"/>
          <w:szCs w:val="18"/>
        </w:rPr>
        <w:t>B</w:t>
      </w:r>
      <w:r w:rsidRPr="00C44A91">
        <w:rPr>
          <w:rFonts w:cs="Arial"/>
          <w:sz w:val="18"/>
          <w:szCs w:val="18"/>
          <w:lang w:val="ru-RU"/>
        </w:rPr>
        <w:tab/>
      </w:r>
      <w:r w:rsidRPr="00C44A91">
        <w:rPr>
          <w:rFonts w:cs="Arial"/>
          <w:sz w:val="18"/>
          <w:szCs w:val="18"/>
          <w:lang w:val="ru-RU"/>
        </w:rPr>
        <w:tab/>
        <w:t xml:space="preserve"> </w:t>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t>19</w:t>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t>12</w:t>
      </w:r>
      <w:r w:rsidRPr="005D4196">
        <w:rPr>
          <w:rFonts w:cs="Arial"/>
          <w:sz w:val="18"/>
          <w:szCs w:val="18"/>
        </w:rPr>
        <w:t> </w:t>
      </w:r>
      <w:r w:rsidRPr="00C44A91">
        <w:rPr>
          <w:rFonts w:cs="Arial"/>
          <w:sz w:val="18"/>
          <w:szCs w:val="18"/>
          <w:lang w:val="ru-RU"/>
        </w:rPr>
        <w:t>000</w:t>
      </w:r>
      <w:r w:rsidRPr="005D4196">
        <w:rPr>
          <w:rFonts w:cs="Arial"/>
          <w:sz w:val="18"/>
          <w:szCs w:val="18"/>
        </w:rPr>
        <w:t> </w:t>
      </w:r>
      <w:r w:rsidRPr="00C44A91">
        <w:rPr>
          <w:rFonts w:cs="Arial"/>
          <w:sz w:val="18"/>
          <w:szCs w:val="18"/>
          <w:lang w:val="ru-RU"/>
        </w:rPr>
        <w:t>000</w:t>
      </w:r>
    </w:p>
    <w:p w14:paraId="43E27E8C" w14:textId="77777777" w:rsidR="00C44A91" w:rsidRPr="00C44A91" w:rsidRDefault="00C44A91" w:rsidP="00C44A91">
      <w:pPr>
        <w:jc w:val="both"/>
        <w:rPr>
          <w:rFonts w:cs="Arial"/>
          <w:sz w:val="18"/>
          <w:szCs w:val="18"/>
          <w:lang w:val="ru-RU"/>
        </w:rPr>
      </w:pPr>
      <w:r w:rsidRPr="005D4196">
        <w:rPr>
          <w:rFonts w:cs="Arial"/>
          <w:sz w:val="18"/>
          <w:szCs w:val="18"/>
        </w:rPr>
        <w:t>C</w:t>
      </w:r>
      <w:r w:rsidRPr="00C44A91">
        <w:rPr>
          <w:rFonts w:cs="Arial"/>
          <w:sz w:val="18"/>
          <w:szCs w:val="18"/>
          <w:lang w:val="ru-RU"/>
        </w:rPr>
        <w:tab/>
      </w:r>
      <w:r w:rsidRPr="00C44A91">
        <w:rPr>
          <w:rFonts w:cs="Arial"/>
          <w:sz w:val="18"/>
          <w:szCs w:val="18"/>
          <w:lang w:val="ru-RU"/>
        </w:rPr>
        <w:tab/>
        <w:t xml:space="preserve"> </w:t>
      </w:r>
      <w:r w:rsidRPr="00C44A91">
        <w:rPr>
          <w:rFonts w:cs="Arial"/>
          <w:sz w:val="18"/>
          <w:szCs w:val="18"/>
          <w:lang w:val="ru-RU"/>
        </w:rPr>
        <w:tab/>
      </w:r>
      <w:r w:rsidRPr="00C44A91">
        <w:rPr>
          <w:rFonts w:cs="Arial"/>
          <w:sz w:val="18"/>
          <w:szCs w:val="18"/>
          <w:lang w:val="ru-RU"/>
        </w:rPr>
        <w:tab/>
      </w:r>
      <w:proofErr w:type="gramStart"/>
      <w:r w:rsidRPr="00C44A91">
        <w:rPr>
          <w:rFonts w:cs="Arial"/>
          <w:sz w:val="18"/>
          <w:szCs w:val="18"/>
          <w:lang w:val="ru-RU"/>
        </w:rPr>
        <w:tab/>
        <w:t xml:space="preserve">  7</w:t>
      </w:r>
      <w:proofErr w:type="gramEnd"/>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t xml:space="preserve">  8</w:t>
      </w:r>
      <w:r w:rsidRPr="005D4196">
        <w:rPr>
          <w:rFonts w:cs="Arial"/>
          <w:sz w:val="18"/>
          <w:szCs w:val="18"/>
        </w:rPr>
        <w:t> </w:t>
      </w:r>
      <w:r w:rsidRPr="00C44A91">
        <w:rPr>
          <w:rFonts w:cs="Arial"/>
          <w:sz w:val="18"/>
          <w:szCs w:val="18"/>
          <w:lang w:val="ru-RU"/>
        </w:rPr>
        <w:t>000</w:t>
      </w:r>
      <w:r w:rsidRPr="005D4196">
        <w:rPr>
          <w:rFonts w:cs="Arial"/>
          <w:sz w:val="18"/>
          <w:szCs w:val="18"/>
        </w:rPr>
        <w:t> </w:t>
      </w:r>
      <w:r w:rsidRPr="00C44A91">
        <w:rPr>
          <w:rFonts w:cs="Arial"/>
          <w:sz w:val="18"/>
          <w:szCs w:val="18"/>
          <w:lang w:val="ru-RU"/>
        </w:rPr>
        <w:t>000</w:t>
      </w:r>
    </w:p>
    <w:p w14:paraId="631D8BB6" w14:textId="77777777" w:rsidR="00C44A91" w:rsidRPr="00C44A91" w:rsidRDefault="00C44A91" w:rsidP="00C44A91">
      <w:pPr>
        <w:jc w:val="both"/>
        <w:rPr>
          <w:rFonts w:cs="Arial"/>
          <w:sz w:val="18"/>
          <w:szCs w:val="18"/>
          <w:lang w:val="ru-RU"/>
        </w:rPr>
      </w:pPr>
      <w:r w:rsidRPr="005D4196">
        <w:rPr>
          <w:rFonts w:cs="Arial"/>
          <w:sz w:val="18"/>
          <w:szCs w:val="18"/>
        </w:rPr>
        <w:t>D</w:t>
      </w:r>
      <w:r w:rsidRPr="00C44A91">
        <w:rPr>
          <w:rFonts w:cs="Arial"/>
          <w:sz w:val="18"/>
          <w:szCs w:val="18"/>
          <w:lang w:val="ru-RU"/>
        </w:rPr>
        <w:tab/>
      </w:r>
      <w:r w:rsidRPr="00C44A91">
        <w:rPr>
          <w:rFonts w:cs="Arial"/>
          <w:sz w:val="18"/>
          <w:szCs w:val="18"/>
          <w:lang w:val="ru-RU"/>
        </w:rPr>
        <w:tab/>
        <w:t xml:space="preserve"> </w:t>
      </w:r>
      <w:r w:rsidRPr="00C44A91">
        <w:rPr>
          <w:rFonts w:cs="Arial"/>
          <w:sz w:val="18"/>
          <w:szCs w:val="18"/>
          <w:lang w:val="ru-RU"/>
        </w:rPr>
        <w:tab/>
      </w:r>
      <w:r w:rsidRPr="00C44A91">
        <w:rPr>
          <w:rFonts w:cs="Arial"/>
          <w:sz w:val="18"/>
          <w:szCs w:val="18"/>
          <w:lang w:val="ru-RU"/>
        </w:rPr>
        <w:tab/>
      </w:r>
      <w:proofErr w:type="gramStart"/>
      <w:r w:rsidRPr="00C44A91">
        <w:rPr>
          <w:rFonts w:cs="Arial"/>
          <w:sz w:val="18"/>
          <w:szCs w:val="18"/>
          <w:lang w:val="ru-RU"/>
        </w:rPr>
        <w:tab/>
        <w:t xml:space="preserve">  5</w:t>
      </w:r>
      <w:proofErr w:type="gramEnd"/>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t xml:space="preserve">  2</w:t>
      </w:r>
      <w:r w:rsidRPr="005D4196">
        <w:rPr>
          <w:rFonts w:cs="Arial"/>
          <w:sz w:val="18"/>
          <w:szCs w:val="18"/>
        </w:rPr>
        <w:t> </w:t>
      </w:r>
      <w:r w:rsidRPr="00C44A91">
        <w:rPr>
          <w:rFonts w:cs="Arial"/>
          <w:sz w:val="18"/>
          <w:szCs w:val="18"/>
          <w:lang w:val="ru-RU"/>
        </w:rPr>
        <w:t>000</w:t>
      </w:r>
      <w:r w:rsidRPr="005D4196">
        <w:rPr>
          <w:rFonts w:cs="Arial"/>
          <w:sz w:val="18"/>
          <w:szCs w:val="18"/>
        </w:rPr>
        <w:t> </w:t>
      </w:r>
      <w:r w:rsidRPr="00C44A91">
        <w:rPr>
          <w:rFonts w:cs="Arial"/>
          <w:sz w:val="18"/>
          <w:szCs w:val="18"/>
          <w:lang w:val="ru-RU"/>
        </w:rPr>
        <w:t>000</w:t>
      </w:r>
    </w:p>
    <w:p w14:paraId="7F85B090" w14:textId="77777777" w:rsidR="00C44A91" w:rsidRPr="00C44A91" w:rsidRDefault="00C44A91" w:rsidP="00C44A91">
      <w:pPr>
        <w:jc w:val="both"/>
        <w:rPr>
          <w:rFonts w:cs="Arial"/>
          <w:sz w:val="18"/>
          <w:szCs w:val="18"/>
          <w:lang w:val="ru-RU"/>
        </w:rPr>
      </w:pPr>
      <w:r w:rsidRPr="005D4196">
        <w:rPr>
          <w:rFonts w:cs="Arial"/>
          <w:sz w:val="18"/>
          <w:szCs w:val="18"/>
        </w:rPr>
        <w:t>E</w:t>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proofErr w:type="gramStart"/>
      <w:r w:rsidRPr="00C44A91">
        <w:rPr>
          <w:rFonts w:cs="Arial"/>
          <w:sz w:val="18"/>
          <w:szCs w:val="18"/>
          <w:lang w:val="ru-RU"/>
        </w:rPr>
        <w:tab/>
        <w:t xml:space="preserve">  6</w:t>
      </w:r>
      <w:proofErr w:type="gramEnd"/>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t xml:space="preserve">  4</w:t>
      </w:r>
      <w:r w:rsidRPr="005D4196">
        <w:rPr>
          <w:rFonts w:cs="Arial"/>
          <w:sz w:val="18"/>
          <w:szCs w:val="18"/>
        </w:rPr>
        <w:t> </w:t>
      </w:r>
      <w:r w:rsidRPr="00C44A91">
        <w:rPr>
          <w:rFonts w:cs="Arial"/>
          <w:sz w:val="18"/>
          <w:szCs w:val="18"/>
          <w:lang w:val="ru-RU"/>
        </w:rPr>
        <w:t>000</w:t>
      </w:r>
      <w:r w:rsidRPr="005D4196">
        <w:rPr>
          <w:rFonts w:cs="Arial"/>
          <w:sz w:val="18"/>
          <w:szCs w:val="18"/>
        </w:rPr>
        <w:t> </w:t>
      </w:r>
      <w:r w:rsidRPr="00C44A91">
        <w:rPr>
          <w:rFonts w:cs="Arial"/>
          <w:sz w:val="18"/>
          <w:szCs w:val="18"/>
          <w:lang w:val="ru-RU"/>
        </w:rPr>
        <w:t>000</w:t>
      </w:r>
    </w:p>
    <w:p w14:paraId="46D37049" w14:textId="77777777" w:rsidR="00C44A91" w:rsidRPr="00C44A91" w:rsidRDefault="00C44A91" w:rsidP="00C44A91">
      <w:pPr>
        <w:jc w:val="both"/>
        <w:rPr>
          <w:rFonts w:cs="Arial"/>
          <w:sz w:val="18"/>
          <w:szCs w:val="18"/>
          <w:lang w:val="ru-RU"/>
        </w:rPr>
      </w:pPr>
      <w:r w:rsidRPr="005D4196">
        <w:rPr>
          <w:rFonts w:cs="Arial"/>
          <w:sz w:val="18"/>
          <w:szCs w:val="18"/>
        </w:rPr>
        <w:t>F</w:t>
      </w:r>
      <w:r w:rsidRPr="00C44A91">
        <w:rPr>
          <w:rFonts w:cs="Arial"/>
          <w:sz w:val="18"/>
          <w:szCs w:val="18"/>
          <w:lang w:val="ru-RU"/>
        </w:rPr>
        <w:tab/>
      </w:r>
      <w:r w:rsidRPr="00C44A91">
        <w:rPr>
          <w:rFonts w:cs="Arial"/>
          <w:sz w:val="18"/>
          <w:szCs w:val="18"/>
          <w:lang w:val="ru-RU"/>
        </w:rPr>
        <w:tab/>
        <w:t xml:space="preserve"> </w:t>
      </w:r>
      <w:r w:rsidRPr="00C44A91">
        <w:rPr>
          <w:rFonts w:cs="Arial"/>
          <w:sz w:val="18"/>
          <w:szCs w:val="18"/>
          <w:lang w:val="ru-RU"/>
        </w:rPr>
        <w:tab/>
      </w:r>
      <w:r w:rsidRPr="00C44A91">
        <w:rPr>
          <w:rFonts w:cs="Arial"/>
          <w:sz w:val="18"/>
          <w:szCs w:val="18"/>
          <w:lang w:val="ru-RU"/>
        </w:rPr>
        <w:tab/>
      </w:r>
      <w:proofErr w:type="gramStart"/>
      <w:r w:rsidRPr="00C44A91">
        <w:rPr>
          <w:rFonts w:cs="Arial"/>
          <w:sz w:val="18"/>
          <w:szCs w:val="18"/>
          <w:lang w:val="ru-RU"/>
        </w:rPr>
        <w:tab/>
        <w:t xml:space="preserve">  8</w:t>
      </w:r>
      <w:proofErr w:type="gramEnd"/>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t xml:space="preserve">  5</w:t>
      </w:r>
      <w:r w:rsidRPr="005D4196">
        <w:rPr>
          <w:rFonts w:cs="Arial"/>
          <w:sz w:val="18"/>
          <w:szCs w:val="18"/>
        </w:rPr>
        <w:t> </w:t>
      </w:r>
      <w:r w:rsidRPr="00C44A91">
        <w:rPr>
          <w:rFonts w:cs="Arial"/>
          <w:sz w:val="18"/>
          <w:szCs w:val="18"/>
          <w:lang w:val="ru-RU"/>
        </w:rPr>
        <w:t>000</w:t>
      </w:r>
      <w:r w:rsidRPr="005D4196">
        <w:rPr>
          <w:rFonts w:cs="Arial"/>
          <w:sz w:val="18"/>
          <w:szCs w:val="18"/>
        </w:rPr>
        <w:t> </w:t>
      </w:r>
      <w:r w:rsidRPr="00C44A91">
        <w:rPr>
          <w:rFonts w:cs="Arial"/>
          <w:sz w:val="18"/>
          <w:szCs w:val="18"/>
          <w:lang w:val="ru-RU"/>
        </w:rPr>
        <w:t>000</w:t>
      </w:r>
    </w:p>
    <w:p w14:paraId="3887709E" w14:textId="7C989F2D" w:rsidR="00C44A91" w:rsidRPr="00C44A91" w:rsidRDefault="00C44A91" w:rsidP="00C44A91">
      <w:pPr>
        <w:ind w:right="227"/>
        <w:jc w:val="both"/>
        <w:rPr>
          <w:rFonts w:cs="Arial"/>
          <w:sz w:val="18"/>
          <w:szCs w:val="18"/>
          <w:lang w:val="ru-RU"/>
        </w:rPr>
      </w:pPr>
      <w:r w:rsidRPr="00C44A91">
        <w:rPr>
          <w:rFonts w:cs="Arial"/>
          <w:sz w:val="18"/>
          <w:szCs w:val="18"/>
          <w:lang w:val="ru-RU"/>
        </w:rPr>
        <w:t>Десятилетие</w:t>
      </w:r>
      <w:r w:rsidRPr="00C44A91">
        <w:rPr>
          <w:rFonts w:cs="Arial"/>
          <w:sz w:val="18"/>
          <w:szCs w:val="18"/>
          <w:lang w:val="ru-RU"/>
        </w:rPr>
        <w:tab/>
      </w:r>
      <w:r w:rsidRPr="00C44A91">
        <w:rPr>
          <w:rFonts w:cs="Arial"/>
          <w:sz w:val="18"/>
          <w:szCs w:val="18"/>
          <w:lang w:val="ru-RU"/>
        </w:rPr>
        <w:tab/>
        <w:t xml:space="preserve"> </w:t>
      </w:r>
      <w:r w:rsidRPr="00C44A91">
        <w:rPr>
          <w:rFonts w:cs="Arial"/>
          <w:sz w:val="18"/>
          <w:szCs w:val="18"/>
          <w:lang w:val="ru-RU"/>
        </w:rPr>
        <w:tab/>
        <w:t>10</w:t>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r>
      <w:proofErr w:type="gramStart"/>
      <w:r w:rsidRPr="00C44A91">
        <w:rPr>
          <w:rFonts w:cs="Arial"/>
          <w:sz w:val="18"/>
          <w:szCs w:val="18"/>
          <w:lang w:val="ru-RU"/>
        </w:rPr>
        <w:tab/>
        <w:t xml:space="preserve">  6</w:t>
      </w:r>
      <w:proofErr w:type="gramEnd"/>
      <w:r w:rsidRPr="005D4196">
        <w:rPr>
          <w:rFonts w:cs="Arial"/>
          <w:sz w:val="18"/>
          <w:szCs w:val="18"/>
        </w:rPr>
        <w:t> </w:t>
      </w:r>
      <w:r w:rsidRPr="00C44A91">
        <w:rPr>
          <w:rFonts w:cs="Arial"/>
          <w:sz w:val="18"/>
          <w:szCs w:val="18"/>
          <w:lang w:val="ru-RU"/>
        </w:rPr>
        <w:t>000</w:t>
      </w:r>
      <w:r w:rsidRPr="005D4196">
        <w:rPr>
          <w:rFonts w:cs="Arial"/>
          <w:sz w:val="18"/>
          <w:szCs w:val="18"/>
        </w:rPr>
        <w:t> </w:t>
      </w:r>
      <w:r w:rsidRPr="00C44A91">
        <w:rPr>
          <w:rFonts w:cs="Arial"/>
          <w:sz w:val="18"/>
          <w:szCs w:val="18"/>
          <w:lang w:val="ru-RU"/>
        </w:rPr>
        <w:t>000</w:t>
      </w:r>
    </w:p>
    <w:p w14:paraId="3EF83DE8" w14:textId="08FABF0B" w:rsidR="00C44A91" w:rsidRPr="00C44A91" w:rsidRDefault="00C44A91" w:rsidP="00C44A91">
      <w:pPr>
        <w:pBdr>
          <w:top w:val="single" w:sz="4" w:space="1" w:color="auto"/>
          <w:bottom w:val="single" w:sz="4" w:space="1" w:color="auto"/>
        </w:pBdr>
        <w:tabs>
          <w:tab w:val="left" w:pos="1985"/>
          <w:tab w:val="left" w:pos="2552"/>
        </w:tabs>
        <w:ind w:right="225" w:hanging="2"/>
        <w:rPr>
          <w:rFonts w:cs="Arial"/>
          <w:b/>
          <w:sz w:val="18"/>
          <w:szCs w:val="18"/>
          <w:lang w:val="ru-RU"/>
        </w:rPr>
      </w:pPr>
      <w:r w:rsidRPr="00C44A91">
        <w:rPr>
          <w:rFonts w:cs="Arial"/>
          <w:b/>
          <w:sz w:val="18"/>
          <w:szCs w:val="18"/>
          <w:lang w:val="ru-RU"/>
        </w:rPr>
        <w:t xml:space="preserve">Итого </w:t>
      </w:r>
      <w:r w:rsidRPr="00C44A91">
        <w:rPr>
          <w:rFonts w:cs="Arial"/>
          <w:b/>
          <w:sz w:val="18"/>
          <w:szCs w:val="18"/>
          <w:lang w:val="ru-RU"/>
        </w:rPr>
        <w:tab/>
        <w:t xml:space="preserve">          </w:t>
      </w:r>
      <w:r w:rsidR="001762E2">
        <w:rPr>
          <w:rFonts w:cs="Arial"/>
          <w:b/>
          <w:sz w:val="18"/>
          <w:szCs w:val="18"/>
          <w:lang w:val="ru-RU"/>
        </w:rPr>
        <w:t xml:space="preserve">                             </w:t>
      </w:r>
      <w:r w:rsidRPr="00C44A91">
        <w:rPr>
          <w:rFonts w:cs="Arial"/>
          <w:b/>
          <w:sz w:val="18"/>
          <w:szCs w:val="18"/>
          <w:lang w:val="ru-RU"/>
        </w:rPr>
        <w:t xml:space="preserve">   </w:t>
      </w:r>
      <w:r w:rsidR="001A66EE">
        <w:rPr>
          <w:rFonts w:cs="Arial"/>
          <w:b/>
          <w:sz w:val="18"/>
          <w:szCs w:val="18"/>
          <w:lang w:val="ru-RU"/>
        </w:rPr>
        <w:t xml:space="preserve">     </w:t>
      </w:r>
      <w:r w:rsidRPr="00C44A91">
        <w:rPr>
          <w:rFonts w:cs="Arial"/>
          <w:b/>
          <w:sz w:val="18"/>
          <w:szCs w:val="18"/>
          <w:lang w:val="ru-RU"/>
        </w:rPr>
        <w:t>60</w:t>
      </w:r>
      <w:r w:rsidRPr="00C44A91">
        <w:rPr>
          <w:rFonts w:cs="Arial"/>
          <w:sz w:val="18"/>
          <w:szCs w:val="18"/>
          <w:lang w:val="ru-RU"/>
        </w:rPr>
        <w:t xml:space="preserve"> (</w:t>
      </w:r>
      <w:proofErr w:type="gramStart"/>
      <w:r w:rsidRPr="00C44A91">
        <w:rPr>
          <w:rFonts w:cs="Arial"/>
          <w:sz w:val="18"/>
          <w:szCs w:val="18"/>
          <w:lang w:val="ru-RU"/>
        </w:rPr>
        <w:t>т.е.</w:t>
      </w:r>
      <w:proofErr w:type="gramEnd"/>
      <w:r w:rsidRPr="00C44A91">
        <w:rPr>
          <w:rFonts w:cs="Arial"/>
          <w:sz w:val="18"/>
          <w:szCs w:val="18"/>
          <w:lang w:val="ru-RU"/>
        </w:rPr>
        <w:t xml:space="preserve"> 30 дополнительно к нынешнему</w:t>
      </w:r>
      <w:r w:rsidRPr="00C44A91">
        <w:rPr>
          <w:rFonts w:cs="Arial"/>
          <w:sz w:val="18"/>
          <w:szCs w:val="18"/>
          <w:lang w:val="ru-RU"/>
        </w:rPr>
        <w:tab/>
      </w:r>
      <w:r w:rsidR="001762E2">
        <w:rPr>
          <w:rFonts w:cs="Arial"/>
          <w:sz w:val="18"/>
          <w:szCs w:val="18"/>
          <w:lang w:val="ru-RU"/>
        </w:rPr>
        <w:tab/>
      </w:r>
      <w:r w:rsidRPr="00C44A91">
        <w:rPr>
          <w:rFonts w:cs="Arial"/>
          <w:sz w:val="18"/>
          <w:szCs w:val="18"/>
          <w:lang w:val="ru-RU"/>
        </w:rPr>
        <w:tab/>
      </w:r>
      <w:r w:rsidRPr="00C44A91">
        <w:rPr>
          <w:rFonts w:cs="Arial"/>
          <w:b/>
          <w:sz w:val="18"/>
          <w:szCs w:val="18"/>
          <w:lang w:val="ru-RU"/>
        </w:rPr>
        <w:t>40 000 000</w:t>
      </w:r>
      <w:r w:rsidRPr="00C44A91">
        <w:rPr>
          <w:rFonts w:cs="Arial"/>
          <w:sz w:val="18"/>
          <w:szCs w:val="18"/>
          <w:lang w:val="ru-RU"/>
        </w:rPr>
        <w:br/>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t xml:space="preserve">      </w:t>
      </w:r>
      <w:r w:rsidR="001762E2">
        <w:rPr>
          <w:rFonts w:cs="Arial"/>
          <w:sz w:val="18"/>
          <w:szCs w:val="18"/>
          <w:lang w:val="ru-RU"/>
        </w:rPr>
        <w:t xml:space="preserve">      </w:t>
      </w:r>
      <w:r w:rsidRPr="00C44A91">
        <w:rPr>
          <w:rFonts w:cs="Arial"/>
          <w:sz w:val="18"/>
          <w:szCs w:val="18"/>
          <w:lang w:val="ru-RU"/>
        </w:rPr>
        <w:t>числу должностей, не предусмотренных</w:t>
      </w:r>
      <w:r w:rsidRPr="00C44A91">
        <w:rPr>
          <w:rFonts w:cs="Arial"/>
          <w:sz w:val="18"/>
          <w:szCs w:val="18"/>
          <w:lang w:val="ru-RU"/>
        </w:rPr>
        <w:br/>
      </w:r>
      <w:r w:rsidRPr="00C44A91">
        <w:rPr>
          <w:rFonts w:cs="Arial"/>
          <w:sz w:val="18"/>
          <w:szCs w:val="18"/>
          <w:lang w:val="ru-RU"/>
        </w:rPr>
        <w:tab/>
      </w:r>
      <w:r w:rsidRPr="00C44A91">
        <w:rPr>
          <w:rFonts w:cs="Arial"/>
          <w:sz w:val="18"/>
          <w:szCs w:val="18"/>
          <w:lang w:val="ru-RU"/>
        </w:rPr>
        <w:tab/>
      </w:r>
      <w:r w:rsidRPr="00C44A91">
        <w:rPr>
          <w:rFonts w:cs="Arial"/>
          <w:sz w:val="18"/>
          <w:szCs w:val="18"/>
          <w:lang w:val="ru-RU"/>
        </w:rPr>
        <w:tab/>
        <w:t xml:space="preserve">      </w:t>
      </w:r>
      <w:r w:rsidR="001762E2">
        <w:rPr>
          <w:rFonts w:cs="Arial"/>
          <w:sz w:val="18"/>
          <w:szCs w:val="18"/>
          <w:lang w:val="ru-RU"/>
        </w:rPr>
        <w:t xml:space="preserve">       </w:t>
      </w:r>
      <w:r w:rsidRPr="00C44A91">
        <w:rPr>
          <w:rFonts w:cs="Arial"/>
          <w:sz w:val="18"/>
          <w:szCs w:val="18"/>
          <w:lang w:val="ru-RU"/>
        </w:rPr>
        <w:t xml:space="preserve">в бюджете ОП) </w:t>
      </w:r>
      <w:r w:rsidRPr="00C44A91">
        <w:rPr>
          <w:rFonts w:cs="Arial"/>
          <w:sz w:val="18"/>
          <w:szCs w:val="18"/>
          <w:lang w:val="ru-RU"/>
        </w:rPr>
        <w:tab/>
      </w:r>
    </w:p>
    <w:p w14:paraId="546BC552" w14:textId="77777777" w:rsidR="00C44A91" w:rsidRPr="00C44A91" w:rsidRDefault="00C44A91" w:rsidP="000A66C5">
      <w:pPr>
        <w:spacing w:before="240" w:after="240"/>
        <w:jc w:val="both"/>
        <w:rPr>
          <w:rFonts w:cs="Arial"/>
          <w:szCs w:val="22"/>
          <w:lang w:val="ru-RU"/>
        </w:rPr>
      </w:pPr>
      <w:r w:rsidRPr="00C44A91">
        <w:rPr>
          <w:rFonts w:cs="Arial"/>
          <w:szCs w:val="22"/>
          <w:lang w:val="ru-RU"/>
        </w:rPr>
        <w:lastRenderedPageBreak/>
        <w:t xml:space="preserve">Следствием вышеизложенного является увеличение </w:t>
      </w:r>
      <w:r w:rsidRPr="00C44A91">
        <w:rPr>
          <w:rFonts w:cs="Arial"/>
          <w:b/>
          <w:szCs w:val="22"/>
          <w:lang w:val="ru-RU"/>
        </w:rPr>
        <w:t>будущего комплексного бюджета МОК с 31,8 млн. долл. (ОП – 11,2 млн.</w:t>
      </w:r>
      <w:r w:rsidRPr="00F943C5">
        <w:rPr>
          <w:rFonts w:cs="Arial"/>
          <w:b/>
          <w:szCs w:val="22"/>
        </w:rPr>
        <w:t> </w:t>
      </w:r>
      <w:r w:rsidRPr="00C44A91">
        <w:rPr>
          <w:rFonts w:cs="Arial"/>
          <w:b/>
          <w:szCs w:val="22"/>
          <w:lang w:val="ru-RU"/>
        </w:rPr>
        <w:t>долл. + ВБС – 20,6 млн.</w:t>
      </w:r>
      <w:r w:rsidRPr="00F943C5">
        <w:rPr>
          <w:rFonts w:cs="Arial"/>
          <w:b/>
          <w:szCs w:val="22"/>
        </w:rPr>
        <w:t> </w:t>
      </w:r>
      <w:r w:rsidRPr="00C44A91">
        <w:rPr>
          <w:rFonts w:cs="Arial"/>
          <w:b/>
          <w:szCs w:val="22"/>
          <w:lang w:val="ru-RU"/>
        </w:rPr>
        <w:t>долл.) до 51,2 млн. долл. (ОП – 11,2 млн.</w:t>
      </w:r>
      <w:r w:rsidRPr="00F943C5">
        <w:rPr>
          <w:rFonts w:cs="Arial"/>
          <w:b/>
          <w:szCs w:val="22"/>
        </w:rPr>
        <w:t> </w:t>
      </w:r>
      <w:r w:rsidRPr="00C44A91">
        <w:rPr>
          <w:rFonts w:cs="Arial"/>
          <w:b/>
          <w:szCs w:val="22"/>
          <w:lang w:val="ru-RU"/>
        </w:rPr>
        <w:t>долл. + ВБС – 40 млн.</w:t>
      </w:r>
      <w:r w:rsidRPr="00F943C5">
        <w:rPr>
          <w:rFonts w:cs="Arial"/>
          <w:b/>
          <w:szCs w:val="22"/>
        </w:rPr>
        <w:t> </w:t>
      </w:r>
      <w:r w:rsidRPr="00C44A91">
        <w:rPr>
          <w:rFonts w:cs="Arial"/>
          <w:b/>
          <w:szCs w:val="22"/>
          <w:lang w:val="ru-RU"/>
        </w:rPr>
        <w:t>долл.)</w:t>
      </w:r>
      <w:r w:rsidRPr="00C44A91">
        <w:rPr>
          <w:rFonts w:cs="Arial"/>
          <w:szCs w:val="22"/>
          <w:lang w:val="ru-RU"/>
        </w:rPr>
        <w:t xml:space="preserve">. Штат сотрудников МОК должен будет увеличиться с 60 до 90 человек. Предварительная оценка требуемого увеличения числа должностей и соответствующего бюджета, несомненно, подвержена фактору неопределенности. Отражением этого стало использование в смете расходов округленных чисел. В связи с этим предлагается округлить окончательную сметную оценку будущих бюджетных потребностей МОК до </w:t>
      </w:r>
      <w:r w:rsidRPr="00C44A91">
        <w:rPr>
          <w:rFonts w:cs="Arial"/>
          <w:b/>
          <w:szCs w:val="22"/>
          <w:lang w:val="ru-RU"/>
        </w:rPr>
        <w:t>50 млн. долл</w:t>
      </w:r>
      <w:r w:rsidRPr="00C44A91">
        <w:rPr>
          <w:rFonts w:cs="Arial"/>
          <w:szCs w:val="22"/>
          <w:lang w:val="ru-RU"/>
        </w:rPr>
        <w:t>.</w:t>
      </w:r>
    </w:p>
    <w:p w14:paraId="457DC50A" w14:textId="77777777" w:rsidR="00C44A91" w:rsidRPr="00C44A91" w:rsidRDefault="00C44A91" w:rsidP="00C44A91">
      <w:pPr>
        <w:spacing w:after="240"/>
        <w:jc w:val="both"/>
        <w:rPr>
          <w:rFonts w:cs="Arial"/>
          <w:i/>
          <w:iCs/>
          <w:szCs w:val="22"/>
          <w:lang w:val="ru-RU"/>
        </w:rPr>
      </w:pPr>
      <w:r w:rsidRPr="00C44A91">
        <w:rPr>
          <w:rFonts w:cs="Arial"/>
          <w:szCs w:val="22"/>
          <w:lang w:val="ru-RU"/>
        </w:rPr>
        <w:t xml:space="preserve">Наиболее важной характеристикой новой сметной оценки будущего бюджета МОК является не его объем. В целях привлечения и удержания сотрудников, требуемых для выполнения новых задач, следует обеспечить достаточную стабильность бюджета. На сегодняшний день стабильным можно назвать лишь компонент бюджета обычной программы. Добиться необходимой стабильности для бюджетного компонента, касающегося ВБС, можно лишь путем применения в МОК </w:t>
      </w:r>
      <w:r w:rsidRPr="00C44A91">
        <w:rPr>
          <w:rFonts w:cs="Arial"/>
          <w:b/>
          <w:szCs w:val="22"/>
          <w:lang w:val="ru-RU"/>
        </w:rPr>
        <w:t>инновационной модели привлечения внебюджетного финансирования</w:t>
      </w:r>
      <w:r w:rsidRPr="00C44A91">
        <w:rPr>
          <w:rFonts w:cs="Arial"/>
          <w:szCs w:val="22"/>
          <w:lang w:val="ru-RU"/>
        </w:rPr>
        <w:t xml:space="preserve">. Государствам – членам МОК, не являющимся государствами – членами ЮНЕСКО, может быть предложено рассмотреть возможность выплаты в бюджет МОК стабильного взноса. Заблаговременное оглашение долгосрочных обязательств, касающихся финансовой поддержки МОК, могло бы в значительной степени способствовать обеспечению стабильности финансового положения Комиссии. Помимо вышеперечисленных возможностей существует необходимость задействовать положения статьи 10.4, которая гласит: </w:t>
      </w:r>
      <w:r w:rsidRPr="00C44A91">
        <w:rPr>
          <w:rFonts w:cs="Arial"/>
          <w:i/>
          <w:szCs w:val="22"/>
          <w:lang w:val="ru-RU"/>
        </w:rPr>
        <w:t>«Комиссия может по мере необходимости создавать, поощрять или координировать дополнительные финансовые механизмы для обеспечения выполнения какой-либо эффективной и длительной программы на глобальном и/или региональном уровнях».</w:t>
      </w:r>
    </w:p>
    <w:p w14:paraId="04FCD9D7" w14:textId="77777777" w:rsidR="00C44A91" w:rsidRPr="006F24BA" w:rsidRDefault="00C44A91" w:rsidP="006F24BA">
      <w:pPr>
        <w:pStyle w:val="Heading1"/>
        <w:keepNext w:val="0"/>
        <w:keepLines w:val="0"/>
        <w:numPr>
          <w:ilvl w:val="0"/>
          <w:numId w:val="19"/>
        </w:numPr>
        <w:spacing w:before="0"/>
        <w:ind w:left="567" w:hanging="567"/>
        <w:jc w:val="left"/>
        <w:rPr>
          <w:rFonts w:cs="Arial"/>
          <w:szCs w:val="22"/>
          <w:lang w:val="ru-RU"/>
        </w:rPr>
      </w:pPr>
      <w:bookmarkStart w:id="21" w:name="_Toc120748672"/>
      <w:r w:rsidRPr="006F24BA">
        <w:rPr>
          <w:rFonts w:cs="Arial"/>
          <w:szCs w:val="22"/>
          <w:lang w:val="ru-RU"/>
        </w:rPr>
        <w:t>Основные выводы</w:t>
      </w:r>
      <w:bookmarkEnd w:id="21"/>
    </w:p>
    <w:p w14:paraId="733DD256" w14:textId="77777777" w:rsidR="00C44A91" w:rsidRPr="00C44A91" w:rsidRDefault="00C44A91" w:rsidP="00C44A91">
      <w:pPr>
        <w:spacing w:after="240"/>
        <w:jc w:val="both"/>
        <w:rPr>
          <w:rFonts w:cs="Arial"/>
          <w:szCs w:val="22"/>
          <w:lang w:val="ru-RU"/>
        </w:rPr>
      </w:pPr>
      <w:r w:rsidRPr="00C44A91">
        <w:rPr>
          <w:rFonts w:cs="Arial"/>
          <w:szCs w:val="22"/>
          <w:lang w:val="ru-RU"/>
        </w:rPr>
        <w:t xml:space="preserve">Подготовка настоящего документа была обусловлена просьбой Исполнительного совета МОК представить ему «смету бюджетных расходов, включая потребности в кадровых ресурсах, необходимых для устойчивого осуществления основных программ МОК и расширения масштабов ее деятельности в свете возросшего спроса со стороны государств-членов и других заинтересованных сторон». Представленная выше сметная оценка бюджетных расходов основана на анализе современных тенденций в развитии морских наук, а также с учетом потенциальных возможностей и неотложных потребностей, наблюдаемых в таких областях, как изменение климата, сохранение биоразнообразия, развитие морской экономики, благополучие человечества, с целью обеспечить переход на принципы рационального планирования в сфере </w:t>
      </w:r>
      <w:proofErr w:type="spellStart"/>
      <w:r w:rsidRPr="00C44A91">
        <w:rPr>
          <w:rFonts w:cs="Arial"/>
          <w:szCs w:val="22"/>
          <w:lang w:val="ru-RU"/>
        </w:rPr>
        <w:t>морепользования</w:t>
      </w:r>
      <w:proofErr w:type="spellEnd"/>
      <w:r w:rsidRPr="00C44A91">
        <w:rPr>
          <w:rFonts w:cs="Arial"/>
          <w:szCs w:val="22"/>
          <w:lang w:val="ru-RU"/>
        </w:rPr>
        <w:t xml:space="preserve"> и выполнение МОК своих обязательств, касающихся общей координации проведения Десятилетия науки об океане.</w:t>
      </w:r>
    </w:p>
    <w:p w14:paraId="25BB2727" w14:textId="77777777" w:rsidR="00C44A91" w:rsidRPr="00C44A91" w:rsidRDefault="00C44A91" w:rsidP="00C44A91">
      <w:pPr>
        <w:spacing w:after="240"/>
        <w:jc w:val="both"/>
        <w:rPr>
          <w:rFonts w:cs="Arial"/>
          <w:szCs w:val="22"/>
          <w:lang w:val="ru-RU"/>
        </w:rPr>
      </w:pPr>
      <w:r w:rsidRPr="00C44A91">
        <w:rPr>
          <w:rFonts w:cs="Arial"/>
          <w:szCs w:val="22"/>
          <w:lang w:val="ru-RU"/>
        </w:rPr>
        <w:t xml:space="preserve">Хотя штат сотрудников, финансируемых в настоящее время за счет средств обычного бюджета, составляет 28,5 штатных единиц в эквиваленте полной занятости (ЭПЗ), общее число работающих в настоящее время в МОК лиц, составляет порядка 60 человек. При этом наиболее сложную проблему на пути стабильного оказания услуг МОК представляют неустойчивость и краткосрочный характер внебюджетного финансирования. </w:t>
      </w:r>
      <w:r w:rsidRPr="00C44A91">
        <w:rPr>
          <w:rFonts w:cs="Arial"/>
          <w:b/>
          <w:szCs w:val="22"/>
          <w:lang w:val="ru-RU"/>
        </w:rPr>
        <w:t>Сотрудники МОК, получающие заработную плату из внебюджетных источников, хотели бы иметь больше уверенности в завтрашнем дне.</w:t>
      </w:r>
      <w:r w:rsidRPr="00C44A91">
        <w:rPr>
          <w:rFonts w:cs="Arial"/>
          <w:szCs w:val="22"/>
          <w:lang w:val="ru-RU"/>
        </w:rPr>
        <w:t xml:space="preserve"> Дефицит внебюджетного финансирования, составляющий на сегодня примерно 50% от общего объема бюджета, является для МОК серьезной проблемой. Доля средств обычной программы в настоящее время составляет примерно одну треть от комплексного бюджета, что снижает возможности МОК по оказанию государствам-членам методической поддержки в ходе реализации ее мероприятий и повышает вероятность того, что на осуществление деятельности, не имеющей критически важного для выполнения мандата значения, Комиссии придется потратить больше времени и задействовать более существенные людские ресурсы.</w:t>
      </w:r>
    </w:p>
    <w:p w14:paraId="17D9CB07" w14:textId="77777777" w:rsidR="00C44A91" w:rsidRPr="00C44A91" w:rsidRDefault="00C44A91" w:rsidP="00C44A91">
      <w:pPr>
        <w:spacing w:after="240"/>
        <w:jc w:val="both"/>
        <w:rPr>
          <w:rFonts w:cs="Arial"/>
          <w:szCs w:val="22"/>
          <w:lang w:val="ru-RU"/>
        </w:rPr>
      </w:pPr>
      <w:r w:rsidRPr="00C44A91">
        <w:rPr>
          <w:rFonts w:cs="Arial"/>
          <w:szCs w:val="22"/>
          <w:lang w:val="ru-RU"/>
        </w:rPr>
        <w:t xml:space="preserve">Общий объем бюджетных ассигнований по линии обычной программы и внебюджетных средств </w:t>
      </w:r>
      <w:r w:rsidRPr="00C44A91">
        <w:rPr>
          <w:rFonts w:cs="Arial"/>
          <w:b/>
          <w:szCs w:val="22"/>
          <w:lang w:val="ru-RU"/>
        </w:rPr>
        <w:t xml:space="preserve">в следующем двухгодичном комплексном бюджете МОК оценивается в </w:t>
      </w:r>
      <w:r w:rsidRPr="00C44A91">
        <w:rPr>
          <w:rFonts w:cs="Arial"/>
          <w:b/>
          <w:szCs w:val="22"/>
          <w:lang w:val="ru-RU"/>
        </w:rPr>
        <w:lastRenderedPageBreak/>
        <w:t>50</w:t>
      </w:r>
      <w:r>
        <w:rPr>
          <w:rFonts w:cs="Arial"/>
          <w:b/>
          <w:szCs w:val="22"/>
        </w:rPr>
        <w:t> </w:t>
      </w:r>
      <w:r w:rsidRPr="00C44A91">
        <w:rPr>
          <w:rFonts w:cs="Arial"/>
          <w:b/>
          <w:szCs w:val="22"/>
          <w:lang w:val="ru-RU"/>
        </w:rPr>
        <w:t>млн.</w:t>
      </w:r>
      <w:r w:rsidRPr="00F943C5">
        <w:rPr>
          <w:rFonts w:cs="Arial"/>
          <w:b/>
          <w:szCs w:val="22"/>
        </w:rPr>
        <w:t> </w:t>
      </w:r>
      <w:r w:rsidRPr="00C44A91">
        <w:rPr>
          <w:rFonts w:cs="Arial"/>
          <w:b/>
          <w:szCs w:val="22"/>
          <w:lang w:val="ru-RU"/>
        </w:rPr>
        <w:t>долл.</w:t>
      </w:r>
      <w:r w:rsidRPr="00C44A91">
        <w:rPr>
          <w:rFonts w:cs="Arial"/>
          <w:szCs w:val="22"/>
          <w:lang w:val="ru-RU"/>
        </w:rPr>
        <w:t xml:space="preserve"> Для выполнения поставленных задач потребуется в общей сложности примерно 90 сотрудников. Любое увеличение ассигнований для МОК в рамках обычного бюджета ЮНЕСКО могло бы помочь стабилизировать положение, однако в нынешних финансовых условиях подобный сценарий представляется труднореализуемым. В этой ситуации</w:t>
      </w:r>
      <w:r w:rsidRPr="00C44A91">
        <w:rPr>
          <w:rFonts w:cs="Arial"/>
          <w:i/>
          <w:szCs w:val="22"/>
          <w:lang w:val="ru-RU"/>
        </w:rPr>
        <w:t xml:space="preserve"> </w:t>
      </w:r>
      <w:proofErr w:type="gramStart"/>
      <w:r w:rsidRPr="00C44A91">
        <w:rPr>
          <w:rFonts w:cs="Arial"/>
          <w:i/>
          <w:szCs w:val="22"/>
          <w:lang w:val="ru-RU"/>
        </w:rPr>
        <w:t>наиболее оптимальным</w:t>
      </w:r>
      <w:proofErr w:type="gramEnd"/>
      <w:r w:rsidRPr="00C44A91">
        <w:rPr>
          <w:rFonts w:cs="Arial"/>
          <w:i/>
          <w:szCs w:val="22"/>
          <w:lang w:val="ru-RU"/>
        </w:rPr>
        <w:t xml:space="preserve"> и крайне актуальным способом изменения положения дел с финансированием бюджета МОК является повышение готовности государств – членов МОК обеспечить более устойчивое и предсказуемое внебюджетное финансирование, в частности</w:t>
      </w:r>
      <w:r w:rsidRPr="00C44A91">
        <w:rPr>
          <w:rFonts w:cs="Arial"/>
          <w:szCs w:val="22"/>
          <w:lang w:val="ru-RU"/>
        </w:rPr>
        <w:t xml:space="preserve"> </w:t>
      </w:r>
      <w:r w:rsidRPr="00C44A91">
        <w:rPr>
          <w:rFonts w:cs="Arial"/>
          <w:b/>
          <w:i/>
          <w:szCs w:val="22"/>
          <w:lang w:val="ru-RU"/>
        </w:rPr>
        <w:t>предоставление базовых добровольных взносов.</w:t>
      </w:r>
    </w:p>
    <w:p w14:paraId="194E8670" w14:textId="77777777" w:rsidR="00C44A91" w:rsidRPr="00C44A91" w:rsidRDefault="00C44A91" w:rsidP="00C44A91">
      <w:pPr>
        <w:spacing w:after="240"/>
        <w:jc w:val="both"/>
        <w:rPr>
          <w:rFonts w:cs="Arial"/>
          <w:szCs w:val="22"/>
          <w:lang w:val="ru-RU"/>
        </w:rPr>
      </w:pPr>
      <w:r w:rsidRPr="00C44A91">
        <w:rPr>
          <w:rFonts w:cs="Arial"/>
          <w:szCs w:val="22"/>
          <w:lang w:val="ru-RU"/>
        </w:rPr>
        <w:t>Государствам – членам МОК предлагается обсудить вопрос о том, как с помощью объединения средств обычной программы и базовых добровольных взносов, а также разработки новых механизмов привлечения требуемых ресурсов можно обеспечить адекватный комплексный бюджет. Предпочтительным вариантом для этого было бы внесение нецелевых взносов на специальный счет МОК в форме прогнозируемого многолетнего финансирования проектов, связанных с обеспечением конкретных потребностей, согласующихся с приоритетами доноров через механизм целевых фондов.</w:t>
      </w:r>
    </w:p>
    <w:p w14:paraId="748847AF" w14:textId="77777777" w:rsidR="00C44A91" w:rsidRPr="00501AF2" w:rsidRDefault="00C44A91" w:rsidP="00C44A91">
      <w:pPr>
        <w:spacing w:after="240"/>
        <w:jc w:val="both"/>
        <w:rPr>
          <w:rFonts w:cs="Arial"/>
          <w:szCs w:val="22"/>
          <w:lang w:val="ru-RU"/>
        </w:rPr>
      </w:pPr>
      <w:r w:rsidRPr="00C44A91">
        <w:rPr>
          <w:rFonts w:cs="Arial"/>
          <w:szCs w:val="22"/>
          <w:lang w:val="ru-RU"/>
        </w:rPr>
        <w:t xml:space="preserve">Несмотря на утверждение государствами-членами общих параметров двухгодичного бюджета для специального счета МОК на </w:t>
      </w:r>
      <w:proofErr w:type="gramStart"/>
      <w:r w:rsidRPr="00C44A91">
        <w:rPr>
          <w:rFonts w:cs="Arial"/>
          <w:szCs w:val="22"/>
          <w:lang w:val="ru-RU"/>
        </w:rPr>
        <w:t>2022-2023</w:t>
      </w:r>
      <w:proofErr w:type="gramEnd"/>
      <w:r w:rsidRPr="00C44A91">
        <w:rPr>
          <w:rFonts w:cs="Arial"/>
          <w:szCs w:val="22"/>
          <w:lang w:val="ru-RU"/>
        </w:rPr>
        <w:t xml:space="preserve"> гг. в объеме 9,4 млн. долл., речь идет лишь об искомых параметрах, призванных служить рамочной основой для распределения поступающих средств. В случае финансирования в полном объеме размер «базового» бюджета с учетом бюджета обычной программы увеличился бы до 20 млн. долл. США, что, в свою очередь, означало бы, что более половины ресурсов МОК распределяются на основе коллективно принимаемых решений и в соответствии с установленными государствами – членами МОК приоритетами. </w:t>
      </w:r>
      <w:r w:rsidRPr="00501AF2">
        <w:rPr>
          <w:rFonts w:cs="Arial"/>
          <w:szCs w:val="22"/>
          <w:lang w:val="ru-RU"/>
        </w:rPr>
        <w:t>Для этого должна начать применяться статья 10.4 Устава МОК.</w:t>
      </w:r>
    </w:p>
    <w:p w14:paraId="2B32EBFA" w14:textId="77777777" w:rsidR="00C44A91" w:rsidRPr="00C44A91" w:rsidRDefault="00C44A91" w:rsidP="00C44A91">
      <w:pPr>
        <w:spacing w:after="240"/>
        <w:jc w:val="both"/>
        <w:rPr>
          <w:rFonts w:cs="Arial"/>
          <w:szCs w:val="22"/>
          <w:lang w:val="ru-RU"/>
        </w:rPr>
      </w:pPr>
      <w:r w:rsidRPr="00C44A91">
        <w:rPr>
          <w:rFonts w:cs="Arial"/>
          <w:szCs w:val="22"/>
          <w:lang w:val="ru-RU"/>
        </w:rPr>
        <w:t>Высокая эффективность инвестиций в МОК будет способствовать дальнейшему расширению сферы ее деятельности, начиная с общей методологической поддержки, разработки норм и развития потенциала и заканчивая оказанием помощи в наращивании потенциала конкретных государств-членов в сфере морских научных исследований, с уделением приоритетного внимания странам Африки, НРС и МОСРГ.</w:t>
      </w:r>
    </w:p>
    <w:p w14:paraId="5B93A2C5" w14:textId="77777777" w:rsidR="00C44A91" w:rsidRPr="00F943C5" w:rsidRDefault="00C44A91" w:rsidP="00C44A91">
      <w:pPr>
        <w:spacing w:after="240"/>
        <w:jc w:val="both"/>
        <w:rPr>
          <w:rFonts w:cs="Arial"/>
          <w:szCs w:val="22"/>
        </w:rPr>
      </w:pPr>
      <w:r w:rsidRPr="00C44A91">
        <w:rPr>
          <w:rFonts w:cs="Arial"/>
          <w:szCs w:val="22"/>
          <w:lang w:val="ru-RU"/>
        </w:rPr>
        <w:t>Более эффективная и обеспечиваемая на более устойчивой основе необходимыми ресурсами МОК сможет создать условия для наступления новой эры в развитии морских наук, когда человечество перейдет к устойчивой модели управления ресурсами Мирового океана. Десятилетие науки об океане станет важным инструментом этой трансформации. Кроме того, увеличение объемов и повышение устойчивости финансирования МОК расширит ее возможности в деле привлечения средств и может привести к дальнейшему росту уровня комплексного бюджета МОК и превышению показателя в 50 млн.</w:t>
      </w:r>
      <w:r w:rsidRPr="00F943C5">
        <w:rPr>
          <w:rFonts w:cs="Arial"/>
          <w:szCs w:val="22"/>
        </w:rPr>
        <w:t> </w:t>
      </w:r>
      <w:r w:rsidRPr="00C44A91">
        <w:rPr>
          <w:rFonts w:cs="Arial"/>
          <w:szCs w:val="22"/>
          <w:lang w:val="ru-RU"/>
        </w:rPr>
        <w:t>долл.</w:t>
      </w:r>
      <w:r w:rsidRPr="00F943C5">
        <w:rPr>
          <w:rFonts w:cs="Arial"/>
          <w:szCs w:val="22"/>
        </w:rPr>
        <w:t> США.</w:t>
      </w:r>
    </w:p>
    <w:p w14:paraId="74BC35A2" w14:textId="54E4A040" w:rsidR="005B754A" w:rsidRPr="005B754A" w:rsidRDefault="005B754A" w:rsidP="005B754A">
      <w:pPr>
        <w:pStyle w:val="COI"/>
      </w:pPr>
    </w:p>
    <w:p w14:paraId="7362874D" w14:textId="77777777" w:rsidR="005B754A" w:rsidRDefault="005B754A" w:rsidP="005B754A">
      <w:pPr>
        <w:pStyle w:val="COI"/>
      </w:pPr>
    </w:p>
    <w:p w14:paraId="3C4AA153" w14:textId="77777777" w:rsidR="005B754A" w:rsidRPr="005B754A" w:rsidRDefault="005B754A" w:rsidP="005B754A">
      <w:pPr>
        <w:spacing w:after="160" w:line="259" w:lineRule="auto"/>
        <w:rPr>
          <w:rFonts w:asciiTheme="minorBidi" w:hAnsiTheme="minorBidi" w:cstheme="minorBidi"/>
          <w:bCs/>
        </w:rPr>
      </w:pPr>
    </w:p>
    <w:sectPr w:rsidR="005B754A" w:rsidRPr="005B754A" w:rsidSect="001136D1">
      <w:headerReference w:type="even" r:id="rId19"/>
      <w:headerReference w:type="default" r:id="rId20"/>
      <w:headerReference w:type="first" r:id="rId21"/>
      <w:type w:val="oddPage"/>
      <w:pgSz w:w="11906" w:h="16838" w:code="9"/>
      <w:pgMar w:top="1418"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35BB0" w14:textId="77777777" w:rsidR="00EB475E" w:rsidRDefault="00EB475E">
      <w:r>
        <w:separator/>
      </w:r>
    </w:p>
  </w:endnote>
  <w:endnote w:type="continuationSeparator" w:id="0">
    <w:p w14:paraId="23F4446A" w14:textId="77777777" w:rsidR="00EB475E" w:rsidRDefault="00EB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4A37" w14:textId="77777777" w:rsidR="00EC60BE" w:rsidRDefault="00EC6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F97D9" w14:textId="77777777" w:rsidR="00EC60BE" w:rsidRDefault="00EC60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CA05C" w14:textId="77777777" w:rsidR="00EC60BE" w:rsidRDefault="00EC6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DB972" w14:textId="77777777" w:rsidR="00EB475E" w:rsidRDefault="00EB475E">
      <w:r>
        <w:separator/>
      </w:r>
    </w:p>
  </w:footnote>
  <w:footnote w:type="continuationSeparator" w:id="0">
    <w:p w14:paraId="4660CBB1" w14:textId="77777777" w:rsidR="00EB475E" w:rsidRDefault="00EB475E">
      <w:r>
        <w:continuationSeparator/>
      </w:r>
    </w:p>
  </w:footnote>
  <w:footnote w:id="1">
    <w:p w14:paraId="5583D841" w14:textId="77777777" w:rsidR="00C44A91" w:rsidRPr="00C44A91" w:rsidRDefault="00C44A91" w:rsidP="00C44A91">
      <w:pPr>
        <w:pStyle w:val="FootnoteText"/>
        <w:rPr>
          <w:rFonts w:cs="Arial"/>
          <w:sz w:val="18"/>
          <w:szCs w:val="18"/>
          <w:lang w:val="ru-RU"/>
        </w:rPr>
      </w:pPr>
      <w:r w:rsidRPr="00421BCE">
        <w:rPr>
          <w:rStyle w:val="FootnoteReference"/>
          <w:rFonts w:cs="Arial"/>
          <w:sz w:val="18"/>
          <w:szCs w:val="18"/>
        </w:rPr>
        <w:footnoteRef/>
      </w:r>
      <w:r w:rsidRPr="00C44A91">
        <w:rPr>
          <w:rFonts w:cs="Arial"/>
          <w:sz w:val="18"/>
          <w:szCs w:val="18"/>
          <w:lang w:val="ru-RU"/>
        </w:rPr>
        <w:t xml:space="preserve"> </w:t>
      </w:r>
      <w:r w:rsidRPr="00C44A91">
        <w:rPr>
          <w:rFonts w:cs="Arial"/>
          <w:sz w:val="18"/>
          <w:szCs w:val="18"/>
          <w:lang w:val="ru-RU"/>
        </w:rPr>
        <w:tab/>
        <w:t>В настоящем документе Десятилетие Организации Объединенных Наций, посвященное науке об океане в интересах устойчивого развития (2021-2030 гг.), упоминается как Десятилетие науки об океане.</w:t>
      </w:r>
    </w:p>
  </w:footnote>
  <w:footnote w:id="2">
    <w:p w14:paraId="3E0C2A94" w14:textId="77777777" w:rsidR="00C44A91" w:rsidRPr="00C44A91" w:rsidRDefault="00C44A91" w:rsidP="00C44A91">
      <w:pPr>
        <w:ind w:left="567" w:hanging="567"/>
        <w:jc w:val="both"/>
        <w:rPr>
          <w:rFonts w:cs="Arial"/>
          <w:sz w:val="18"/>
          <w:szCs w:val="18"/>
          <w:lang w:val="ru-RU"/>
        </w:rPr>
      </w:pPr>
      <w:r w:rsidRPr="00857052">
        <w:rPr>
          <w:rStyle w:val="FootnoteReference"/>
          <w:rFonts w:cs="Arial"/>
          <w:sz w:val="18"/>
          <w:szCs w:val="18"/>
        </w:rPr>
        <w:footnoteRef/>
      </w:r>
      <w:r w:rsidRPr="00C44A91">
        <w:rPr>
          <w:rFonts w:asciiTheme="minorHAnsi" w:hAnsiTheme="minorHAnsi"/>
          <w:sz w:val="18"/>
          <w:szCs w:val="18"/>
          <w:lang w:val="ru-RU"/>
        </w:rPr>
        <w:t xml:space="preserve"> </w:t>
      </w:r>
      <w:r w:rsidRPr="00C44A91">
        <w:rPr>
          <w:rFonts w:asciiTheme="minorHAnsi" w:hAnsiTheme="minorHAnsi"/>
          <w:sz w:val="18"/>
          <w:szCs w:val="18"/>
          <w:lang w:val="ru-RU"/>
        </w:rPr>
        <w:tab/>
      </w:r>
      <w:r w:rsidRPr="00C44A91">
        <w:rPr>
          <w:rFonts w:asciiTheme="minorBidi" w:hAnsiTheme="minorBidi"/>
          <w:sz w:val="18"/>
          <w:szCs w:val="18"/>
          <w:lang w:val="ru-RU"/>
        </w:rPr>
        <w:t xml:space="preserve">«Мы признаем важность проведения Десятилетия Организации Объединенных Наций, посвященного науке об океане в интересах устойчивого развития (2021-2030 гг.), и достижения его стратегической цели («Актуализация научных знаний в интересах океана, который нам нужен»). Мы одобряем основную задачу Десятилетия – </w:t>
      </w:r>
      <w:r w:rsidRPr="00C44A91">
        <w:rPr>
          <w:rFonts w:cs="Arial"/>
          <w:sz w:val="18"/>
          <w:szCs w:val="18"/>
          <w:lang w:val="ru-RU"/>
        </w:rPr>
        <w:t xml:space="preserve">способствовать накоплению и использованию научных знаний в интересах принятия решений преобразующего характера, которые обеспечат к 2030 году и в более длительной перспективе улучшение экологического состояния, повышение безопасности и жизнеспособность океана в интересах устойчивого развития. Мы полностью поддерживаем деятельность Межправительственной океанографической комиссии ЮНЕСКО, связанную с проведением Десятилетия, и обязуемся содействовать этим усилиям» (пункт 12 </w:t>
      </w:r>
      <w:hyperlink r:id="rId1">
        <w:r w:rsidRPr="00C44A91">
          <w:rPr>
            <w:rFonts w:cs="Arial"/>
            <w:color w:val="0563C1"/>
            <w:sz w:val="18"/>
            <w:szCs w:val="18"/>
            <w:u w:val="single"/>
            <w:lang w:val="ru-RU"/>
          </w:rPr>
          <w:t>Политической декларации «Наш океан, наше будущее, наша ответственность</w:t>
        </w:r>
      </w:hyperlink>
      <w:r w:rsidRPr="00C44A91">
        <w:rPr>
          <w:rFonts w:cs="Arial"/>
          <w:sz w:val="18"/>
          <w:szCs w:val="18"/>
          <w:lang w:val="ru-RU"/>
        </w:rPr>
        <w:t>».</w:t>
      </w:r>
    </w:p>
  </w:footnote>
  <w:footnote w:id="3">
    <w:p w14:paraId="73CA37FE" w14:textId="77777777" w:rsidR="00C44A91" w:rsidRPr="00A721F8" w:rsidRDefault="00C44A91" w:rsidP="002311E2">
      <w:pPr>
        <w:pStyle w:val="Heading3"/>
        <w:pBdr>
          <w:bottom w:val="none" w:sz="0" w:space="0" w:color="auto"/>
        </w:pBdr>
        <w:rPr>
          <w:b w:val="0"/>
          <w:bCs w:val="0"/>
          <w:lang w:val="ru-RU"/>
        </w:rPr>
      </w:pPr>
      <w:r w:rsidRPr="00102875">
        <w:rPr>
          <w:rStyle w:val="FootnoteReference"/>
          <w:b w:val="0"/>
          <w:lang w:eastAsia="zh-CN"/>
        </w:rPr>
        <w:footnoteRef/>
      </w:r>
      <w:r w:rsidRPr="00C44A91">
        <w:rPr>
          <w:rStyle w:val="FootnoteReference"/>
          <w:lang w:val="ru-RU"/>
        </w:rPr>
        <w:t xml:space="preserve"> </w:t>
      </w:r>
      <w:r w:rsidRPr="00C44A91">
        <w:rPr>
          <w:lang w:val="ru-RU"/>
        </w:rPr>
        <w:tab/>
      </w:r>
      <w:r w:rsidRPr="00A721F8">
        <w:rPr>
          <w:b w:val="0"/>
          <w:bCs w:val="0"/>
          <w:lang w:val="ru-RU"/>
        </w:rPr>
        <w:t xml:space="preserve">ЮНЕСКО </w:t>
      </w:r>
      <w:hyperlink r:id="rId2" w:history="1">
        <w:r w:rsidRPr="00A721F8">
          <w:rPr>
            <w:rStyle w:val="Hyperlink"/>
            <w:b w:val="0"/>
            <w:bCs w:val="0"/>
            <w:color w:val="0070C0"/>
            <w:lang w:val="ru-RU"/>
          </w:rPr>
          <w:t>200</w:t>
        </w:r>
        <w:r w:rsidRPr="00A721F8">
          <w:rPr>
            <w:rStyle w:val="Hyperlink"/>
            <w:b w:val="0"/>
            <w:bCs w:val="0"/>
            <w:color w:val="0070C0"/>
          </w:rPr>
          <w:t> EX</w:t>
        </w:r>
        <w:r w:rsidRPr="00A721F8">
          <w:rPr>
            <w:rStyle w:val="Hyperlink"/>
            <w:b w:val="0"/>
            <w:bCs w:val="0"/>
            <w:color w:val="0070C0"/>
            <w:lang w:val="ru-RU"/>
          </w:rPr>
          <w:t>/20.</w:t>
        </w:r>
        <w:r w:rsidRPr="00A721F8">
          <w:rPr>
            <w:rStyle w:val="Hyperlink"/>
            <w:b w:val="0"/>
            <w:bCs w:val="0"/>
            <w:color w:val="0070C0"/>
          </w:rPr>
          <w:t>INF</w:t>
        </w:r>
        <w:r w:rsidRPr="00A721F8">
          <w:rPr>
            <w:rStyle w:val="Hyperlink"/>
            <w:b w:val="0"/>
            <w:bCs w:val="0"/>
            <w:color w:val="0070C0"/>
            <w:lang w:val="ru-RU"/>
          </w:rPr>
          <w:t>.2</w:t>
        </w:r>
      </w:hyperlink>
      <w:r w:rsidRPr="00A721F8">
        <w:rPr>
          <w:b w:val="0"/>
          <w:bCs w:val="0"/>
          <w:color w:val="0070C0"/>
          <w:lang w:val="ru-RU"/>
        </w:rPr>
        <w:t>,</w:t>
      </w:r>
      <w:r w:rsidRPr="00A721F8">
        <w:rPr>
          <w:b w:val="0"/>
          <w:bCs w:val="0"/>
          <w:lang w:val="ru-RU"/>
        </w:rPr>
        <w:t xml:space="preserve"> Новые доклады ревизора со стороны: доклад о ревизии деятельности Межправительственной океанографической комиссии (МОК), 2016 г.</w:t>
      </w:r>
    </w:p>
  </w:footnote>
  <w:footnote w:id="4">
    <w:p w14:paraId="2FD30F60" w14:textId="77777777" w:rsidR="00C44A91" w:rsidRPr="00C44A91" w:rsidRDefault="00C44A91" w:rsidP="002311E2">
      <w:pPr>
        <w:ind w:left="567" w:hanging="567"/>
        <w:jc w:val="both"/>
        <w:rPr>
          <w:rFonts w:asciiTheme="minorBidi" w:hAnsiTheme="minorBidi" w:cstheme="minorBidi"/>
          <w:sz w:val="18"/>
          <w:szCs w:val="18"/>
          <w:lang w:val="ru-RU"/>
        </w:rPr>
      </w:pPr>
      <w:r w:rsidRPr="00102875">
        <w:rPr>
          <w:rStyle w:val="FootnoteReference"/>
          <w:rFonts w:asciiTheme="minorBidi" w:hAnsiTheme="minorBidi" w:cstheme="minorBidi"/>
          <w:sz w:val="18"/>
          <w:szCs w:val="18"/>
        </w:rPr>
        <w:footnoteRef/>
      </w:r>
      <w:r w:rsidRPr="00C44A91">
        <w:rPr>
          <w:rFonts w:asciiTheme="minorBidi" w:hAnsiTheme="minorBidi"/>
          <w:sz w:val="18"/>
          <w:szCs w:val="18"/>
          <w:lang w:val="ru-RU"/>
        </w:rPr>
        <w:t xml:space="preserve"> </w:t>
      </w:r>
      <w:r w:rsidRPr="00C44A91">
        <w:rPr>
          <w:rFonts w:asciiTheme="minorBidi" w:hAnsiTheme="minorBidi"/>
          <w:sz w:val="18"/>
          <w:szCs w:val="18"/>
          <w:lang w:val="ru-RU"/>
        </w:rPr>
        <w:tab/>
      </w:r>
      <w:hyperlink r:id="rId3">
        <w:r w:rsidRPr="00102875">
          <w:rPr>
            <w:rFonts w:asciiTheme="minorBidi" w:hAnsiTheme="minorBidi"/>
            <w:color w:val="0563C1"/>
            <w:sz w:val="18"/>
            <w:szCs w:val="18"/>
            <w:u w:val="single"/>
          </w:rPr>
          <w:t>UNESCO</w:t>
        </w:r>
        <w:r w:rsidRPr="00C44A91">
          <w:rPr>
            <w:rFonts w:asciiTheme="minorBidi" w:hAnsiTheme="minorBidi"/>
            <w:color w:val="0563C1"/>
            <w:sz w:val="18"/>
            <w:szCs w:val="18"/>
            <w:u w:val="single"/>
            <w:lang w:val="ru-RU"/>
          </w:rPr>
          <w:t xml:space="preserve"> </w:t>
        </w:r>
        <w:r w:rsidRPr="00102875">
          <w:rPr>
            <w:rFonts w:asciiTheme="minorBidi" w:hAnsiTheme="minorBidi"/>
            <w:color w:val="0563C1"/>
            <w:sz w:val="18"/>
            <w:szCs w:val="18"/>
            <w:u w:val="single"/>
          </w:rPr>
          <w:t>IOS</w:t>
        </w:r>
        <w:r w:rsidRPr="00C44A91">
          <w:rPr>
            <w:rFonts w:asciiTheme="minorBidi" w:hAnsiTheme="minorBidi"/>
            <w:color w:val="0563C1"/>
            <w:sz w:val="18"/>
            <w:szCs w:val="18"/>
            <w:u w:val="single"/>
            <w:lang w:val="ru-RU"/>
          </w:rPr>
          <w:t>/</w:t>
        </w:r>
        <w:r w:rsidRPr="00102875">
          <w:rPr>
            <w:rFonts w:asciiTheme="minorBidi" w:hAnsiTheme="minorBidi"/>
            <w:color w:val="0563C1"/>
            <w:sz w:val="18"/>
            <w:szCs w:val="18"/>
            <w:u w:val="single"/>
          </w:rPr>
          <w:t>EVS</w:t>
        </w:r>
        <w:r w:rsidRPr="00C44A91">
          <w:rPr>
            <w:rFonts w:asciiTheme="minorBidi" w:hAnsiTheme="minorBidi"/>
            <w:color w:val="0563C1"/>
            <w:sz w:val="18"/>
            <w:szCs w:val="18"/>
            <w:u w:val="single"/>
            <w:lang w:val="ru-RU"/>
          </w:rPr>
          <w:t>/</w:t>
        </w:r>
        <w:r w:rsidRPr="00102875">
          <w:rPr>
            <w:rFonts w:asciiTheme="minorBidi" w:hAnsiTheme="minorBidi"/>
            <w:color w:val="0563C1"/>
            <w:sz w:val="18"/>
            <w:szCs w:val="18"/>
            <w:u w:val="single"/>
          </w:rPr>
          <w:t>PI</w:t>
        </w:r>
        <w:r w:rsidRPr="00C44A91">
          <w:rPr>
            <w:rFonts w:asciiTheme="minorBidi" w:hAnsiTheme="minorBidi"/>
            <w:color w:val="0563C1"/>
            <w:sz w:val="18"/>
            <w:szCs w:val="18"/>
            <w:u w:val="single"/>
            <w:lang w:val="ru-RU"/>
          </w:rPr>
          <w:t xml:space="preserve"> 197</w:t>
        </w:r>
      </w:hyperlink>
      <w:r w:rsidRPr="00C44A91">
        <w:rPr>
          <w:rFonts w:asciiTheme="minorBidi" w:hAnsiTheme="minorBidi"/>
          <w:sz w:val="18"/>
          <w:szCs w:val="18"/>
          <w:lang w:val="ru-RU"/>
        </w:rPr>
        <w:t>, «Оценка стратегического позиционирования Межправительственной океанографической комиссии (МОК-ЮНЕСКО)», 2021 г.</w:t>
      </w:r>
    </w:p>
  </w:footnote>
  <w:footnote w:id="5">
    <w:p w14:paraId="4F019257" w14:textId="77777777" w:rsidR="00C44A91" w:rsidRPr="00C44A91" w:rsidRDefault="00C44A91" w:rsidP="00C44A91">
      <w:pPr>
        <w:pBdr>
          <w:top w:val="nil"/>
          <w:left w:val="nil"/>
          <w:bottom w:val="nil"/>
          <w:right w:val="nil"/>
          <w:between w:val="nil"/>
        </w:pBdr>
        <w:ind w:left="567" w:hanging="567"/>
        <w:jc w:val="both"/>
        <w:rPr>
          <w:rFonts w:asciiTheme="minorBidi" w:hAnsiTheme="minorBidi" w:cstheme="minorBidi"/>
          <w:color w:val="000000"/>
          <w:sz w:val="18"/>
          <w:szCs w:val="18"/>
          <w:lang w:val="ru-RU"/>
        </w:rPr>
      </w:pPr>
      <w:r w:rsidRPr="00102875">
        <w:rPr>
          <w:rStyle w:val="FootnoteReference"/>
          <w:rFonts w:asciiTheme="minorBidi" w:hAnsiTheme="minorBidi" w:cstheme="minorBidi"/>
          <w:sz w:val="18"/>
          <w:szCs w:val="18"/>
        </w:rPr>
        <w:footnoteRef/>
      </w:r>
      <w:r w:rsidRPr="00C44A91">
        <w:rPr>
          <w:rFonts w:asciiTheme="minorBidi" w:hAnsiTheme="minorBidi"/>
          <w:color w:val="000000"/>
          <w:sz w:val="18"/>
          <w:szCs w:val="18"/>
          <w:lang w:val="ru-RU"/>
        </w:rPr>
        <w:t xml:space="preserve"> </w:t>
      </w:r>
      <w:r w:rsidRPr="00C44A91">
        <w:rPr>
          <w:rFonts w:asciiTheme="minorBidi" w:hAnsiTheme="minorBidi"/>
          <w:color w:val="000000"/>
          <w:sz w:val="18"/>
          <w:szCs w:val="18"/>
          <w:lang w:val="ru-RU"/>
        </w:rPr>
        <w:tab/>
      </w:r>
      <w:hyperlink r:id="rId4">
        <w:r w:rsidRPr="00102875">
          <w:rPr>
            <w:rFonts w:asciiTheme="minorBidi" w:hAnsiTheme="minorBidi"/>
            <w:color w:val="0563C1"/>
            <w:sz w:val="18"/>
            <w:szCs w:val="18"/>
            <w:u w:val="single"/>
          </w:rPr>
          <w:t>IOC</w:t>
        </w:r>
        <w:r w:rsidRPr="00C44A91">
          <w:rPr>
            <w:rFonts w:asciiTheme="minorBidi" w:hAnsiTheme="minorBidi"/>
            <w:color w:val="0563C1"/>
            <w:sz w:val="18"/>
            <w:szCs w:val="18"/>
            <w:u w:val="single"/>
            <w:lang w:val="ru-RU"/>
          </w:rPr>
          <w:t>-</w:t>
        </w:r>
        <w:r w:rsidRPr="00102875">
          <w:rPr>
            <w:rFonts w:asciiTheme="minorBidi" w:hAnsiTheme="minorBidi"/>
            <w:color w:val="0563C1"/>
            <w:sz w:val="18"/>
            <w:szCs w:val="18"/>
            <w:u w:val="single"/>
          </w:rPr>
          <w:t>UNESCO</w:t>
        </w:r>
        <w:r w:rsidRPr="00C44A91">
          <w:rPr>
            <w:rFonts w:asciiTheme="minorBidi" w:hAnsiTheme="minorBidi"/>
            <w:color w:val="0563C1"/>
            <w:sz w:val="18"/>
            <w:szCs w:val="18"/>
            <w:u w:val="single"/>
            <w:lang w:val="ru-RU"/>
          </w:rPr>
          <w:t>/</w:t>
        </w:r>
        <w:r w:rsidRPr="00102875">
          <w:rPr>
            <w:rFonts w:asciiTheme="minorBidi" w:hAnsiTheme="minorBidi"/>
            <w:color w:val="0563C1"/>
            <w:sz w:val="18"/>
            <w:szCs w:val="18"/>
            <w:u w:val="single"/>
          </w:rPr>
          <w:t>INF</w:t>
        </w:r>
        <w:r w:rsidRPr="00C44A91">
          <w:rPr>
            <w:rFonts w:asciiTheme="minorBidi" w:hAnsiTheme="minorBidi"/>
            <w:color w:val="0563C1"/>
            <w:sz w:val="18"/>
            <w:szCs w:val="18"/>
            <w:u w:val="single"/>
            <w:lang w:val="ru-RU"/>
          </w:rPr>
          <w:t>-1412, Среднесрочная стратегия МОК-ЮНЕСКО на 2022-2029 гг.</w:t>
        </w:r>
      </w:hyperlink>
    </w:p>
  </w:footnote>
  <w:footnote w:id="6">
    <w:p w14:paraId="0A5803DA" w14:textId="77777777" w:rsidR="00C44A91" w:rsidRPr="00C44A91" w:rsidRDefault="00C44A91" w:rsidP="00C44A91">
      <w:pPr>
        <w:pBdr>
          <w:top w:val="nil"/>
          <w:left w:val="nil"/>
          <w:bottom w:val="nil"/>
          <w:right w:val="nil"/>
          <w:between w:val="nil"/>
        </w:pBdr>
        <w:rPr>
          <w:rFonts w:asciiTheme="minorBidi" w:hAnsiTheme="minorBidi" w:cstheme="minorBidi"/>
          <w:color w:val="000000"/>
          <w:sz w:val="18"/>
          <w:szCs w:val="18"/>
          <w:lang w:val="ru-RU"/>
        </w:rPr>
      </w:pPr>
      <w:r w:rsidRPr="00102875">
        <w:rPr>
          <w:rStyle w:val="FootnoteReference"/>
          <w:rFonts w:asciiTheme="minorBidi" w:hAnsiTheme="minorBidi" w:cstheme="minorBidi"/>
          <w:sz w:val="18"/>
          <w:szCs w:val="18"/>
        </w:rPr>
        <w:footnoteRef/>
      </w:r>
      <w:r w:rsidRPr="00C44A91">
        <w:rPr>
          <w:rFonts w:asciiTheme="minorBidi" w:hAnsiTheme="minorBidi"/>
          <w:color w:val="000000"/>
          <w:sz w:val="18"/>
          <w:szCs w:val="18"/>
          <w:lang w:val="ru-RU"/>
        </w:rPr>
        <w:t xml:space="preserve"> </w:t>
      </w:r>
      <w:r w:rsidRPr="00C44A91">
        <w:rPr>
          <w:rFonts w:asciiTheme="minorBidi" w:hAnsiTheme="minorBidi"/>
          <w:color w:val="000000"/>
          <w:sz w:val="18"/>
          <w:szCs w:val="18"/>
          <w:lang w:val="ru-RU"/>
        </w:rPr>
        <w:tab/>
      </w:r>
      <w:hyperlink r:id="rId5">
        <w:r w:rsidRPr="00102875">
          <w:rPr>
            <w:rFonts w:asciiTheme="minorBidi" w:hAnsiTheme="minorBidi"/>
            <w:color w:val="0563C1"/>
            <w:sz w:val="18"/>
            <w:szCs w:val="18"/>
            <w:u w:val="single"/>
          </w:rPr>
          <w:t>IOC</w:t>
        </w:r>
        <w:r w:rsidRPr="00C44A91">
          <w:rPr>
            <w:rFonts w:asciiTheme="minorBidi" w:hAnsiTheme="minorBidi"/>
            <w:color w:val="0563C1"/>
            <w:sz w:val="18"/>
            <w:szCs w:val="18"/>
            <w:u w:val="single"/>
            <w:lang w:val="ru-RU"/>
          </w:rPr>
          <w:t>-</w:t>
        </w:r>
        <w:r w:rsidRPr="00102875">
          <w:rPr>
            <w:rFonts w:asciiTheme="minorBidi" w:hAnsiTheme="minorBidi"/>
            <w:color w:val="0563C1"/>
            <w:sz w:val="18"/>
            <w:szCs w:val="18"/>
            <w:u w:val="single"/>
          </w:rPr>
          <w:t>UNESCO</w:t>
        </w:r>
        <w:r w:rsidRPr="00C44A91">
          <w:rPr>
            <w:rFonts w:asciiTheme="minorBidi" w:hAnsiTheme="minorBidi"/>
            <w:color w:val="0563C1"/>
            <w:sz w:val="18"/>
            <w:szCs w:val="18"/>
            <w:u w:val="single"/>
            <w:lang w:val="ru-RU"/>
          </w:rPr>
          <w:t>/</w:t>
        </w:r>
        <w:r w:rsidRPr="00102875">
          <w:rPr>
            <w:rFonts w:asciiTheme="minorBidi" w:hAnsiTheme="minorBidi"/>
            <w:color w:val="0563C1"/>
            <w:sz w:val="18"/>
            <w:szCs w:val="18"/>
            <w:u w:val="single"/>
          </w:rPr>
          <w:t>INF</w:t>
        </w:r>
        <w:r w:rsidRPr="00C44A91">
          <w:rPr>
            <w:rFonts w:asciiTheme="minorBidi" w:hAnsiTheme="minorBidi"/>
            <w:color w:val="0563C1"/>
            <w:sz w:val="18"/>
            <w:szCs w:val="18"/>
            <w:u w:val="single"/>
            <w:lang w:val="ru-RU"/>
          </w:rPr>
          <w:t>-1314, Среднесрочная стратегия МОК-ЮНЕСКО на 2014-2021 гг.</w:t>
        </w:r>
      </w:hyperlink>
    </w:p>
  </w:footnote>
  <w:footnote w:id="7">
    <w:p w14:paraId="6D98796A" w14:textId="77777777" w:rsidR="00C44A91" w:rsidRPr="00C44A91" w:rsidRDefault="00C44A91" w:rsidP="00C44A91">
      <w:pPr>
        <w:ind w:left="567" w:hanging="567"/>
        <w:jc w:val="both"/>
        <w:rPr>
          <w:rFonts w:asciiTheme="minorBidi" w:hAnsiTheme="minorBidi" w:cstheme="minorBidi"/>
          <w:sz w:val="18"/>
          <w:szCs w:val="18"/>
          <w:lang w:val="ru-RU"/>
        </w:rPr>
      </w:pPr>
      <w:r w:rsidRPr="00102875">
        <w:rPr>
          <w:rStyle w:val="FootnoteReference"/>
          <w:rFonts w:asciiTheme="minorBidi" w:hAnsiTheme="minorBidi" w:cstheme="minorBidi"/>
          <w:sz w:val="18"/>
          <w:szCs w:val="18"/>
        </w:rPr>
        <w:footnoteRef/>
      </w:r>
      <w:r w:rsidRPr="00C44A91">
        <w:rPr>
          <w:rFonts w:asciiTheme="minorBidi" w:hAnsiTheme="minorBidi"/>
          <w:sz w:val="18"/>
          <w:szCs w:val="18"/>
          <w:lang w:val="ru-RU"/>
        </w:rPr>
        <w:t xml:space="preserve"> </w:t>
      </w:r>
      <w:r w:rsidRPr="00C44A91">
        <w:rPr>
          <w:rFonts w:asciiTheme="minorBidi" w:hAnsiTheme="minorBidi"/>
          <w:sz w:val="18"/>
          <w:szCs w:val="18"/>
          <w:lang w:val="ru-RU"/>
        </w:rPr>
        <w:tab/>
        <w:t xml:space="preserve">В порядке сравнения с организацией аналогичного профиля (см. </w:t>
      </w:r>
      <w:hyperlink r:id="rId6">
        <w:r w:rsidRPr="00C44A91">
          <w:rPr>
            <w:rFonts w:asciiTheme="minorBidi" w:hAnsiTheme="minorBidi"/>
            <w:color w:val="1155CC"/>
            <w:sz w:val="18"/>
            <w:szCs w:val="18"/>
            <w:u w:val="single"/>
            <w:lang w:val="ru-RU"/>
          </w:rPr>
          <w:t>финансовые отчеты ВМО за 2021 г.</w:t>
        </w:r>
      </w:hyperlink>
      <w:r w:rsidRPr="00C44A91">
        <w:rPr>
          <w:rFonts w:asciiTheme="minorBidi" w:hAnsiTheme="minorBidi"/>
          <w:sz w:val="18"/>
          <w:szCs w:val="18"/>
          <w:lang w:val="ru-RU"/>
        </w:rPr>
        <w:t xml:space="preserve"> от 16</w:t>
      </w:r>
      <w:r>
        <w:rPr>
          <w:rFonts w:asciiTheme="minorBidi" w:hAnsiTheme="minorBidi"/>
          <w:sz w:val="18"/>
          <w:szCs w:val="18"/>
        </w:rPr>
        <w:t> </w:t>
      </w:r>
      <w:r w:rsidRPr="00C44A91">
        <w:rPr>
          <w:rFonts w:asciiTheme="minorBidi" w:hAnsiTheme="minorBidi"/>
          <w:sz w:val="18"/>
          <w:szCs w:val="18"/>
          <w:lang w:val="ru-RU"/>
        </w:rPr>
        <w:t>июня 2022 г.) объем поступлений ВМО в 2021 г. составил 93</w:t>
      </w:r>
      <w:r w:rsidRPr="00102875">
        <w:rPr>
          <w:rFonts w:asciiTheme="minorBidi" w:hAnsiTheme="minorBidi"/>
          <w:sz w:val="18"/>
          <w:szCs w:val="18"/>
        </w:rPr>
        <w:t> </w:t>
      </w:r>
      <w:r w:rsidRPr="00C44A91">
        <w:rPr>
          <w:rFonts w:asciiTheme="minorBidi" w:hAnsiTheme="minorBidi"/>
          <w:sz w:val="18"/>
          <w:szCs w:val="18"/>
          <w:lang w:val="ru-RU"/>
        </w:rPr>
        <w:t>381</w:t>
      </w:r>
      <w:r w:rsidRPr="00102875">
        <w:rPr>
          <w:rFonts w:asciiTheme="minorBidi" w:hAnsiTheme="minorBidi"/>
          <w:sz w:val="18"/>
          <w:szCs w:val="18"/>
        </w:rPr>
        <w:t> </w:t>
      </w:r>
      <w:r w:rsidRPr="00C44A91">
        <w:rPr>
          <w:rFonts w:asciiTheme="minorBidi" w:hAnsiTheme="minorBidi"/>
          <w:sz w:val="18"/>
          <w:szCs w:val="18"/>
          <w:lang w:val="ru-RU"/>
        </w:rPr>
        <w:t>000 швейцарских франков, а сумма начисленных взносов – 67</w:t>
      </w:r>
      <w:r w:rsidRPr="00102875">
        <w:rPr>
          <w:rFonts w:asciiTheme="minorBidi" w:hAnsiTheme="minorBidi"/>
          <w:sz w:val="18"/>
          <w:szCs w:val="18"/>
        </w:rPr>
        <w:t> </w:t>
      </w:r>
      <w:r w:rsidRPr="00C44A91">
        <w:rPr>
          <w:rFonts w:asciiTheme="minorBidi" w:hAnsiTheme="minorBidi"/>
          <w:sz w:val="18"/>
          <w:szCs w:val="18"/>
          <w:lang w:val="ru-RU"/>
        </w:rPr>
        <w:t>886</w:t>
      </w:r>
      <w:r w:rsidRPr="00102875">
        <w:rPr>
          <w:rFonts w:asciiTheme="minorBidi" w:hAnsiTheme="minorBidi"/>
          <w:sz w:val="18"/>
          <w:szCs w:val="18"/>
        </w:rPr>
        <w:t> </w:t>
      </w:r>
      <w:r w:rsidRPr="00C44A91">
        <w:rPr>
          <w:rFonts w:asciiTheme="minorBidi" w:hAnsiTheme="minorBidi"/>
          <w:sz w:val="18"/>
          <w:szCs w:val="18"/>
          <w:lang w:val="ru-RU"/>
        </w:rPr>
        <w:t>000 швейцарских франков (т.е. 72% от суммы поступлений).</w:t>
      </w:r>
    </w:p>
  </w:footnote>
  <w:footnote w:id="8">
    <w:p w14:paraId="0D76D2B1" w14:textId="77777777" w:rsidR="00C44A91" w:rsidRPr="00C44A91" w:rsidRDefault="00C44A91" w:rsidP="00C44A91">
      <w:pPr>
        <w:pStyle w:val="FootnoteText"/>
        <w:jc w:val="both"/>
        <w:rPr>
          <w:rFonts w:cs="Arial"/>
          <w:sz w:val="18"/>
          <w:szCs w:val="18"/>
          <w:lang w:val="ru-RU"/>
        </w:rPr>
      </w:pPr>
      <w:r w:rsidRPr="00857052">
        <w:rPr>
          <w:rStyle w:val="FootnoteReference"/>
          <w:rFonts w:cs="Arial"/>
          <w:sz w:val="18"/>
          <w:szCs w:val="18"/>
        </w:rPr>
        <w:footnoteRef/>
      </w:r>
      <w:r w:rsidRPr="00C44A91">
        <w:rPr>
          <w:rFonts w:cs="Arial"/>
          <w:sz w:val="18"/>
          <w:szCs w:val="18"/>
          <w:lang w:val="ru-RU"/>
        </w:rPr>
        <w:t xml:space="preserve"> </w:t>
      </w:r>
      <w:r w:rsidRPr="00C44A91">
        <w:rPr>
          <w:sz w:val="18"/>
          <w:szCs w:val="18"/>
          <w:lang w:val="ru-RU"/>
        </w:rPr>
        <w:tab/>
      </w:r>
      <w:hyperlink r:id="rId7" w:history="1">
        <w:r w:rsidRPr="00FF2577">
          <w:rPr>
            <w:rStyle w:val="Hyperlink"/>
            <w:color w:val="0070C0"/>
            <w:sz w:val="18"/>
            <w:szCs w:val="18"/>
          </w:rPr>
          <w:t>IOC</w:t>
        </w:r>
        <w:r w:rsidRPr="00FF2577">
          <w:rPr>
            <w:rStyle w:val="Hyperlink"/>
            <w:color w:val="0070C0"/>
            <w:sz w:val="18"/>
            <w:szCs w:val="18"/>
            <w:lang w:val="ru-RU"/>
          </w:rPr>
          <w:t>/</w:t>
        </w:r>
        <w:r w:rsidRPr="00FF2577">
          <w:rPr>
            <w:rStyle w:val="Hyperlink"/>
            <w:color w:val="0070C0"/>
            <w:sz w:val="18"/>
            <w:szCs w:val="18"/>
          </w:rPr>
          <w:t>EC</w:t>
        </w:r>
        <w:r w:rsidRPr="00FF2577">
          <w:rPr>
            <w:rStyle w:val="Hyperlink"/>
            <w:color w:val="0070C0"/>
            <w:sz w:val="18"/>
            <w:szCs w:val="18"/>
            <w:lang w:val="ru-RU"/>
          </w:rPr>
          <w:t>-55/3.1.</w:t>
        </w:r>
        <w:r w:rsidRPr="00FF2577">
          <w:rPr>
            <w:rStyle w:val="Hyperlink"/>
            <w:color w:val="0070C0"/>
            <w:sz w:val="18"/>
            <w:szCs w:val="18"/>
          </w:rPr>
          <w:t>Doc</w:t>
        </w:r>
        <w:r w:rsidRPr="00FF2577">
          <w:rPr>
            <w:rStyle w:val="Hyperlink"/>
            <w:color w:val="0070C0"/>
            <w:sz w:val="18"/>
            <w:szCs w:val="18"/>
            <w:lang w:val="ru-RU"/>
          </w:rPr>
          <w:t>(2)</w:t>
        </w:r>
      </w:hyperlink>
      <w:r w:rsidRPr="00FF2577">
        <w:rPr>
          <w:rStyle w:val="Hyperlink"/>
          <w:color w:val="000000" w:themeColor="text1"/>
          <w:sz w:val="18"/>
          <w:szCs w:val="18"/>
          <w:u w:val="none"/>
          <w:lang w:val="ru-RU"/>
        </w:rPr>
        <w:t xml:space="preserve"> Доклад об исполнении бюджета 2020-2021</w:t>
      </w:r>
      <w:r w:rsidRPr="00FF2577">
        <w:rPr>
          <w:rStyle w:val="Hyperlink"/>
          <w:color w:val="000000" w:themeColor="text1"/>
          <w:sz w:val="18"/>
          <w:szCs w:val="18"/>
          <w:u w:val="none"/>
        </w:rPr>
        <w:t> </w:t>
      </w:r>
      <w:r w:rsidRPr="00FF2577">
        <w:rPr>
          <w:rStyle w:val="Hyperlink"/>
          <w:color w:val="000000" w:themeColor="text1"/>
          <w:sz w:val="18"/>
          <w:szCs w:val="18"/>
          <w:u w:val="none"/>
          <w:lang w:val="ru-RU"/>
        </w:rPr>
        <w:t xml:space="preserve">гг. (40 </w:t>
      </w:r>
      <w:r w:rsidRPr="00FF2577">
        <w:rPr>
          <w:rStyle w:val="Hyperlink"/>
          <w:color w:val="000000" w:themeColor="text1"/>
          <w:sz w:val="18"/>
          <w:szCs w:val="18"/>
          <w:u w:val="none"/>
        </w:rPr>
        <w:t>C</w:t>
      </w:r>
      <w:r w:rsidRPr="00FF2577">
        <w:rPr>
          <w:rStyle w:val="Hyperlink"/>
          <w:color w:val="000000" w:themeColor="text1"/>
          <w:sz w:val="18"/>
          <w:szCs w:val="18"/>
          <w:u w:val="none"/>
          <w:lang w:val="ru-RU"/>
        </w:rPr>
        <w:t>/5) по состоянию на 31 декабря 2021 г. и общие параметры комплексного бюджета на 2022-2023</w:t>
      </w:r>
      <w:r w:rsidRPr="00FF2577">
        <w:rPr>
          <w:rStyle w:val="Hyperlink"/>
          <w:color w:val="000000" w:themeColor="text1"/>
          <w:sz w:val="18"/>
          <w:szCs w:val="18"/>
          <w:u w:val="none"/>
        </w:rPr>
        <w:t> </w:t>
      </w:r>
      <w:r w:rsidRPr="00FF2577">
        <w:rPr>
          <w:rStyle w:val="Hyperlink"/>
          <w:color w:val="000000" w:themeColor="text1"/>
          <w:sz w:val="18"/>
          <w:szCs w:val="18"/>
          <w:u w:val="none"/>
          <w:lang w:val="ru-RU"/>
        </w:rPr>
        <w:t>гг.</w:t>
      </w:r>
    </w:p>
  </w:footnote>
  <w:footnote w:id="9">
    <w:p w14:paraId="227D9B75" w14:textId="77777777" w:rsidR="00C44A91" w:rsidRPr="00C44A91" w:rsidRDefault="00C44A91" w:rsidP="00C44A91">
      <w:pPr>
        <w:ind w:left="567" w:hanging="567"/>
        <w:jc w:val="both"/>
        <w:rPr>
          <w:rFonts w:asciiTheme="minorBidi" w:eastAsia="Helvetica Neue" w:hAnsiTheme="minorBidi" w:cstheme="minorBidi"/>
          <w:color w:val="5C6B80"/>
          <w:sz w:val="18"/>
          <w:szCs w:val="18"/>
          <w:lang w:val="ru-RU"/>
        </w:rPr>
      </w:pPr>
      <w:r w:rsidRPr="00857052">
        <w:rPr>
          <w:rStyle w:val="FootnoteReference"/>
          <w:rFonts w:cs="Arial"/>
          <w:sz w:val="18"/>
          <w:szCs w:val="18"/>
        </w:rPr>
        <w:footnoteRef/>
      </w:r>
      <w:r w:rsidRPr="00C44A91">
        <w:rPr>
          <w:rFonts w:asciiTheme="minorHAnsi" w:hAnsiTheme="minorHAnsi"/>
          <w:color w:val="000000"/>
          <w:sz w:val="18"/>
          <w:szCs w:val="18"/>
          <w:lang w:val="ru-RU"/>
        </w:rPr>
        <w:t xml:space="preserve"> </w:t>
      </w:r>
      <w:r w:rsidRPr="00C44A91">
        <w:rPr>
          <w:rFonts w:asciiTheme="minorHAnsi" w:hAnsiTheme="minorHAnsi"/>
          <w:color w:val="000000"/>
          <w:sz w:val="18"/>
          <w:szCs w:val="18"/>
          <w:lang w:val="ru-RU"/>
        </w:rPr>
        <w:tab/>
      </w:r>
      <w:r w:rsidRPr="00C44A91">
        <w:rPr>
          <w:rFonts w:asciiTheme="minorBidi" w:hAnsiTheme="minorBidi"/>
          <w:color w:val="000000"/>
          <w:sz w:val="18"/>
          <w:szCs w:val="18"/>
          <w:lang w:val="ru-RU"/>
        </w:rPr>
        <w:t>Задача 14.</w:t>
      </w:r>
      <w:r w:rsidRPr="00102875">
        <w:rPr>
          <w:rFonts w:asciiTheme="minorBidi" w:hAnsiTheme="minorBidi"/>
          <w:color w:val="000000"/>
          <w:sz w:val="18"/>
          <w:szCs w:val="18"/>
        </w:rPr>
        <w:t>a</w:t>
      </w:r>
      <w:r w:rsidRPr="00C44A91">
        <w:rPr>
          <w:rFonts w:asciiTheme="minorBidi" w:hAnsiTheme="minorBidi"/>
          <w:color w:val="000000"/>
          <w:sz w:val="18"/>
          <w:szCs w:val="18"/>
          <w:lang w:val="ru-RU"/>
        </w:rPr>
        <w:t>.: Увеличить объем научных знаний, расширить научные исследования и обеспечить передачу морских технологий, принимая во внимание, разработанные Межправительственной океанографической комиссией, с тем чтобы улучшить экологическое состояние океанской среды и повысить вклад морского биоразнообразия в развитие развивающихся стран, особенно малых островных развивающихся государств и наименее развитых стран.</w:t>
      </w:r>
    </w:p>
    <w:p w14:paraId="47C19219" w14:textId="77777777" w:rsidR="00C44A91" w:rsidRPr="00C44A91" w:rsidRDefault="00C44A91" w:rsidP="00C44A91">
      <w:pPr>
        <w:pBdr>
          <w:top w:val="nil"/>
          <w:left w:val="nil"/>
          <w:bottom w:val="nil"/>
          <w:right w:val="nil"/>
          <w:between w:val="nil"/>
        </w:pBdr>
        <w:rPr>
          <w:color w:val="000000"/>
          <w:sz w:val="18"/>
          <w:szCs w:val="18"/>
          <w:lang w:val="ru-RU"/>
        </w:rPr>
      </w:pPr>
    </w:p>
  </w:footnote>
  <w:footnote w:id="10">
    <w:p w14:paraId="680EA491" w14:textId="77777777" w:rsidR="00C44A91" w:rsidRPr="00C44A91" w:rsidRDefault="00C44A91" w:rsidP="00C44A91">
      <w:pPr>
        <w:ind w:left="567" w:hanging="567"/>
        <w:jc w:val="both"/>
        <w:rPr>
          <w:rFonts w:cs="Arial"/>
          <w:sz w:val="18"/>
          <w:szCs w:val="18"/>
          <w:lang w:val="ru-RU"/>
        </w:rPr>
      </w:pPr>
      <w:r w:rsidRPr="00102875">
        <w:rPr>
          <w:rStyle w:val="FootnoteReference"/>
          <w:rFonts w:cs="Arial"/>
          <w:sz w:val="18"/>
          <w:szCs w:val="18"/>
        </w:rPr>
        <w:footnoteRef/>
      </w:r>
      <w:r w:rsidRPr="00C44A91">
        <w:rPr>
          <w:sz w:val="18"/>
          <w:szCs w:val="18"/>
          <w:lang w:val="ru-RU"/>
        </w:rPr>
        <w:t xml:space="preserve"> </w:t>
      </w:r>
      <w:r w:rsidRPr="00C44A91">
        <w:rPr>
          <w:sz w:val="18"/>
          <w:szCs w:val="18"/>
          <w:lang w:val="ru-RU"/>
        </w:rPr>
        <w:tab/>
      </w:r>
      <w:r w:rsidRPr="00C44A91">
        <w:rPr>
          <w:rFonts w:cs="Arial"/>
          <w:sz w:val="18"/>
          <w:szCs w:val="18"/>
          <w:lang w:val="ru-RU"/>
        </w:rPr>
        <w:t>Реализация задач Десятилетия потребовала создания соответствующей инфраструктуры поддержки, которая включает Консультативный совет по вопросам проведения Десятилетия, созданную на базе секретариата МОК Группу по координации проведения Десятилетия, тематические и региональные бюро по координации проведения Десятилетия, центры сотрудничества в рамках Десятилетия, а также партнеров-исполнителей, национальные комитеты, многочисленные рабочие группы и команды, Альянс ООН в поддержку Десятилетия науки об океане, Глобального форума заинтересованных сторон и т.д.</w:t>
      </w:r>
    </w:p>
    <w:p w14:paraId="14CC4690" w14:textId="77777777" w:rsidR="00C44A91" w:rsidRPr="00C44A91" w:rsidRDefault="00C44A91" w:rsidP="00C44A91">
      <w:pPr>
        <w:jc w:val="both"/>
        <w:rPr>
          <w:rFonts w:cs="Arial"/>
          <w:sz w:val="18"/>
          <w:szCs w:val="18"/>
          <w:lang w:val="ru-RU"/>
        </w:rPr>
      </w:pPr>
    </w:p>
  </w:footnote>
  <w:footnote w:id="11">
    <w:p w14:paraId="7BBBCDC3" w14:textId="77777777" w:rsidR="00C44A91" w:rsidRPr="00C44A91" w:rsidRDefault="00C44A91" w:rsidP="00C44A91">
      <w:pPr>
        <w:pStyle w:val="FootnoteText"/>
        <w:rPr>
          <w:rFonts w:cs="Arial"/>
          <w:sz w:val="18"/>
          <w:szCs w:val="18"/>
          <w:lang w:val="ru-RU"/>
        </w:rPr>
      </w:pPr>
      <w:r w:rsidRPr="00857052">
        <w:rPr>
          <w:rStyle w:val="FootnoteReference"/>
          <w:rFonts w:cs="Arial"/>
          <w:sz w:val="18"/>
          <w:szCs w:val="18"/>
        </w:rPr>
        <w:footnoteRef/>
      </w:r>
      <w:r w:rsidRPr="00C44A91">
        <w:rPr>
          <w:sz w:val="18"/>
          <w:szCs w:val="18"/>
          <w:lang w:val="ru-RU"/>
        </w:rPr>
        <w:t xml:space="preserve"> </w:t>
      </w:r>
      <w:r w:rsidRPr="00C44A91">
        <w:rPr>
          <w:sz w:val="18"/>
          <w:szCs w:val="18"/>
          <w:lang w:val="ru-RU"/>
        </w:rPr>
        <w:tab/>
        <w:t xml:space="preserve">Утвержденный бюджет 41 </w:t>
      </w:r>
      <w:r w:rsidRPr="00102875">
        <w:rPr>
          <w:sz w:val="18"/>
          <w:szCs w:val="18"/>
        </w:rPr>
        <w:t>C</w:t>
      </w:r>
      <w:r w:rsidRPr="00C44A91">
        <w:rPr>
          <w:sz w:val="18"/>
          <w:szCs w:val="18"/>
          <w:lang w:val="ru-RU"/>
        </w:rPr>
        <w:t xml:space="preserve">/5 – Приложение </w:t>
      </w:r>
      <w:r w:rsidRPr="00102875">
        <w:rPr>
          <w:sz w:val="18"/>
          <w:szCs w:val="18"/>
        </w:rPr>
        <w:t>I</w:t>
      </w:r>
      <w:r w:rsidRPr="00C44A91">
        <w:rPr>
          <w:sz w:val="18"/>
          <w:szCs w:val="18"/>
          <w:lang w:val="ru-RU"/>
        </w:rPr>
        <w:t>.</w:t>
      </w:r>
    </w:p>
  </w:footnote>
  <w:footnote w:id="12">
    <w:p w14:paraId="6ED1AEAB" w14:textId="77777777" w:rsidR="00C44A91" w:rsidRPr="00C44A91" w:rsidRDefault="00C44A91" w:rsidP="00C44A91">
      <w:pPr>
        <w:pStyle w:val="FootnoteText"/>
        <w:jc w:val="both"/>
        <w:rPr>
          <w:rFonts w:cs="Arial"/>
          <w:sz w:val="18"/>
          <w:szCs w:val="18"/>
          <w:lang w:val="ru-RU"/>
        </w:rPr>
      </w:pPr>
      <w:r w:rsidRPr="00102875">
        <w:rPr>
          <w:rStyle w:val="FootnoteReference"/>
          <w:rFonts w:cs="Arial"/>
          <w:sz w:val="18"/>
          <w:szCs w:val="18"/>
        </w:rPr>
        <w:footnoteRef/>
      </w:r>
      <w:r w:rsidRPr="00C44A91">
        <w:rPr>
          <w:sz w:val="18"/>
          <w:szCs w:val="18"/>
          <w:lang w:val="ru-RU"/>
        </w:rPr>
        <w:t xml:space="preserve"> </w:t>
      </w:r>
      <w:r w:rsidRPr="00C44A91">
        <w:rPr>
          <w:sz w:val="18"/>
          <w:szCs w:val="18"/>
          <w:lang w:val="ru-RU"/>
        </w:rPr>
        <w:tab/>
      </w:r>
      <w:hyperlink r:id="rId8" w:history="1">
        <w:r w:rsidRPr="009A123B">
          <w:rPr>
            <w:rStyle w:val="Hyperlink"/>
            <w:color w:val="0070C0"/>
            <w:sz w:val="18"/>
            <w:szCs w:val="18"/>
          </w:rPr>
          <w:t>IOC</w:t>
        </w:r>
        <w:r w:rsidRPr="009A123B">
          <w:rPr>
            <w:rStyle w:val="Hyperlink"/>
            <w:color w:val="0070C0"/>
            <w:sz w:val="18"/>
            <w:szCs w:val="18"/>
            <w:lang w:val="ru-RU"/>
          </w:rPr>
          <w:t>/</w:t>
        </w:r>
        <w:r w:rsidRPr="009A123B">
          <w:rPr>
            <w:rStyle w:val="Hyperlink"/>
            <w:color w:val="0070C0"/>
            <w:sz w:val="18"/>
            <w:szCs w:val="18"/>
          </w:rPr>
          <w:t>EC</w:t>
        </w:r>
        <w:r w:rsidRPr="009A123B">
          <w:rPr>
            <w:rStyle w:val="Hyperlink"/>
            <w:color w:val="0070C0"/>
            <w:sz w:val="18"/>
            <w:szCs w:val="18"/>
            <w:lang w:val="ru-RU"/>
          </w:rPr>
          <w:t>-55/3.1.</w:t>
        </w:r>
        <w:r w:rsidRPr="009A123B">
          <w:rPr>
            <w:rStyle w:val="Hyperlink"/>
            <w:color w:val="0070C0"/>
            <w:sz w:val="18"/>
            <w:szCs w:val="18"/>
          </w:rPr>
          <w:t>Doc</w:t>
        </w:r>
        <w:r w:rsidRPr="009A123B">
          <w:rPr>
            <w:rStyle w:val="Hyperlink"/>
            <w:color w:val="0070C0"/>
            <w:sz w:val="18"/>
            <w:szCs w:val="18"/>
            <w:lang w:val="ru-RU"/>
          </w:rPr>
          <w:t>(2), таблица 3</w:t>
        </w:r>
      </w:hyperlink>
      <w:r w:rsidRPr="009A123B">
        <w:rPr>
          <w:rStyle w:val="Hyperlink"/>
          <w:color w:val="0070C0"/>
          <w:sz w:val="18"/>
          <w:szCs w:val="18"/>
          <w:u w:val="none"/>
          <w:lang w:val="ru-RU"/>
        </w:rPr>
        <w:t>:</w:t>
      </w:r>
      <w:r w:rsidRPr="009A123B">
        <w:rPr>
          <w:lang w:val="ru-RU"/>
        </w:rPr>
        <w:t xml:space="preserve"> </w:t>
      </w:r>
      <w:r w:rsidRPr="00C44A91">
        <w:rPr>
          <w:sz w:val="18"/>
          <w:szCs w:val="18"/>
          <w:lang w:val="ru-RU"/>
        </w:rPr>
        <w:t>Доклад об исполнении бюджета на 2020-2021</w:t>
      </w:r>
      <w:r w:rsidRPr="00102875">
        <w:rPr>
          <w:sz w:val="18"/>
          <w:szCs w:val="18"/>
        </w:rPr>
        <w:t> </w:t>
      </w:r>
      <w:r w:rsidRPr="00C44A91">
        <w:rPr>
          <w:sz w:val="18"/>
          <w:szCs w:val="18"/>
          <w:lang w:val="ru-RU"/>
        </w:rPr>
        <w:t xml:space="preserve">гг. (40 </w:t>
      </w:r>
      <w:r w:rsidRPr="00102875">
        <w:rPr>
          <w:sz w:val="18"/>
          <w:szCs w:val="18"/>
        </w:rPr>
        <w:t>C</w:t>
      </w:r>
      <w:r w:rsidRPr="00C44A91">
        <w:rPr>
          <w:sz w:val="18"/>
          <w:szCs w:val="18"/>
          <w:lang w:val="ru-RU"/>
        </w:rPr>
        <w:t>/5) по состоянию на 31 декабря 2021 г. и общие параметры комплексного бюджета на 2022-2023</w:t>
      </w:r>
      <w:r w:rsidRPr="00102875">
        <w:rPr>
          <w:sz w:val="18"/>
          <w:szCs w:val="18"/>
        </w:rPr>
        <w:t> </w:t>
      </w:r>
      <w:r w:rsidRPr="00C44A91">
        <w:rPr>
          <w:sz w:val="18"/>
          <w:szCs w:val="18"/>
          <w:lang w:val="ru-RU"/>
        </w:rPr>
        <w:t>гг. [анализ расходов на 2020-2021 гг. в разбивке по основным категориям расходов с учетом их характера].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988B" w14:textId="61C431FD" w:rsidR="00401EF9" w:rsidRPr="0032183D" w:rsidRDefault="00401EF9" w:rsidP="0032183D">
    <w:pPr>
      <w:pStyle w:val="Header"/>
      <w:tabs>
        <w:tab w:val="clear" w:pos="8306"/>
      </w:tabs>
      <w:rPr>
        <w:rFonts w:cs="Arial"/>
        <w:szCs w:val="22"/>
      </w:rPr>
    </w:pPr>
    <w:r w:rsidRPr="0032183D">
      <w:rPr>
        <w:szCs w:val="22"/>
        <w:lang w:val="ru-RU"/>
      </w:rPr>
      <w:t>IOC</w:t>
    </w:r>
    <w:r w:rsidR="00B514D5">
      <w:rPr>
        <w:szCs w:val="22"/>
        <w:lang w:val="en-US"/>
      </w:rPr>
      <w:t>/A</w:t>
    </w:r>
    <w:r w:rsidRPr="0032183D">
      <w:rPr>
        <w:szCs w:val="22"/>
        <w:lang w:val="ru-RU"/>
      </w:rPr>
      <w:t>-32/</w:t>
    </w:r>
    <w:proofErr w:type="gramStart"/>
    <w:r w:rsidRPr="0032183D">
      <w:rPr>
        <w:szCs w:val="22"/>
        <w:lang w:val="ru-RU"/>
      </w:rPr>
      <w:t>5.Doc</w:t>
    </w:r>
    <w:proofErr w:type="gramEnd"/>
    <w:r w:rsidRPr="0032183D">
      <w:rPr>
        <w:szCs w:val="22"/>
        <w:lang w:val="ru-RU"/>
      </w:rPr>
      <w:t xml:space="preserve">(1) – </w:t>
    </w:r>
    <w:proofErr w:type="spellStart"/>
    <w:r w:rsidRPr="0032183D">
      <w:rPr>
        <w:rFonts w:cs="Arial"/>
        <w:szCs w:val="22"/>
        <w:lang w:val="pt-PT"/>
      </w:rPr>
      <w:t>page</w:t>
    </w:r>
    <w:proofErr w:type="spellEnd"/>
    <w:r w:rsidRPr="0032183D">
      <w:rPr>
        <w:rFonts w:cs="Arial"/>
        <w:szCs w:val="22"/>
        <w:lang w:val="pt-PT"/>
      </w:rPr>
      <w:t> </w:t>
    </w:r>
    <w:r w:rsidRPr="0032183D">
      <w:rPr>
        <w:rStyle w:val="PageNumber"/>
        <w:rFonts w:cs="Arial"/>
        <w:szCs w:val="22"/>
      </w:rPr>
      <w:fldChar w:fldCharType="begin"/>
    </w:r>
    <w:r w:rsidRPr="0032183D">
      <w:rPr>
        <w:rStyle w:val="PageNumber"/>
        <w:rFonts w:cs="Arial"/>
        <w:szCs w:val="22"/>
        <w:lang w:val="pt-PT"/>
      </w:rPr>
      <w:instrText xml:space="preserve"> PAGE </w:instrText>
    </w:r>
    <w:r w:rsidRPr="0032183D">
      <w:rPr>
        <w:rStyle w:val="PageNumber"/>
        <w:rFonts w:cs="Arial"/>
        <w:szCs w:val="22"/>
      </w:rPr>
      <w:fldChar w:fldCharType="separate"/>
    </w:r>
    <w:r w:rsidRPr="0032183D">
      <w:rPr>
        <w:rStyle w:val="PageNumber"/>
        <w:rFonts w:cs="Arial"/>
        <w:noProof/>
        <w:szCs w:val="22"/>
        <w:lang w:val="pt-PT"/>
      </w:rPr>
      <w:t>2</w:t>
    </w:r>
    <w:r w:rsidRPr="0032183D">
      <w:rPr>
        <w:rStyle w:val="PageNumber"/>
        <w:rFonts w:cs="Arial"/>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D06E4" w14:textId="33DA3859" w:rsidR="0002302E" w:rsidRPr="00003B31" w:rsidRDefault="0002302E" w:rsidP="0032183D">
    <w:pPr>
      <w:pStyle w:val="Header"/>
      <w:tabs>
        <w:tab w:val="clear" w:pos="4153"/>
        <w:tab w:val="clear" w:pos="8306"/>
      </w:tabs>
      <w:jc w:val="right"/>
      <w:rPr>
        <w:rFonts w:cs="Arial"/>
        <w:szCs w:val="22"/>
        <w:lang w:val="fr-FR"/>
      </w:rPr>
    </w:pPr>
    <w:r>
      <w:rPr>
        <w:lang w:val="ru-RU"/>
      </w:rPr>
      <w:t>IOC</w:t>
    </w:r>
    <w:r w:rsidR="00B514D5">
      <w:rPr>
        <w:lang w:val="en-US"/>
      </w:rPr>
      <w:t>/A</w:t>
    </w:r>
    <w:r>
      <w:rPr>
        <w:lang w:val="ru-RU"/>
      </w:rPr>
      <w:t>-32/</w:t>
    </w:r>
    <w:proofErr w:type="gramStart"/>
    <w:r>
      <w:rPr>
        <w:lang w:val="ru-RU"/>
      </w:rPr>
      <w:t>5.Doc</w:t>
    </w:r>
    <w:proofErr w:type="gramEnd"/>
    <w:r>
      <w:rPr>
        <w:lang w:val="ru-RU"/>
      </w:rPr>
      <w:t xml:space="preserve">(1) – </w:t>
    </w:r>
    <w:r w:rsidRPr="00003B31">
      <w:rPr>
        <w:rFonts w:cs="Arial"/>
        <w:szCs w:val="22"/>
        <w:lang w:val="fr-FR"/>
      </w:rPr>
      <w:t>page </w:t>
    </w:r>
    <w:r w:rsidRPr="00424DE6">
      <w:rPr>
        <w:rStyle w:val="PageNumber"/>
        <w:rFonts w:cs="Arial"/>
        <w:szCs w:val="22"/>
      </w:rPr>
      <w:fldChar w:fldCharType="begin"/>
    </w:r>
    <w:r w:rsidRPr="00003B31">
      <w:rPr>
        <w:rStyle w:val="PageNumber"/>
        <w:rFonts w:cs="Arial"/>
        <w:szCs w:val="22"/>
        <w:lang w:val="fr-FR"/>
      </w:rPr>
      <w:instrText xml:space="preserve"> PAGE </w:instrText>
    </w:r>
    <w:r w:rsidRPr="00424DE6">
      <w:rPr>
        <w:rStyle w:val="PageNumber"/>
        <w:rFonts w:cs="Arial"/>
        <w:szCs w:val="22"/>
      </w:rPr>
      <w:fldChar w:fldCharType="separate"/>
    </w:r>
    <w:r>
      <w:rPr>
        <w:rStyle w:val="PageNumber"/>
        <w:rFonts w:cs="Arial"/>
        <w:noProof/>
        <w:szCs w:val="22"/>
        <w:lang w:val="fr-FR"/>
      </w:rPr>
      <w:t>3</w:t>
    </w:r>
    <w:r w:rsidRPr="00424DE6">
      <w:rPr>
        <w:rStyle w:val="PageNumber"/>
        <w:rFonts w:cs="Arial"/>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930C" w14:textId="2BEA9303" w:rsidR="0032183D" w:rsidRPr="005E350A" w:rsidRDefault="0032183D" w:rsidP="00B514D5">
    <w:pPr>
      <w:pStyle w:val="Marge"/>
      <w:tabs>
        <w:tab w:val="left" w:pos="6521"/>
      </w:tabs>
      <w:spacing w:after="0"/>
      <w:rPr>
        <w:rFonts w:cs="Arial"/>
        <w:b/>
        <w:szCs w:val="22"/>
        <w:lang w:val="ru-RU"/>
      </w:rPr>
    </w:pPr>
    <w:r>
      <w:rPr>
        <w:lang w:val="ru-RU"/>
      </w:rPr>
      <w:t>Рассылается по списку</w:t>
    </w:r>
    <w:r>
      <w:rPr>
        <w:lang w:val="ru-RU"/>
      </w:rPr>
      <w:tab/>
    </w:r>
    <w:r w:rsidRPr="00AE483B">
      <w:rPr>
        <w:b/>
        <w:bCs/>
        <w:sz w:val="36"/>
        <w:szCs w:val="36"/>
        <w:lang w:val="ru-RU"/>
      </w:rPr>
      <w:t>IOC</w:t>
    </w:r>
    <w:r w:rsidR="00B514D5" w:rsidRPr="00B514D5">
      <w:rPr>
        <w:b/>
        <w:bCs/>
        <w:sz w:val="36"/>
        <w:szCs w:val="36"/>
        <w:lang w:val="ru-RU"/>
      </w:rPr>
      <w:t>/</w:t>
    </w:r>
    <w:r w:rsidR="00B514D5">
      <w:rPr>
        <w:b/>
        <w:bCs/>
        <w:sz w:val="36"/>
        <w:szCs w:val="36"/>
        <w:lang w:val="en-US"/>
      </w:rPr>
      <w:t>A</w:t>
    </w:r>
    <w:r w:rsidRPr="00AE483B">
      <w:rPr>
        <w:b/>
        <w:bCs/>
        <w:sz w:val="36"/>
        <w:szCs w:val="36"/>
        <w:lang w:val="ru-RU"/>
      </w:rPr>
      <w:t>-32/</w:t>
    </w:r>
    <w:proofErr w:type="gramStart"/>
    <w:r w:rsidRPr="00AE483B">
      <w:rPr>
        <w:b/>
        <w:bCs/>
        <w:sz w:val="36"/>
        <w:szCs w:val="36"/>
        <w:lang w:val="ru-RU"/>
      </w:rPr>
      <w:t>5.Doc</w:t>
    </w:r>
    <w:proofErr w:type="gramEnd"/>
    <w:r w:rsidRPr="00AE483B">
      <w:rPr>
        <w:b/>
        <w:bCs/>
        <w:sz w:val="36"/>
        <w:szCs w:val="36"/>
        <w:lang w:val="ru-RU"/>
      </w:rPr>
      <w:t>(1)</w:t>
    </w:r>
  </w:p>
  <w:p w14:paraId="2237E3C4" w14:textId="77777777" w:rsidR="0032183D" w:rsidRPr="00832412" w:rsidRDefault="0032183D" w:rsidP="00B514D5">
    <w:pPr>
      <w:tabs>
        <w:tab w:val="clear" w:pos="567"/>
        <w:tab w:val="left" w:pos="6521"/>
        <w:tab w:val="left" w:pos="7560"/>
      </w:tabs>
      <w:jc w:val="both"/>
      <w:rPr>
        <w:rFonts w:cs="Arial"/>
        <w:szCs w:val="22"/>
        <w:lang w:val="ru-RU"/>
      </w:rPr>
    </w:pPr>
    <w:r>
      <w:rPr>
        <w:noProof/>
        <w:lang w:val="ru-RU"/>
      </w:rPr>
      <w:drawing>
        <wp:anchor distT="0" distB="0" distL="114300" distR="114300" simplePos="0" relativeHeight="251659264" behindDoc="0" locked="0" layoutInCell="1" allowOverlap="1" wp14:anchorId="0EDA7258" wp14:editId="6D61468C">
          <wp:simplePos x="0" y="0"/>
          <wp:positionH relativeFrom="column">
            <wp:posOffset>-19685</wp:posOffset>
          </wp:positionH>
          <wp:positionV relativeFrom="paragraph">
            <wp:posOffset>101600</wp:posOffset>
          </wp:positionV>
          <wp:extent cx="1578610" cy="1047115"/>
          <wp:effectExtent l="0" t="0" r="2540" b="635"/>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ru-RU"/>
      </w:rPr>
      <w:tab/>
      <w:t>Париж, 15 мая 2023 г.</w:t>
    </w:r>
  </w:p>
  <w:p w14:paraId="552996B7" w14:textId="399BA4F4" w:rsidR="0032183D" w:rsidRPr="00832412" w:rsidRDefault="0032183D" w:rsidP="00B514D5">
    <w:pPr>
      <w:tabs>
        <w:tab w:val="clear" w:pos="567"/>
        <w:tab w:val="left" w:pos="6521"/>
        <w:tab w:val="left" w:pos="7560"/>
      </w:tabs>
      <w:jc w:val="both"/>
      <w:rPr>
        <w:rFonts w:cs="Arial"/>
        <w:szCs w:val="22"/>
        <w:lang w:val="ru-RU"/>
      </w:rPr>
    </w:pPr>
    <w:r>
      <w:rPr>
        <w:lang w:val="ru-RU"/>
      </w:rPr>
      <w:tab/>
    </w:r>
    <w:r w:rsidR="00EB27A1">
      <w:rPr>
        <w:lang w:val="ru-RU"/>
      </w:rPr>
      <w:t>Оригинал: английский</w:t>
    </w:r>
  </w:p>
  <w:p w14:paraId="3787D362" w14:textId="77777777" w:rsidR="0032183D" w:rsidRPr="00832412" w:rsidRDefault="0032183D" w:rsidP="0032183D">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6946"/>
        <w:tab w:val="left" w:pos="7020"/>
        <w:tab w:val="left" w:pos="7088"/>
      </w:tabs>
      <w:jc w:val="both"/>
      <w:rPr>
        <w:rFonts w:cs="Arial"/>
        <w:b/>
        <w:szCs w:val="22"/>
        <w:lang w:val="ru-RU"/>
      </w:rPr>
    </w:pPr>
  </w:p>
  <w:p w14:paraId="70C51577" w14:textId="77777777" w:rsidR="0032183D" w:rsidRPr="00832412" w:rsidRDefault="0032183D" w:rsidP="0032183D">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ru-RU"/>
      </w:rPr>
    </w:pPr>
  </w:p>
  <w:p w14:paraId="53D55F47" w14:textId="77777777" w:rsidR="0032183D" w:rsidRPr="00832412" w:rsidRDefault="0032183D" w:rsidP="0032183D">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ru-RU"/>
      </w:rPr>
    </w:pPr>
  </w:p>
  <w:p w14:paraId="3BB51A1C" w14:textId="77777777" w:rsidR="0032183D" w:rsidRPr="00832412" w:rsidRDefault="0032183D" w:rsidP="0032183D">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ru-RU"/>
      </w:rPr>
    </w:pPr>
  </w:p>
  <w:p w14:paraId="2DB76C8E" w14:textId="77777777" w:rsidR="0032183D" w:rsidRPr="00832412" w:rsidRDefault="0032183D" w:rsidP="0032183D">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ru-RU"/>
      </w:rPr>
    </w:pPr>
  </w:p>
  <w:p w14:paraId="70CC48E4" w14:textId="77777777" w:rsidR="0032183D" w:rsidRPr="00832412" w:rsidRDefault="0032183D" w:rsidP="0032183D">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ru-RU"/>
      </w:rPr>
    </w:pPr>
  </w:p>
  <w:p w14:paraId="681553B4" w14:textId="77777777" w:rsidR="0032183D" w:rsidRPr="00832412" w:rsidRDefault="0032183D" w:rsidP="0032183D">
    <w:pPr>
      <w:tabs>
        <w:tab w:val="left" w:pos="-1440"/>
        <w:tab w:val="left" w:pos="-720"/>
        <w:tab w:val="left" w:pos="720"/>
        <w:tab w:val="left" w:pos="2160"/>
        <w:tab w:val="left" w:pos="3600"/>
        <w:tab w:val="left" w:pos="4320"/>
        <w:tab w:val="left" w:pos="5040"/>
        <w:tab w:val="left" w:pos="5523"/>
        <w:tab w:val="left" w:pos="6480"/>
      </w:tabs>
      <w:jc w:val="center"/>
      <w:rPr>
        <w:rFonts w:cs="Arial"/>
        <w:b/>
        <w:szCs w:val="22"/>
        <w:lang w:val="ru-RU"/>
      </w:rPr>
    </w:pPr>
    <w:r>
      <w:rPr>
        <w:b/>
        <w:bCs/>
        <w:lang w:val="ru-RU"/>
      </w:rPr>
      <w:t>Межправительственная океанографическая комиссия</w:t>
    </w:r>
  </w:p>
  <w:p w14:paraId="15390A6B" w14:textId="77777777" w:rsidR="0032183D" w:rsidRPr="00832412" w:rsidRDefault="0032183D" w:rsidP="0032183D">
    <w:pPr>
      <w:tabs>
        <w:tab w:val="left" w:pos="-1440"/>
        <w:tab w:val="left" w:pos="-720"/>
        <w:tab w:val="left" w:pos="720"/>
        <w:tab w:val="left" w:pos="2160"/>
        <w:tab w:val="left" w:pos="3600"/>
        <w:tab w:val="left" w:pos="4320"/>
        <w:tab w:val="left" w:pos="5040"/>
        <w:tab w:val="left" w:pos="5523"/>
        <w:tab w:val="left" w:pos="6480"/>
      </w:tabs>
      <w:jc w:val="center"/>
      <w:rPr>
        <w:rFonts w:cs="Arial"/>
        <w:bCs/>
        <w:szCs w:val="22"/>
        <w:lang w:val="ru-RU"/>
      </w:rPr>
    </w:pPr>
    <w:r>
      <w:rPr>
        <w:lang w:val="ru-RU"/>
      </w:rPr>
      <w:t>(ЮНЕСКО)</w:t>
    </w:r>
  </w:p>
  <w:p w14:paraId="48515F2C" w14:textId="77777777" w:rsidR="0032183D" w:rsidRPr="00832412" w:rsidRDefault="0032183D" w:rsidP="0032183D">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lang w:val="ru-RU"/>
      </w:rPr>
    </w:pPr>
  </w:p>
  <w:p w14:paraId="74BCEC94" w14:textId="77777777" w:rsidR="0032183D" w:rsidRPr="00832412" w:rsidRDefault="0032183D" w:rsidP="0032183D">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lang w:val="ru-RU"/>
      </w:rPr>
    </w:pPr>
    <w:r>
      <w:rPr>
        <w:b/>
        <w:bCs/>
        <w:lang w:val="ru-RU"/>
      </w:rPr>
      <w:t>Тридцать вторая сессия Ассамблеи</w:t>
    </w:r>
  </w:p>
  <w:p w14:paraId="0ECCE28E" w14:textId="77777777" w:rsidR="0032183D" w:rsidRPr="00832412" w:rsidRDefault="0032183D" w:rsidP="0032183D">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lang w:val="ru-RU"/>
      </w:rPr>
    </w:pPr>
    <w:r>
      <w:rPr>
        <w:lang w:val="ru-RU"/>
      </w:rPr>
      <w:t xml:space="preserve">ЮНЕСКО, </w:t>
    </w:r>
    <w:proofErr w:type="gramStart"/>
    <w:r>
      <w:rPr>
        <w:lang w:val="ru-RU"/>
      </w:rPr>
      <w:t>21-30</w:t>
    </w:r>
    <w:proofErr w:type="gramEnd"/>
    <w:r>
      <w:rPr>
        <w:lang w:val="ru-RU"/>
      </w:rPr>
      <w:t xml:space="preserve"> июня 2023 г.</w:t>
    </w:r>
  </w:p>
  <w:p w14:paraId="651C0D91" w14:textId="77777777" w:rsidR="0032183D" w:rsidRPr="00832412" w:rsidRDefault="0032183D" w:rsidP="0032183D">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ru-RU"/>
      </w:rPr>
    </w:pPr>
  </w:p>
  <w:p w14:paraId="0041656C" w14:textId="77777777" w:rsidR="0032183D" w:rsidRPr="00832412" w:rsidRDefault="0032183D" w:rsidP="0032183D">
    <w:pPr>
      <w:jc w:val="center"/>
      <w:rPr>
        <w:rFonts w:cs="Arial"/>
        <w:szCs w:val="22"/>
        <w:lang w:val="ru-RU"/>
      </w:rPr>
    </w:pPr>
  </w:p>
  <w:p w14:paraId="67DC895E" w14:textId="77777777" w:rsidR="0032183D" w:rsidRPr="00832412" w:rsidRDefault="0032183D" w:rsidP="0032183D">
    <w:pPr>
      <w:jc w:val="center"/>
      <w:rPr>
        <w:rFonts w:cs="Arial"/>
        <w:szCs w:val="22"/>
        <w:lang w:val="ru-RU"/>
      </w:rPr>
    </w:pPr>
  </w:p>
  <w:p w14:paraId="0BE6DE40" w14:textId="77777777" w:rsidR="0032183D" w:rsidRPr="00832412" w:rsidRDefault="0032183D" w:rsidP="0032183D">
    <w:pPr>
      <w:pStyle w:val="Heading7"/>
      <w:tabs>
        <w:tab w:val="clear" w:pos="567"/>
        <w:tab w:val="right" w:pos="9540"/>
      </w:tabs>
      <w:rPr>
        <w:rFonts w:asciiTheme="minorBidi" w:hAnsiTheme="minorBidi" w:cstheme="minorBidi"/>
        <w:szCs w:val="22"/>
        <w:lang w:val="ru-RU"/>
      </w:rPr>
    </w:pPr>
    <w:r>
      <w:rPr>
        <w:lang w:val="ru-RU"/>
      </w:rPr>
      <w:t xml:space="preserve">Пункт </w:t>
    </w:r>
    <w:r>
      <w:rPr>
        <w:b/>
        <w:bCs/>
        <w:lang w:val="ru-RU"/>
      </w:rPr>
      <w:t>5</w:t>
    </w:r>
    <w:r>
      <w:rPr>
        <w:lang w:val="ru-RU"/>
      </w:rPr>
      <w:t xml:space="preserve"> предварительной повестки дня</w:t>
    </w:r>
  </w:p>
  <w:p w14:paraId="32E8F958" w14:textId="77777777" w:rsidR="0032183D" w:rsidRDefault="0032183D" w:rsidP="0032183D">
    <w:pPr>
      <w:rPr>
        <w:rFonts w:cs="Arial"/>
        <w:szCs w:val="22"/>
        <w:lang w:val="ru-RU"/>
      </w:rPr>
    </w:pPr>
  </w:p>
  <w:p w14:paraId="4F3F1B90" w14:textId="77777777" w:rsidR="00EB27A1" w:rsidRPr="00832412" w:rsidRDefault="00EB27A1" w:rsidP="0032183D">
    <w:pPr>
      <w:rPr>
        <w:rFonts w:cs="Arial"/>
        <w:szCs w:val="22"/>
        <w:lang w:val="ru-RU"/>
      </w:rPr>
    </w:pPr>
  </w:p>
  <w:p w14:paraId="2EB2725F" w14:textId="77777777" w:rsidR="0032183D" w:rsidRPr="00AE483B" w:rsidRDefault="0032183D" w:rsidP="0032183D">
    <w:pPr>
      <w:pStyle w:val="Docheading"/>
      <w:rPr>
        <w:sz w:val="28"/>
        <w:szCs w:val="28"/>
        <w:lang w:val="ru-RU"/>
      </w:rPr>
    </w:pPr>
    <w:r w:rsidRPr="00AE483B">
      <w:rPr>
        <w:sz w:val="28"/>
        <w:szCs w:val="28"/>
        <w:lang w:val="ru-RU"/>
      </w:rPr>
      <w:t>МОК и будущее океана: устойчивое осуществление и</w:t>
    </w:r>
    <w:r>
      <w:rPr>
        <w:sz w:val="28"/>
        <w:szCs w:val="28"/>
        <w:lang w:val="ru-RU"/>
      </w:rPr>
      <w:br/>
    </w:r>
    <w:r w:rsidRPr="00AE483B">
      <w:rPr>
        <w:sz w:val="28"/>
        <w:szCs w:val="28"/>
        <w:lang w:val="ru-RU"/>
      </w:rPr>
      <w:t>расширение деятельности МОК</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5774" w14:textId="52419169" w:rsidR="0032183D" w:rsidRPr="0032183D" w:rsidRDefault="0032183D" w:rsidP="0032183D">
    <w:pPr>
      <w:tabs>
        <w:tab w:val="center" w:pos="4153"/>
        <w:tab w:val="right" w:pos="8306"/>
      </w:tabs>
      <w:jc w:val="right"/>
      <w:rPr>
        <w:rFonts w:cs="Arial"/>
        <w:snapToGrid/>
        <w:szCs w:val="22"/>
        <w:lang w:val="pt-PT"/>
      </w:rPr>
    </w:pPr>
    <w:r w:rsidRPr="0032183D">
      <w:rPr>
        <w:rFonts w:cs="Arial"/>
        <w:snapToGrid/>
        <w:szCs w:val="22"/>
        <w:lang w:val="pt-PT"/>
      </w:rPr>
      <w:t>IOC</w:t>
    </w:r>
    <w:r w:rsidR="00B514D5">
      <w:rPr>
        <w:rFonts w:cs="Arial"/>
        <w:snapToGrid/>
        <w:szCs w:val="22"/>
        <w:lang w:val="pt-PT"/>
      </w:rPr>
      <w:t>/A</w:t>
    </w:r>
    <w:r w:rsidRPr="0032183D">
      <w:rPr>
        <w:rFonts w:cs="Arial"/>
        <w:snapToGrid/>
        <w:szCs w:val="22"/>
        <w:lang w:val="pt-PT"/>
      </w:rPr>
      <w:t>-32/</w:t>
    </w:r>
    <w:proofErr w:type="gramStart"/>
    <w:r w:rsidRPr="0032183D">
      <w:rPr>
        <w:rFonts w:cs="Arial"/>
        <w:snapToGrid/>
        <w:szCs w:val="22"/>
        <w:lang w:val="pt-PT"/>
      </w:rPr>
      <w:t>5.Doc</w:t>
    </w:r>
    <w:proofErr w:type="gramEnd"/>
    <w:r w:rsidRPr="0032183D">
      <w:rPr>
        <w:rFonts w:cs="Arial"/>
        <w:snapToGrid/>
        <w:szCs w:val="22"/>
        <w:lang w:val="pt-PT"/>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6755E" w14:textId="79FC18C5" w:rsidR="005B754A" w:rsidRPr="0032183D" w:rsidRDefault="005B754A" w:rsidP="0032183D">
    <w:pPr>
      <w:pStyle w:val="Header"/>
      <w:tabs>
        <w:tab w:val="clear" w:pos="8306"/>
      </w:tabs>
      <w:rPr>
        <w:rFonts w:cs="Arial"/>
        <w:szCs w:val="22"/>
      </w:rPr>
    </w:pPr>
    <w:r w:rsidRPr="0032183D">
      <w:rPr>
        <w:szCs w:val="22"/>
        <w:lang w:val="ru-RU"/>
      </w:rPr>
      <w:t>IOC</w:t>
    </w:r>
    <w:r w:rsidR="00B514D5">
      <w:rPr>
        <w:szCs w:val="22"/>
        <w:lang w:val="en-US"/>
      </w:rPr>
      <w:t>/A</w:t>
    </w:r>
    <w:r w:rsidRPr="0032183D">
      <w:rPr>
        <w:szCs w:val="22"/>
        <w:lang w:val="ru-RU"/>
      </w:rPr>
      <w:t>-32/</w:t>
    </w:r>
    <w:proofErr w:type="gramStart"/>
    <w:r w:rsidRPr="0032183D">
      <w:rPr>
        <w:szCs w:val="22"/>
        <w:lang w:val="ru-RU"/>
      </w:rPr>
      <w:t>5.Doc</w:t>
    </w:r>
    <w:proofErr w:type="gramEnd"/>
    <w:r w:rsidRPr="0032183D">
      <w:rPr>
        <w:szCs w:val="22"/>
        <w:lang w:val="ru-RU"/>
      </w:rPr>
      <w:t xml:space="preserve">(1) </w:t>
    </w:r>
    <w:r>
      <w:rPr>
        <w:szCs w:val="22"/>
        <w:lang w:val="en-US"/>
      </w:rPr>
      <w:t xml:space="preserve">Annex </w:t>
    </w:r>
    <w:r w:rsidRPr="0032183D">
      <w:rPr>
        <w:szCs w:val="22"/>
        <w:lang w:val="ru-RU"/>
      </w:rPr>
      <w:t xml:space="preserve">– </w:t>
    </w:r>
    <w:proofErr w:type="spellStart"/>
    <w:r w:rsidRPr="0032183D">
      <w:rPr>
        <w:rFonts w:cs="Arial"/>
        <w:szCs w:val="22"/>
        <w:lang w:val="pt-PT"/>
      </w:rPr>
      <w:t>page</w:t>
    </w:r>
    <w:proofErr w:type="spellEnd"/>
    <w:r w:rsidRPr="0032183D">
      <w:rPr>
        <w:rFonts w:cs="Arial"/>
        <w:szCs w:val="22"/>
        <w:lang w:val="pt-PT"/>
      </w:rPr>
      <w:t> </w:t>
    </w:r>
    <w:r w:rsidRPr="0032183D">
      <w:rPr>
        <w:rStyle w:val="PageNumber"/>
        <w:rFonts w:cs="Arial"/>
        <w:szCs w:val="22"/>
      </w:rPr>
      <w:fldChar w:fldCharType="begin"/>
    </w:r>
    <w:r w:rsidRPr="0032183D">
      <w:rPr>
        <w:rStyle w:val="PageNumber"/>
        <w:rFonts w:cs="Arial"/>
        <w:szCs w:val="22"/>
        <w:lang w:val="pt-PT"/>
      </w:rPr>
      <w:instrText xml:space="preserve"> PAGE </w:instrText>
    </w:r>
    <w:r w:rsidRPr="0032183D">
      <w:rPr>
        <w:rStyle w:val="PageNumber"/>
        <w:rFonts w:cs="Arial"/>
        <w:szCs w:val="22"/>
      </w:rPr>
      <w:fldChar w:fldCharType="separate"/>
    </w:r>
    <w:r w:rsidRPr="0032183D">
      <w:rPr>
        <w:rStyle w:val="PageNumber"/>
        <w:rFonts w:cs="Arial"/>
        <w:noProof/>
        <w:szCs w:val="22"/>
        <w:lang w:val="pt-PT"/>
      </w:rPr>
      <w:t>2</w:t>
    </w:r>
    <w:r w:rsidRPr="0032183D">
      <w:rPr>
        <w:rStyle w:val="PageNumber"/>
        <w:rFonts w:cs="Arial"/>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B1B2" w14:textId="16D07701" w:rsidR="005B754A" w:rsidRPr="00003B31" w:rsidRDefault="005B754A" w:rsidP="0032183D">
    <w:pPr>
      <w:pStyle w:val="Header"/>
      <w:tabs>
        <w:tab w:val="clear" w:pos="4153"/>
        <w:tab w:val="clear" w:pos="8306"/>
      </w:tabs>
      <w:jc w:val="right"/>
      <w:rPr>
        <w:rFonts w:cs="Arial"/>
        <w:szCs w:val="22"/>
        <w:lang w:val="fr-FR"/>
      </w:rPr>
    </w:pPr>
    <w:r>
      <w:rPr>
        <w:lang w:val="ru-RU"/>
      </w:rPr>
      <w:t>IOC</w:t>
    </w:r>
    <w:r w:rsidR="00B514D5">
      <w:rPr>
        <w:lang w:val="en-US"/>
      </w:rPr>
      <w:t>/A</w:t>
    </w:r>
    <w:r>
      <w:rPr>
        <w:lang w:val="ru-RU"/>
      </w:rPr>
      <w:t>-32/</w:t>
    </w:r>
    <w:proofErr w:type="gramStart"/>
    <w:r>
      <w:rPr>
        <w:lang w:val="ru-RU"/>
      </w:rPr>
      <w:t>5.Doc</w:t>
    </w:r>
    <w:proofErr w:type="gramEnd"/>
    <w:r>
      <w:rPr>
        <w:lang w:val="ru-RU"/>
      </w:rPr>
      <w:t xml:space="preserve">(1) </w:t>
    </w:r>
    <w:r>
      <w:rPr>
        <w:lang w:val="en-US"/>
      </w:rPr>
      <w:t xml:space="preserve">Annex </w:t>
    </w:r>
    <w:r>
      <w:rPr>
        <w:lang w:val="ru-RU"/>
      </w:rPr>
      <w:t xml:space="preserve">– </w:t>
    </w:r>
    <w:r w:rsidRPr="00003B31">
      <w:rPr>
        <w:rFonts w:cs="Arial"/>
        <w:szCs w:val="22"/>
        <w:lang w:val="fr-FR"/>
      </w:rPr>
      <w:t>page </w:t>
    </w:r>
    <w:r w:rsidRPr="00424DE6">
      <w:rPr>
        <w:rStyle w:val="PageNumber"/>
        <w:rFonts w:cs="Arial"/>
        <w:szCs w:val="22"/>
      </w:rPr>
      <w:fldChar w:fldCharType="begin"/>
    </w:r>
    <w:r w:rsidRPr="00003B31">
      <w:rPr>
        <w:rStyle w:val="PageNumber"/>
        <w:rFonts w:cs="Arial"/>
        <w:szCs w:val="22"/>
        <w:lang w:val="fr-FR"/>
      </w:rPr>
      <w:instrText xml:space="preserve"> PAGE </w:instrText>
    </w:r>
    <w:r w:rsidRPr="00424DE6">
      <w:rPr>
        <w:rStyle w:val="PageNumber"/>
        <w:rFonts w:cs="Arial"/>
        <w:szCs w:val="22"/>
      </w:rPr>
      <w:fldChar w:fldCharType="separate"/>
    </w:r>
    <w:r>
      <w:rPr>
        <w:rStyle w:val="PageNumber"/>
        <w:rFonts w:cs="Arial"/>
        <w:noProof/>
        <w:szCs w:val="22"/>
        <w:lang w:val="fr-FR"/>
      </w:rPr>
      <w:t>3</w:t>
    </w:r>
    <w:r w:rsidRPr="00424DE6">
      <w:rPr>
        <w:rStyle w:val="PageNumber"/>
        <w:rFonts w:cs="Arial"/>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CE4A" w14:textId="6FBE1928" w:rsidR="001136D1" w:rsidRPr="0032183D" w:rsidRDefault="001136D1" w:rsidP="001136D1">
    <w:pPr>
      <w:tabs>
        <w:tab w:val="center" w:pos="4153"/>
        <w:tab w:val="right" w:pos="8306"/>
      </w:tabs>
      <w:ind w:left="7797"/>
      <w:rPr>
        <w:rFonts w:cs="Arial"/>
        <w:snapToGrid/>
        <w:szCs w:val="22"/>
        <w:lang w:val="en-US"/>
      </w:rPr>
    </w:pPr>
    <w:r w:rsidRPr="0032183D">
      <w:rPr>
        <w:rFonts w:cs="Arial"/>
        <w:snapToGrid/>
        <w:szCs w:val="22"/>
        <w:lang w:val="pt-PT"/>
      </w:rPr>
      <w:t>IOC</w:t>
    </w:r>
    <w:r w:rsidR="00B514D5">
      <w:rPr>
        <w:rFonts w:cs="Arial"/>
        <w:snapToGrid/>
        <w:szCs w:val="22"/>
        <w:lang w:val="pt-PT"/>
      </w:rPr>
      <w:t>/A</w:t>
    </w:r>
    <w:r w:rsidRPr="0032183D">
      <w:rPr>
        <w:rFonts w:cs="Arial"/>
        <w:snapToGrid/>
        <w:szCs w:val="22"/>
        <w:lang w:val="pt-PT"/>
      </w:rPr>
      <w:t>-32/</w:t>
    </w:r>
    <w:proofErr w:type="gramStart"/>
    <w:r w:rsidRPr="0032183D">
      <w:rPr>
        <w:rFonts w:cs="Arial"/>
        <w:snapToGrid/>
        <w:szCs w:val="22"/>
        <w:lang w:val="pt-PT"/>
      </w:rPr>
      <w:t>5.Doc</w:t>
    </w:r>
    <w:proofErr w:type="gramEnd"/>
    <w:r w:rsidRPr="0032183D">
      <w:rPr>
        <w:rFonts w:cs="Arial"/>
        <w:snapToGrid/>
        <w:szCs w:val="22"/>
        <w:lang w:val="pt-PT"/>
      </w:rPr>
      <w:t>(1)</w:t>
    </w:r>
    <w:r>
      <w:rPr>
        <w:rFonts w:cs="Arial"/>
        <w:snapToGrid/>
        <w:szCs w:val="22"/>
        <w:lang w:val="pt-PT"/>
      </w:rPr>
      <w:br/>
    </w:r>
    <w:r>
      <w:rPr>
        <w:rFonts w:cs="Arial"/>
        <w:snapToGrid/>
        <w:szCs w:val="22"/>
        <w:lang w:val="ru-RU"/>
      </w:rPr>
      <w:t>А</w:t>
    </w:r>
    <w:proofErr w:type="spellStart"/>
    <w:r>
      <w:rPr>
        <w:rFonts w:cs="Arial"/>
        <w:snapToGrid/>
        <w:szCs w:val="22"/>
        <w:lang w:val="en-US"/>
      </w:rPr>
      <w:t>nnex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38C49F1"/>
    <w:multiLevelType w:val="hybridMultilevel"/>
    <w:tmpl w:val="1DCA1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51ABD"/>
    <w:multiLevelType w:val="multilevel"/>
    <w:tmpl w:val="F5044B92"/>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50508A"/>
    <w:multiLevelType w:val="hybridMultilevel"/>
    <w:tmpl w:val="A63A6D64"/>
    <w:lvl w:ilvl="0" w:tplc="0E3A17D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2E4917"/>
    <w:multiLevelType w:val="hybridMultilevel"/>
    <w:tmpl w:val="D9925750"/>
    <w:lvl w:ilvl="0" w:tplc="1954F260">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7" w15:restartNumberingAfterBreak="0">
    <w:nsid w:val="44650B84"/>
    <w:multiLevelType w:val="hybridMultilevel"/>
    <w:tmpl w:val="B1627580"/>
    <w:lvl w:ilvl="0" w:tplc="13AC0F0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C24D84"/>
    <w:multiLevelType w:val="multilevel"/>
    <w:tmpl w:val="277AF972"/>
    <w:lvl w:ilvl="0">
      <w:start w:val="1"/>
      <w:numFmt w:val="bullet"/>
      <w:lvlText w:val="●"/>
      <w:lvlJc w:val="left"/>
      <w:pPr>
        <w:ind w:left="152" w:hanging="360"/>
      </w:pPr>
      <w:rPr>
        <w:rFonts w:ascii="Noto Sans Symbols" w:eastAsia="Noto Sans Symbols" w:hAnsi="Noto Sans Symbols" w:cs="Noto Sans Symbols"/>
      </w:rPr>
    </w:lvl>
    <w:lvl w:ilvl="1">
      <w:start w:val="1"/>
      <w:numFmt w:val="bullet"/>
      <w:lvlText w:val="o"/>
      <w:lvlJc w:val="left"/>
      <w:pPr>
        <w:ind w:left="872" w:hanging="360"/>
      </w:pPr>
      <w:rPr>
        <w:rFonts w:ascii="Courier New" w:eastAsia="Courier New" w:hAnsi="Courier New" w:cs="Courier New"/>
      </w:rPr>
    </w:lvl>
    <w:lvl w:ilvl="2">
      <w:start w:val="1"/>
      <w:numFmt w:val="bullet"/>
      <w:lvlText w:val="▪"/>
      <w:lvlJc w:val="left"/>
      <w:pPr>
        <w:ind w:left="1592" w:hanging="360"/>
      </w:pPr>
      <w:rPr>
        <w:rFonts w:ascii="Noto Sans Symbols" w:eastAsia="Noto Sans Symbols" w:hAnsi="Noto Sans Symbols" w:cs="Noto Sans Symbols"/>
      </w:rPr>
    </w:lvl>
    <w:lvl w:ilvl="3">
      <w:start w:val="1"/>
      <w:numFmt w:val="bullet"/>
      <w:lvlText w:val="●"/>
      <w:lvlJc w:val="left"/>
      <w:pPr>
        <w:ind w:left="2312" w:hanging="360"/>
      </w:pPr>
      <w:rPr>
        <w:rFonts w:ascii="Noto Sans Symbols" w:eastAsia="Noto Sans Symbols" w:hAnsi="Noto Sans Symbols" w:cs="Noto Sans Symbols"/>
      </w:rPr>
    </w:lvl>
    <w:lvl w:ilvl="4">
      <w:start w:val="1"/>
      <w:numFmt w:val="bullet"/>
      <w:lvlText w:val="o"/>
      <w:lvlJc w:val="left"/>
      <w:pPr>
        <w:ind w:left="3032" w:hanging="360"/>
      </w:pPr>
      <w:rPr>
        <w:rFonts w:ascii="Courier New" w:eastAsia="Courier New" w:hAnsi="Courier New" w:cs="Courier New"/>
      </w:rPr>
    </w:lvl>
    <w:lvl w:ilvl="5">
      <w:start w:val="1"/>
      <w:numFmt w:val="bullet"/>
      <w:lvlText w:val="▪"/>
      <w:lvlJc w:val="left"/>
      <w:pPr>
        <w:ind w:left="3752" w:hanging="360"/>
      </w:pPr>
      <w:rPr>
        <w:rFonts w:ascii="Noto Sans Symbols" w:eastAsia="Noto Sans Symbols" w:hAnsi="Noto Sans Symbols" w:cs="Noto Sans Symbols"/>
      </w:rPr>
    </w:lvl>
    <w:lvl w:ilvl="6">
      <w:start w:val="1"/>
      <w:numFmt w:val="bullet"/>
      <w:lvlText w:val="●"/>
      <w:lvlJc w:val="left"/>
      <w:pPr>
        <w:ind w:left="4472" w:hanging="360"/>
      </w:pPr>
      <w:rPr>
        <w:rFonts w:ascii="Noto Sans Symbols" w:eastAsia="Noto Sans Symbols" w:hAnsi="Noto Sans Symbols" w:cs="Noto Sans Symbols"/>
      </w:rPr>
    </w:lvl>
    <w:lvl w:ilvl="7">
      <w:start w:val="1"/>
      <w:numFmt w:val="bullet"/>
      <w:lvlText w:val="o"/>
      <w:lvlJc w:val="left"/>
      <w:pPr>
        <w:ind w:left="5192" w:hanging="360"/>
      </w:pPr>
      <w:rPr>
        <w:rFonts w:ascii="Courier New" w:eastAsia="Courier New" w:hAnsi="Courier New" w:cs="Courier New"/>
      </w:rPr>
    </w:lvl>
    <w:lvl w:ilvl="8">
      <w:start w:val="1"/>
      <w:numFmt w:val="bullet"/>
      <w:lvlText w:val="▪"/>
      <w:lvlJc w:val="left"/>
      <w:pPr>
        <w:ind w:left="5912" w:hanging="360"/>
      </w:pPr>
      <w:rPr>
        <w:rFonts w:ascii="Noto Sans Symbols" w:eastAsia="Noto Sans Symbols" w:hAnsi="Noto Sans Symbols" w:cs="Noto Sans Symbols"/>
      </w:rPr>
    </w:lvl>
  </w:abstractNum>
  <w:abstractNum w:abstractNumId="9" w15:restartNumberingAfterBreak="0">
    <w:nsid w:val="4B204C64"/>
    <w:multiLevelType w:val="hybridMultilevel"/>
    <w:tmpl w:val="2F4CFD92"/>
    <w:lvl w:ilvl="0" w:tplc="570CC262">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B14B04"/>
    <w:multiLevelType w:val="multilevel"/>
    <w:tmpl w:val="5A00290C"/>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B1615F"/>
    <w:multiLevelType w:val="multilevel"/>
    <w:tmpl w:val="97E0D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22841197">
    <w:abstractNumId w:val="6"/>
  </w:num>
  <w:num w:numId="2" w16cid:durableId="178662588">
    <w:abstractNumId w:val="9"/>
  </w:num>
  <w:num w:numId="3" w16cid:durableId="1856578543">
    <w:abstractNumId w:val="0"/>
  </w:num>
  <w:num w:numId="4" w16cid:durableId="524101155">
    <w:abstractNumId w:val="3"/>
  </w:num>
  <w:num w:numId="5" w16cid:durableId="74323805">
    <w:abstractNumId w:val="10"/>
  </w:num>
  <w:num w:numId="6" w16cid:durableId="171453629">
    <w:abstractNumId w:val="2"/>
  </w:num>
  <w:num w:numId="7" w16cid:durableId="624699412">
    <w:abstractNumId w:val="11"/>
  </w:num>
  <w:num w:numId="8" w16cid:durableId="1116364907">
    <w:abstractNumId w:val="8"/>
  </w:num>
  <w:num w:numId="9" w16cid:durableId="1277638557">
    <w:abstractNumId w:val="9"/>
    <w:lvlOverride w:ilvl="0">
      <w:startOverride w:val="1"/>
    </w:lvlOverride>
  </w:num>
  <w:num w:numId="10" w16cid:durableId="941373277">
    <w:abstractNumId w:val="4"/>
  </w:num>
  <w:num w:numId="11" w16cid:durableId="1773083810">
    <w:abstractNumId w:val="5"/>
  </w:num>
  <w:num w:numId="12" w16cid:durableId="1368532285">
    <w:abstractNumId w:val="9"/>
  </w:num>
  <w:num w:numId="13" w16cid:durableId="98568349">
    <w:abstractNumId w:val="7"/>
  </w:num>
  <w:num w:numId="14" w16cid:durableId="14886650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8134213">
    <w:abstractNumId w:val="8"/>
  </w:num>
  <w:num w:numId="16" w16cid:durableId="13958158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85198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7380456">
    <w:abstractNumId w:val="11"/>
  </w:num>
  <w:num w:numId="19" w16cid:durableId="77753178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425"/>
  <w:doNotHyphenateCaps/>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EB"/>
    <w:rsid w:val="00003B31"/>
    <w:rsid w:val="00010BBB"/>
    <w:rsid w:val="0001529A"/>
    <w:rsid w:val="00020AA1"/>
    <w:rsid w:val="0002302E"/>
    <w:rsid w:val="00032D26"/>
    <w:rsid w:val="00056F67"/>
    <w:rsid w:val="00070B14"/>
    <w:rsid w:val="00072359"/>
    <w:rsid w:val="00085D6A"/>
    <w:rsid w:val="000A66C5"/>
    <w:rsid w:val="000D562C"/>
    <w:rsid w:val="000F0254"/>
    <w:rsid w:val="001136D1"/>
    <w:rsid w:val="00123719"/>
    <w:rsid w:val="001241D7"/>
    <w:rsid w:val="00137E97"/>
    <w:rsid w:val="00143445"/>
    <w:rsid w:val="001448C4"/>
    <w:rsid w:val="00155393"/>
    <w:rsid w:val="001572C7"/>
    <w:rsid w:val="00167158"/>
    <w:rsid w:val="001762E2"/>
    <w:rsid w:val="00196052"/>
    <w:rsid w:val="001A66EE"/>
    <w:rsid w:val="001B3B24"/>
    <w:rsid w:val="001C6455"/>
    <w:rsid w:val="00201A95"/>
    <w:rsid w:val="0021210D"/>
    <w:rsid w:val="002311E2"/>
    <w:rsid w:val="00294AD5"/>
    <w:rsid w:val="002C7DE3"/>
    <w:rsid w:val="002E0859"/>
    <w:rsid w:val="003113EC"/>
    <w:rsid w:val="00311D1B"/>
    <w:rsid w:val="00317666"/>
    <w:rsid w:val="00320F18"/>
    <w:rsid w:val="0032183D"/>
    <w:rsid w:val="003242E0"/>
    <w:rsid w:val="0034156B"/>
    <w:rsid w:val="003561BE"/>
    <w:rsid w:val="003805F5"/>
    <w:rsid w:val="00381B11"/>
    <w:rsid w:val="00385DFB"/>
    <w:rsid w:val="003A7860"/>
    <w:rsid w:val="003A7C97"/>
    <w:rsid w:val="003C4917"/>
    <w:rsid w:val="003D3711"/>
    <w:rsid w:val="003F55CF"/>
    <w:rsid w:val="003F7186"/>
    <w:rsid w:val="00401EF9"/>
    <w:rsid w:val="004031FB"/>
    <w:rsid w:val="00413F17"/>
    <w:rsid w:val="00424DE6"/>
    <w:rsid w:val="00443722"/>
    <w:rsid w:val="004529B8"/>
    <w:rsid w:val="00467E3F"/>
    <w:rsid w:val="004839A9"/>
    <w:rsid w:val="004A135F"/>
    <w:rsid w:val="004C1625"/>
    <w:rsid w:val="004F7D6C"/>
    <w:rsid w:val="00501AF2"/>
    <w:rsid w:val="00512E10"/>
    <w:rsid w:val="00576270"/>
    <w:rsid w:val="005948EE"/>
    <w:rsid w:val="00597D6E"/>
    <w:rsid w:val="005B754A"/>
    <w:rsid w:val="005C7A36"/>
    <w:rsid w:val="005C7D76"/>
    <w:rsid w:val="005D333C"/>
    <w:rsid w:val="005E350A"/>
    <w:rsid w:val="005E544C"/>
    <w:rsid w:val="00610BB9"/>
    <w:rsid w:val="006110DA"/>
    <w:rsid w:val="006169EB"/>
    <w:rsid w:val="00633EA5"/>
    <w:rsid w:val="00657CA8"/>
    <w:rsid w:val="006842FA"/>
    <w:rsid w:val="0068682C"/>
    <w:rsid w:val="00690A0C"/>
    <w:rsid w:val="00690FD2"/>
    <w:rsid w:val="00693199"/>
    <w:rsid w:val="00693ECB"/>
    <w:rsid w:val="006B4B95"/>
    <w:rsid w:val="006C18D9"/>
    <w:rsid w:val="006C6449"/>
    <w:rsid w:val="006F24BA"/>
    <w:rsid w:val="00737A18"/>
    <w:rsid w:val="00746B89"/>
    <w:rsid w:val="00747FE1"/>
    <w:rsid w:val="0079212B"/>
    <w:rsid w:val="007A03CC"/>
    <w:rsid w:val="00800699"/>
    <w:rsid w:val="008048D2"/>
    <w:rsid w:val="0081004E"/>
    <w:rsid w:val="00824A5F"/>
    <w:rsid w:val="00832412"/>
    <w:rsid w:val="00841215"/>
    <w:rsid w:val="00853565"/>
    <w:rsid w:val="00891A52"/>
    <w:rsid w:val="008A2A18"/>
    <w:rsid w:val="008A6E5C"/>
    <w:rsid w:val="008B384B"/>
    <w:rsid w:val="008D2398"/>
    <w:rsid w:val="008E3614"/>
    <w:rsid w:val="008F6942"/>
    <w:rsid w:val="008F6AA1"/>
    <w:rsid w:val="009026D3"/>
    <w:rsid w:val="00902AD3"/>
    <w:rsid w:val="00993CA4"/>
    <w:rsid w:val="009A123B"/>
    <w:rsid w:val="009B63AB"/>
    <w:rsid w:val="009B6BDD"/>
    <w:rsid w:val="009C0A89"/>
    <w:rsid w:val="009C15B1"/>
    <w:rsid w:val="009E6A03"/>
    <w:rsid w:val="009F3A67"/>
    <w:rsid w:val="009F7769"/>
    <w:rsid w:val="00A05DE4"/>
    <w:rsid w:val="00A11697"/>
    <w:rsid w:val="00A25BC8"/>
    <w:rsid w:val="00A721F8"/>
    <w:rsid w:val="00A87E3B"/>
    <w:rsid w:val="00AA5746"/>
    <w:rsid w:val="00AD05D5"/>
    <w:rsid w:val="00AD3D55"/>
    <w:rsid w:val="00AE483B"/>
    <w:rsid w:val="00B1444F"/>
    <w:rsid w:val="00B514D5"/>
    <w:rsid w:val="00B61578"/>
    <w:rsid w:val="00B722DE"/>
    <w:rsid w:val="00B83068"/>
    <w:rsid w:val="00B8392A"/>
    <w:rsid w:val="00BA1E91"/>
    <w:rsid w:val="00BD6603"/>
    <w:rsid w:val="00BF069C"/>
    <w:rsid w:val="00BF3835"/>
    <w:rsid w:val="00C0739D"/>
    <w:rsid w:val="00C1002D"/>
    <w:rsid w:val="00C2635E"/>
    <w:rsid w:val="00C3684D"/>
    <w:rsid w:val="00C4032B"/>
    <w:rsid w:val="00C44A91"/>
    <w:rsid w:val="00C6486C"/>
    <w:rsid w:val="00C648D3"/>
    <w:rsid w:val="00C75B02"/>
    <w:rsid w:val="00C94502"/>
    <w:rsid w:val="00C962F0"/>
    <w:rsid w:val="00C96C53"/>
    <w:rsid w:val="00CE0945"/>
    <w:rsid w:val="00CE6D6E"/>
    <w:rsid w:val="00D013ED"/>
    <w:rsid w:val="00D03E96"/>
    <w:rsid w:val="00D224E7"/>
    <w:rsid w:val="00D32E30"/>
    <w:rsid w:val="00D36BDC"/>
    <w:rsid w:val="00D427A5"/>
    <w:rsid w:val="00D5049E"/>
    <w:rsid w:val="00D55FEC"/>
    <w:rsid w:val="00D73AC3"/>
    <w:rsid w:val="00DF2D86"/>
    <w:rsid w:val="00DF2FB9"/>
    <w:rsid w:val="00E63D05"/>
    <w:rsid w:val="00E63DEF"/>
    <w:rsid w:val="00E64936"/>
    <w:rsid w:val="00EB27A1"/>
    <w:rsid w:val="00EB475E"/>
    <w:rsid w:val="00EC1159"/>
    <w:rsid w:val="00EC60BE"/>
    <w:rsid w:val="00EE0542"/>
    <w:rsid w:val="00EF15F2"/>
    <w:rsid w:val="00F463F2"/>
    <w:rsid w:val="00F66DB2"/>
    <w:rsid w:val="00F70787"/>
    <w:rsid w:val="00F8186D"/>
    <w:rsid w:val="00F84F55"/>
    <w:rsid w:val="00FA06BC"/>
    <w:rsid w:val="00FD3E1A"/>
    <w:rsid w:val="00FF257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7C915"/>
  <w15:docId w15:val="{C1E2DF4A-D553-4906-AF2B-A3BB3B85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link w:val="Heading1Char"/>
    <w:uiPriority w:val="9"/>
    <w:qFormat/>
    <w:pPr>
      <w:keepNext/>
      <w:keepLines/>
      <w:spacing w:before="240" w:after="240"/>
      <w:jc w:val="center"/>
      <w:outlineLvl w:val="0"/>
    </w:pPr>
    <w:rPr>
      <w:b/>
      <w:bCs/>
      <w:kern w:val="28"/>
    </w:rPr>
  </w:style>
  <w:style w:type="paragraph" w:styleId="Heading2">
    <w:name w:val="heading 2"/>
    <w:basedOn w:val="Normal"/>
    <w:next w:val="Marge"/>
    <w:uiPriority w:val="9"/>
    <w:qFormat/>
    <w:pPr>
      <w:keepNext/>
      <w:keepLines/>
      <w:spacing w:before="480" w:after="240"/>
      <w:ind w:left="567" w:hanging="567"/>
      <w:outlineLvl w:val="1"/>
    </w:pPr>
    <w:rPr>
      <w:b/>
      <w:bCs/>
    </w:rPr>
  </w:style>
  <w:style w:type="paragraph" w:styleId="Heading3">
    <w:name w:val="heading 3"/>
    <w:basedOn w:val="Normal"/>
    <w:next w:val="Marge"/>
    <w:link w:val="Heading3Char"/>
    <w:autoRedefine/>
    <w:uiPriority w:val="9"/>
    <w:qFormat/>
    <w:rsid w:val="00A721F8"/>
    <w:pPr>
      <w:pBdr>
        <w:bottom w:val="single" w:sz="4" w:space="1" w:color="auto"/>
      </w:pBdr>
      <w:tabs>
        <w:tab w:val="clear" w:pos="567"/>
      </w:tabs>
      <w:ind w:left="567" w:hanging="567"/>
      <w:jc w:val="both"/>
      <w:outlineLvl w:val="2"/>
    </w:pPr>
    <w:rPr>
      <w:rFonts w:asciiTheme="minorBidi" w:hAnsiTheme="minorBidi" w:cstheme="minorBidi"/>
      <w:b/>
      <w:bCs/>
      <w:sz w:val="18"/>
      <w:szCs w:val="18"/>
    </w:rPr>
  </w:style>
  <w:style w:type="paragraph" w:styleId="Heading4">
    <w:name w:val="heading 4"/>
    <w:basedOn w:val="Normal"/>
    <w:next w:val="Marge"/>
    <w:uiPriority w:val="9"/>
    <w:qFormat/>
    <w:pPr>
      <w:keepNext/>
      <w:keepLines/>
      <w:spacing w:after="240"/>
      <w:outlineLvl w:val="3"/>
    </w:pPr>
    <w:rPr>
      <w:b/>
      <w:bCs/>
    </w:rPr>
  </w:style>
  <w:style w:type="paragraph" w:styleId="Heading5">
    <w:name w:val="heading 5"/>
    <w:basedOn w:val="Normal"/>
    <w:next w:val="Marge"/>
    <w:uiPriority w:val="9"/>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uiPriority w:val="9"/>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385DFB"/>
    <w:p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385DFB"/>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uiPriority w:val="99"/>
    <w:rsid w:val="00C4032B"/>
    <w:rPr>
      <w:color w:val="800080" w:themeColor="followedHyperlink"/>
      <w:u w:val="single"/>
    </w:rPr>
  </w:style>
  <w:style w:type="character" w:styleId="CommentReference">
    <w:name w:val="annotation reference"/>
    <w:basedOn w:val="DefaultParagraphFont"/>
    <w:uiPriority w:val="99"/>
    <w:semiHidden/>
    <w:unhideWhenUsed/>
    <w:rsid w:val="00056F67"/>
    <w:rPr>
      <w:sz w:val="16"/>
      <w:szCs w:val="16"/>
    </w:rPr>
  </w:style>
  <w:style w:type="paragraph" w:styleId="CommentText">
    <w:name w:val="annotation text"/>
    <w:basedOn w:val="Normal"/>
    <w:link w:val="CommentTextChar"/>
    <w:uiPriority w:val="99"/>
    <w:semiHidden/>
    <w:unhideWhenUsed/>
    <w:rsid w:val="00056F67"/>
    <w:rPr>
      <w:sz w:val="20"/>
      <w:szCs w:val="20"/>
    </w:rPr>
  </w:style>
  <w:style w:type="character" w:customStyle="1" w:styleId="CommentTextChar">
    <w:name w:val="Comment Text Char"/>
    <w:basedOn w:val="DefaultParagraphFont"/>
    <w:link w:val="CommentText"/>
    <w:uiPriority w:val="99"/>
    <w:semiHidden/>
    <w:rsid w:val="00056F67"/>
    <w:rPr>
      <w:rFonts w:ascii="Arial" w:hAnsi="Arial"/>
      <w:snapToGrid w:val="0"/>
      <w:lang w:val="en-GB" w:eastAsia="en-US"/>
    </w:rPr>
  </w:style>
  <w:style w:type="paragraph" w:styleId="CommentSubject">
    <w:name w:val="annotation subject"/>
    <w:basedOn w:val="CommentText"/>
    <w:next w:val="CommentText"/>
    <w:link w:val="CommentSubjectChar"/>
    <w:uiPriority w:val="99"/>
    <w:semiHidden/>
    <w:unhideWhenUsed/>
    <w:rsid w:val="00056F67"/>
    <w:rPr>
      <w:b/>
      <w:bCs/>
    </w:rPr>
  </w:style>
  <w:style w:type="character" w:customStyle="1" w:styleId="CommentSubjectChar">
    <w:name w:val="Comment Subject Char"/>
    <w:basedOn w:val="CommentTextChar"/>
    <w:link w:val="CommentSubject"/>
    <w:uiPriority w:val="99"/>
    <w:semiHidden/>
    <w:rsid w:val="00056F67"/>
    <w:rPr>
      <w:rFonts w:ascii="Arial" w:hAnsi="Arial"/>
      <w:b/>
      <w:bCs/>
      <w:snapToGrid w:val="0"/>
      <w:lang w:val="en-GB" w:eastAsia="en-US"/>
    </w:rPr>
  </w:style>
  <w:style w:type="paragraph" w:styleId="BalloonText">
    <w:name w:val="Balloon Text"/>
    <w:basedOn w:val="Normal"/>
    <w:link w:val="BalloonTextChar"/>
    <w:uiPriority w:val="99"/>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F67"/>
    <w:rPr>
      <w:rFonts w:ascii="Segoe UI" w:hAnsi="Segoe UI" w:cs="Segoe UI"/>
      <w:snapToGrid w:val="0"/>
      <w:sz w:val="18"/>
      <w:szCs w:val="18"/>
      <w:lang w:val="en-GB" w:eastAsia="en-US"/>
    </w:rPr>
  </w:style>
  <w:style w:type="paragraph" w:styleId="Title">
    <w:name w:val="Title"/>
    <w:basedOn w:val="Normal"/>
    <w:next w:val="Normal"/>
    <w:link w:val="TitleChar"/>
    <w:uiPriority w:val="10"/>
    <w:qFormat/>
    <w:rsid w:val="006169EB"/>
    <w:pPr>
      <w:keepNext/>
      <w:keepLines/>
      <w:tabs>
        <w:tab w:val="clear" w:pos="567"/>
      </w:tabs>
      <w:snapToGrid/>
      <w:spacing w:before="480" w:after="120" w:line="259" w:lineRule="auto"/>
    </w:pPr>
    <w:rPr>
      <w:rFonts w:ascii="Calibri" w:eastAsia="Calibri" w:hAnsi="Calibri" w:cs="Calibri"/>
      <w:b/>
      <w:snapToGrid/>
      <w:sz w:val="72"/>
      <w:szCs w:val="72"/>
      <w:lang w:val="en-US" w:eastAsia="zh-CN"/>
    </w:rPr>
  </w:style>
  <w:style w:type="character" w:customStyle="1" w:styleId="TitleChar">
    <w:name w:val="Title Char"/>
    <w:basedOn w:val="DefaultParagraphFont"/>
    <w:link w:val="Title"/>
    <w:uiPriority w:val="10"/>
    <w:rsid w:val="006169EB"/>
    <w:rPr>
      <w:rFonts w:ascii="Calibri" w:eastAsia="Calibri" w:hAnsi="Calibri" w:cs="Calibri"/>
      <w:b/>
      <w:sz w:val="72"/>
      <w:szCs w:val="72"/>
      <w:lang w:val="en-US" w:eastAsia="zh-CN"/>
    </w:rPr>
  </w:style>
  <w:style w:type="paragraph" w:styleId="ListParagraph">
    <w:name w:val="List Paragraph"/>
    <w:basedOn w:val="Normal"/>
    <w:uiPriority w:val="34"/>
    <w:qFormat/>
    <w:rsid w:val="006169EB"/>
    <w:pPr>
      <w:tabs>
        <w:tab w:val="clear" w:pos="567"/>
      </w:tabs>
      <w:snapToGrid/>
      <w:spacing w:after="160" w:line="259" w:lineRule="auto"/>
      <w:ind w:left="720"/>
      <w:contextualSpacing/>
    </w:pPr>
    <w:rPr>
      <w:rFonts w:ascii="Calibri" w:eastAsia="Calibri" w:hAnsi="Calibri" w:cs="Calibri"/>
      <w:snapToGrid/>
      <w:szCs w:val="22"/>
      <w:lang w:val="en-US" w:eastAsia="zh-CN"/>
    </w:rPr>
  </w:style>
  <w:style w:type="character" w:styleId="UnresolvedMention">
    <w:name w:val="Unresolved Mention"/>
    <w:basedOn w:val="DefaultParagraphFont"/>
    <w:uiPriority w:val="99"/>
    <w:semiHidden/>
    <w:unhideWhenUsed/>
    <w:rsid w:val="006169EB"/>
    <w:rPr>
      <w:color w:val="605E5C"/>
      <w:shd w:val="clear" w:color="auto" w:fill="E1DFDD"/>
    </w:rPr>
  </w:style>
  <w:style w:type="character" w:customStyle="1" w:styleId="Heading1Char">
    <w:name w:val="Heading 1 Char"/>
    <w:basedOn w:val="DefaultParagraphFont"/>
    <w:link w:val="Heading1"/>
    <w:uiPriority w:val="9"/>
    <w:rsid w:val="006169EB"/>
    <w:rPr>
      <w:rFonts w:ascii="Arial" w:hAnsi="Arial"/>
      <w:b/>
      <w:bCs/>
      <w:snapToGrid w:val="0"/>
      <w:kern w:val="28"/>
      <w:sz w:val="22"/>
      <w:szCs w:val="24"/>
      <w:lang w:val="en-GB" w:eastAsia="en-US"/>
    </w:rPr>
  </w:style>
  <w:style w:type="character" w:customStyle="1" w:styleId="Heading3Char">
    <w:name w:val="Heading 3 Char"/>
    <w:basedOn w:val="DefaultParagraphFont"/>
    <w:link w:val="Heading3"/>
    <w:uiPriority w:val="9"/>
    <w:rsid w:val="00A721F8"/>
    <w:rPr>
      <w:rFonts w:asciiTheme="minorBidi" w:hAnsiTheme="minorBidi" w:cstheme="minorBidi"/>
      <w:b/>
      <w:bCs/>
      <w:snapToGrid w:val="0"/>
      <w:sz w:val="18"/>
      <w:szCs w:val="18"/>
      <w:lang w:val="en-GB" w:eastAsia="en-US"/>
    </w:rPr>
  </w:style>
  <w:style w:type="character" w:customStyle="1" w:styleId="FootnoteTextChar">
    <w:name w:val="Footnote Text Char"/>
    <w:basedOn w:val="DefaultParagraphFont"/>
    <w:link w:val="FootnoteText"/>
    <w:uiPriority w:val="99"/>
    <w:semiHidden/>
    <w:rsid w:val="006169EB"/>
    <w:rPr>
      <w:rFonts w:ascii="Arial" w:hAnsi="Arial"/>
      <w:snapToGrid w:val="0"/>
      <w:lang w:val="en-GB" w:eastAsia="en-US"/>
    </w:rPr>
  </w:style>
  <w:style w:type="table" w:styleId="TableGrid">
    <w:name w:val="Table Grid"/>
    <w:basedOn w:val="TableNormal"/>
    <w:uiPriority w:val="39"/>
    <w:rsid w:val="006169EB"/>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169EB"/>
    <w:pPr>
      <w:tabs>
        <w:tab w:val="clear" w:pos="567"/>
      </w:tabs>
      <w:snapToGrid/>
      <w:spacing w:before="100" w:beforeAutospacing="1" w:after="100" w:afterAutospacing="1"/>
    </w:pPr>
    <w:rPr>
      <w:rFonts w:ascii="Times New Roman" w:hAnsi="Times New Roman"/>
      <w:snapToGrid/>
      <w:sz w:val="24"/>
      <w:lang w:val="en-US"/>
    </w:rPr>
  </w:style>
  <w:style w:type="character" w:styleId="Strong">
    <w:name w:val="Strong"/>
    <w:basedOn w:val="DefaultParagraphFont"/>
    <w:uiPriority w:val="22"/>
    <w:qFormat/>
    <w:rsid w:val="006169EB"/>
    <w:rPr>
      <w:b/>
      <w:bCs/>
    </w:rPr>
  </w:style>
  <w:style w:type="paragraph" w:styleId="Subtitle">
    <w:name w:val="Subtitle"/>
    <w:basedOn w:val="Normal"/>
    <w:next w:val="Normal"/>
    <w:link w:val="SubtitleChar"/>
    <w:uiPriority w:val="11"/>
    <w:qFormat/>
    <w:rsid w:val="006169EB"/>
    <w:pPr>
      <w:keepNext/>
      <w:keepLines/>
      <w:tabs>
        <w:tab w:val="clear" w:pos="567"/>
      </w:tabs>
      <w:snapToGrid/>
      <w:spacing w:before="360" w:after="80" w:line="259" w:lineRule="auto"/>
    </w:pPr>
    <w:rPr>
      <w:rFonts w:ascii="Georgia" w:eastAsia="Georgia" w:hAnsi="Georgia" w:cs="Georgia"/>
      <w:i/>
      <w:snapToGrid/>
      <w:color w:val="666666"/>
      <w:sz w:val="48"/>
      <w:szCs w:val="48"/>
      <w:lang w:val="en-US" w:eastAsia="zh-CN"/>
    </w:rPr>
  </w:style>
  <w:style w:type="character" w:customStyle="1" w:styleId="SubtitleChar">
    <w:name w:val="Subtitle Char"/>
    <w:basedOn w:val="DefaultParagraphFont"/>
    <w:link w:val="Subtitle"/>
    <w:uiPriority w:val="11"/>
    <w:rsid w:val="006169EB"/>
    <w:rPr>
      <w:rFonts w:ascii="Georgia" w:eastAsia="Georgia" w:hAnsi="Georgia" w:cs="Georgia"/>
      <w:i/>
      <w:color w:val="666666"/>
      <w:sz w:val="48"/>
      <w:szCs w:val="48"/>
      <w:lang w:val="en-US" w:eastAsia="zh-CN"/>
    </w:rPr>
  </w:style>
  <w:style w:type="paragraph" w:styleId="EndnoteText">
    <w:name w:val="endnote text"/>
    <w:basedOn w:val="Normal"/>
    <w:link w:val="EndnoteTextChar"/>
    <w:uiPriority w:val="99"/>
    <w:semiHidden/>
    <w:unhideWhenUsed/>
    <w:rsid w:val="006169EB"/>
    <w:pPr>
      <w:tabs>
        <w:tab w:val="clear" w:pos="567"/>
      </w:tabs>
      <w:snapToGrid/>
    </w:pPr>
    <w:rPr>
      <w:rFonts w:ascii="Times New Roman" w:hAnsi="Times New Roman"/>
      <w:snapToGrid/>
      <w:sz w:val="20"/>
      <w:szCs w:val="20"/>
      <w:lang w:val="en-US"/>
    </w:rPr>
  </w:style>
  <w:style w:type="character" w:customStyle="1" w:styleId="EndnoteTextChar">
    <w:name w:val="Endnote Text Char"/>
    <w:basedOn w:val="DefaultParagraphFont"/>
    <w:link w:val="EndnoteText"/>
    <w:uiPriority w:val="99"/>
    <w:semiHidden/>
    <w:rsid w:val="006169EB"/>
    <w:rPr>
      <w:lang w:val="en-US" w:eastAsia="en-US"/>
    </w:rPr>
  </w:style>
  <w:style w:type="character" w:styleId="EndnoteReference">
    <w:name w:val="endnote reference"/>
    <w:basedOn w:val="DefaultParagraphFont"/>
    <w:uiPriority w:val="99"/>
    <w:semiHidden/>
    <w:unhideWhenUsed/>
    <w:rsid w:val="006169EB"/>
    <w:rPr>
      <w:vertAlign w:val="superscript"/>
    </w:rPr>
  </w:style>
  <w:style w:type="character" w:customStyle="1" w:styleId="HeaderChar">
    <w:name w:val="Header Char"/>
    <w:basedOn w:val="DefaultParagraphFont"/>
    <w:link w:val="Header"/>
    <w:uiPriority w:val="99"/>
    <w:rsid w:val="006169EB"/>
    <w:rPr>
      <w:rFonts w:ascii="Arial" w:hAnsi="Arial"/>
      <w:snapToGrid w:val="0"/>
      <w:sz w:val="22"/>
      <w:szCs w:val="24"/>
      <w:lang w:val="en-GB" w:eastAsia="en-US"/>
    </w:rPr>
  </w:style>
  <w:style w:type="character" w:customStyle="1" w:styleId="FooterChar">
    <w:name w:val="Footer Char"/>
    <w:basedOn w:val="DefaultParagraphFont"/>
    <w:link w:val="Footer"/>
    <w:uiPriority w:val="99"/>
    <w:rsid w:val="006169EB"/>
    <w:rPr>
      <w:rFonts w:ascii="Arial" w:hAnsi="Arial"/>
      <w:snapToGrid w:val="0"/>
      <w:sz w:val="22"/>
      <w:szCs w:val="24"/>
      <w:lang w:val="en-GB" w:eastAsia="en-US"/>
    </w:rPr>
  </w:style>
  <w:style w:type="paragraph" w:styleId="Revision">
    <w:name w:val="Revision"/>
    <w:hidden/>
    <w:uiPriority w:val="99"/>
    <w:semiHidden/>
    <w:rsid w:val="006169EB"/>
    <w:rPr>
      <w:rFonts w:ascii="Calibri" w:eastAsia="Calibri" w:hAnsi="Calibri" w:cs="Calibri"/>
      <w:sz w:val="22"/>
      <w:szCs w:val="22"/>
      <w:lang w:val="en-US" w:eastAsia="zh-CN"/>
    </w:rPr>
  </w:style>
  <w:style w:type="character" w:customStyle="1" w:styleId="apple-converted-space">
    <w:name w:val="apple-converted-space"/>
    <w:basedOn w:val="DefaultParagraphFont"/>
    <w:rsid w:val="006169EB"/>
  </w:style>
  <w:style w:type="paragraph" w:styleId="TOCHeading">
    <w:name w:val="TOC Heading"/>
    <w:basedOn w:val="Heading1"/>
    <w:next w:val="Normal"/>
    <w:uiPriority w:val="39"/>
    <w:unhideWhenUsed/>
    <w:qFormat/>
    <w:rsid w:val="006169EB"/>
    <w:pPr>
      <w:tabs>
        <w:tab w:val="clear" w:pos="567"/>
      </w:tabs>
      <w:snapToGrid/>
      <w:spacing w:after="0" w:line="259" w:lineRule="auto"/>
      <w:jc w:val="left"/>
      <w:outlineLvl w:val="9"/>
    </w:pPr>
    <w:rPr>
      <w:rFonts w:asciiTheme="majorHAnsi" w:eastAsiaTheme="majorEastAsia" w:hAnsiTheme="majorHAnsi" w:cstheme="majorBidi"/>
      <w:b w:val="0"/>
      <w:bCs w:val="0"/>
      <w:snapToGrid/>
      <w:color w:val="365F91" w:themeColor="accent1" w:themeShade="BF"/>
      <w:kern w:val="0"/>
      <w:sz w:val="32"/>
      <w:szCs w:val="32"/>
      <w:lang w:val="en-US"/>
    </w:rPr>
  </w:style>
  <w:style w:type="paragraph" w:styleId="TOC1">
    <w:name w:val="toc 1"/>
    <w:basedOn w:val="Normal"/>
    <w:next w:val="Normal"/>
    <w:autoRedefine/>
    <w:uiPriority w:val="39"/>
    <w:unhideWhenUsed/>
    <w:rsid w:val="00841215"/>
    <w:pPr>
      <w:tabs>
        <w:tab w:val="clear" w:pos="567"/>
        <w:tab w:val="left" w:pos="440"/>
        <w:tab w:val="right" w:leader="dot" w:pos="9062"/>
      </w:tabs>
      <w:snapToGrid/>
      <w:spacing w:after="100"/>
    </w:pPr>
    <w:rPr>
      <w:rFonts w:asciiTheme="minorBidi" w:hAnsiTheme="minorBidi" w:cstheme="minorBidi"/>
      <w:b/>
      <w:bCs/>
      <w:noProof/>
      <w:snapToGrid/>
      <w:szCs w:val="22"/>
    </w:rPr>
  </w:style>
  <w:style w:type="paragraph" w:styleId="TOC2">
    <w:name w:val="toc 2"/>
    <w:basedOn w:val="Normal"/>
    <w:next w:val="Normal"/>
    <w:autoRedefine/>
    <w:uiPriority w:val="39"/>
    <w:unhideWhenUsed/>
    <w:rsid w:val="006169EB"/>
    <w:pPr>
      <w:tabs>
        <w:tab w:val="clear" w:pos="567"/>
      </w:tabs>
      <w:snapToGrid/>
      <w:spacing w:after="100"/>
      <w:ind w:left="240"/>
    </w:pPr>
    <w:rPr>
      <w:rFonts w:ascii="Times New Roman" w:hAnsi="Times New Roman"/>
      <w:snapToGrid/>
      <w:sz w:val="24"/>
      <w:lang w:val="en-US"/>
    </w:rPr>
  </w:style>
  <w:style w:type="paragraph" w:styleId="Date">
    <w:name w:val="Date"/>
    <w:basedOn w:val="Normal"/>
    <w:next w:val="Normal"/>
    <w:link w:val="DateChar"/>
    <w:uiPriority w:val="99"/>
    <w:unhideWhenUsed/>
    <w:rsid w:val="006169EB"/>
    <w:pPr>
      <w:tabs>
        <w:tab w:val="clear" w:pos="567"/>
      </w:tabs>
      <w:snapToGrid/>
    </w:pPr>
    <w:rPr>
      <w:rFonts w:ascii="Times New Roman" w:hAnsi="Times New Roman"/>
      <w:snapToGrid/>
      <w:sz w:val="24"/>
      <w:lang w:val="en-US"/>
    </w:rPr>
  </w:style>
  <w:style w:type="character" w:customStyle="1" w:styleId="DateChar">
    <w:name w:val="Date Char"/>
    <w:basedOn w:val="DefaultParagraphFont"/>
    <w:link w:val="Date"/>
    <w:uiPriority w:val="99"/>
    <w:rsid w:val="006169E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3960">
      <w:bodyDiv w:val="1"/>
      <w:marLeft w:val="0"/>
      <w:marRight w:val="0"/>
      <w:marTop w:val="0"/>
      <w:marBottom w:val="0"/>
      <w:divBdr>
        <w:top w:val="none" w:sz="0" w:space="0" w:color="auto"/>
        <w:left w:val="none" w:sz="0" w:space="0" w:color="auto"/>
        <w:bottom w:val="none" w:sz="0" w:space="0" w:color="auto"/>
        <w:right w:val="none" w:sz="0" w:space="0" w:color="auto"/>
      </w:divBdr>
    </w:div>
    <w:div w:id="628783413">
      <w:bodyDiv w:val="1"/>
      <w:marLeft w:val="0"/>
      <w:marRight w:val="0"/>
      <w:marTop w:val="0"/>
      <w:marBottom w:val="0"/>
      <w:divBdr>
        <w:top w:val="none" w:sz="0" w:space="0" w:color="auto"/>
        <w:left w:val="none" w:sz="0" w:space="0" w:color="auto"/>
        <w:bottom w:val="none" w:sz="0" w:space="0" w:color="auto"/>
        <w:right w:val="none" w:sz="0" w:space="0" w:color="auto"/>
      </w:divBdr>
    </w:div>
    <w:div w:id="884561810">
      <w:bodyDiv w:val="1"/>
      <w:marLeft w:val="0"/>
      <w:marRight w:val="0"/>
      <w:marTop w:val="0"/>
      <w:marBottom w:val="0"/>
      <w:divBdr>
        <w:top w:val="none" w:sz="0" w:space="0" w:color="auto"/>
        <w:left w:val="none" w:sz="0" w:space="0" w:color="auto"/>
        <w:bottom w:val="none" w:sz="0" w:space="0" w:color="auto"/>
        <w:right w:val="none" w:sz="0" w:space="0" w:color="auto"/>
      </w:divBdr>
    </w:div>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345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9054.locale=en" TargetMode="External"/><Relationship Id="rId13" Type="http://schemas.openxmlformats.org/officeDocument/2006/relationships/footer" Target="footer2.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oceanexpert.org/document/31196" TargetMode="External"/><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oceanexpert.org/document/30475" TargetMode="External"/><Relationship Id="rId3" Type="http://schemas.openxmlformats.org/officeDocument/2006/relationships/hyperlink" Target="https://unesdoc.unesco.org/ark:/48223/pf0000379054.locale=en" TargetMode="External"/><Relationship Id="rId7" Type="http://schemas.openxmlformats.org/officeDocument/2006/relationships/hyperlink" Target="https://oceanexpert.org/document/30475" TargetMode="External"/><Relationship Id="rId2" Type="http://schemas.openxmlformats.org/officeDocument/2006/relationships/hyperlink" Target="https://unesdoc.unesco.org/ark:/48223/pf0000245721.locale=en" TargetMode="External"/><Relationship Id="rId1" Type="http://schemas.openxmlformats.org/officeDocument/2006/relationships/hyperlink" Target="https://sdgs.un.org/sites/default/files/2022-06/UNOC_political_declaration_final.pdf" TargetMode="External"/><Relationship Id="rId6" Type="http://schemas.openxmlformats.org/officeDocument/2006/relationships/hyperlink" Target="https://meetings.wmo.int/EC-75/Documents/Financial%20Statements%20for%202021%20-%20EC-75-Doc%206.1.pdf?Mobile=1&amp;Source=/EC-75/_layouts/15/mobile/viewa.aspx?List=8dc283f9-3b26-4e69-a07a-e0149fb53c04&amp;View=d055111c-81c7-4406-9014-b3a1a5ad926a&amp;wdFCCState=1" TargetMode="External"/><Relationship Id="rId5" Type="http://schemas.openxmlformats.org/officeDocument/2006/relationships/hyperlink" Target="https://unesdoc.unesco.org/ark:/48223/pf0000228221" TargetMode="External"/><Relationship Id="rId4" Type="http://schemas.openxmlformats.org/officeDocument/2006/relationships/hyperlink" Target="https://unesdoc.unesco.org/ark:/48223/pf000038138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_boned\AppData\Local\Microsoft\Windows\INetCache\Content.Outlook\S9V2CJZB\IOC-32%20WD%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'Staff by Function'!$I$40:$I$46</c:f>
              <c:strCache>
                <c:ptCount val="7"/>
                <c:pt idx="0">
                  <c:v>A</c:v>
                </c:pt>
                <c:pt idx="1">
                  <c:v>B</c:v>
                </c:pt>
                <c:pt idx="2">
                  <c:v>C</c:v>
                </c:pt>
                <c:pt idx="3">
                  <c:v>D</c:v>
                </c:pt>
                <c:pt idx="4">
                  <c:v>E</c:v>
                </c:pt>
                <c:pt idx="5">
                  <c:v>F</c:v>
                </c:pt>
                <c:pt idx="6">
                  <c:v>DCU</c:v>
                </c:pt>
              </c:strCache>
            </c:strRef>
          </c:cat>
          <c:val>
            <c:numRef>
              <c:f>'Staff by Function'!$J$40:$J$46</c:f>
              <c:numCache>
                <c:formatCode>General</c:formatCode>
                <c:ptCount val="7"/>
                <c:pt idx="0">
                  <c:v>2.97</c:v>
                </c:pt>
                <c:pt idx="1">
                  <c:v>6.2200000000000006</c:v>
                </c:pt>
                <c:pt idx="2">
                  <c:v>6.620000000000001</c:v>
                </c:pt>
                <c:pt idx="3">
                  <c:v>2.5700000000000003</c:v>
                </c:pt>
                <c:pt idx="4">
                  <c:v>4.5</c:v>
                </c:pt>
                <c:pt idx="5">
                  <c:v>3.3200000000000003</c:v>
                </c:pt>
                <c:pt idx="6">
                  <c:v>2.2999999999999994</c:v>
                </c:pt>
              </c:numCache>
            </c:numRef>
          </c:val>
          <c:extLst>
            <c:ext xmlns:c16="http://schemas.microsoft.com/office/drawing/2014/chart" uri="{C3380CC4-5D6E-409C-BE32-E72D297353CC}">
              <c16:uniqueId val="{00000000-D25A-4E12-BAA6-ECBE2B955DA5}"/>
            </c:ext>
          </c:extLst>
        </c:ser>
        <c:dLbls>
          <c:showLegendKey val="0"/>
          <c:showVal val="0"/>
          <c:showCatName val="0"/>
          <c:showSerName val="0"/>
          <c:showPercent val="0"/>
          <c:showBubbleSize val="0"/>
        </c:dLbls>
        <c:gapWidth val="219"/>
        <c:overlap val="-27"/>
        <c:axId val="626993992"/>
        <c:axId val="626996944"/>
      </c:barChart>
      <c:catAx>
        <c:axId val="626993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996944"/>
        <c:crosses val="autoZero"/>
        <c:auto val="1"/>
        <c:lblAlgn val="ctr"/>
        <c:lblOffset val="100"/>
        <c:noMultiLvlLbl val="0"/>
      </c:catAx>
      <c:valAx>
        <c:axId val="626996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993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8312570781426953E-2"/>
          <c:y val="7.407407407407407E-2"/>
          <c:w val="0.9377123442808607"/>
          <c:h val="0.70937408865558471"/>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'details all'!$N$10:$U$12</c:f>
              <c:multiLvlStrCache>
                <c:ptCount val="8"/>
                <c:lvl>
                  <c:pt idx="0">
                    <c:v>ОП</c:v>
                  </c:pt>
                  <c:pt idx="1">
                    <c:v>ВБС</c:v>
                  </c:pt>
                  <c:pt idx="2">
                    <c:v>ОП</c:v>
                  </c:pt>
                  <c:pt idx="3">
                    <c:v>ВБС</c:v>
                  </c:pt>
                  <c:pt idx="4">
                    <c:v>ОП</c:v>
                  </c:pt>
                  <c:pt idx="5">
                    <c:v>ВБС</c:v>
                  </c:pt>
                  <c:pt idx="6">
                    <c:v>ОП</c:v>
                  </c:pt>
                  <c:pt idx="7">
                    <c:v>ВБС</c:v>
                  </c:pt>
                </c:lvl>
                <c:lvl>
                  <c:pt idx="0">
                    <c:v>Специалисты</c:v>
                  </c:pt>
                  <c:pt idx="2">
                    <c:v>Общее обслуживание</c:v>
                  </c:pt>
                  <c:pt idx="4">
                    <c:v>Специалисты </c:v>
                  </c:pt>
                  <c:pt idx="6">
                    <c:v>Общее обслуживание</c:v>
                  </c:pt>
                </c:lvl>
                <c:lvl>
                  <c:pt idx="0">
                    <c:v>Штаб-квартира (31,4 ЭПЗ)</c:v>
                  </c:pt>
                  <c:pt idx="4">
                    <c:v>Подразделения на местах (23,2 ЭПЗ)</c:v>
                  </c:pt>
                </c:lvl>
              </c:multiLvlStrCache>
            </c:multiLvlStrRef>
          </c:cat>
          <c:val>
            <c:numRef>
              <c:f>'details all'!$N$13:$U$13</c:f>
              <c:numCache>
                <c:formatCode>#\ ##0.0</c:formatCode>
                <c:ptCount val="8"/>
                <c:pt idx="0" formatCode="0.0">
                  <c:v>13.208333333333334</c:v>
                </c:pt>
                <c:pt idx="1">
                  <c:v>9.199404761904761</c:v>
                </c:pt>
                <c:pt idx="2">
                  <c:v>4.7916666666666661</c:v>
                </c:pt>
                <c:pt idx="3">
                  <c:v>4.166666666666667</c:v>
                </c:pt>
                <c:pt idx="4">
                  <c:v>8.5</c:v>
                </c:pt>
                <c:pt idx="5">
                  <c:v>9.6874999999999982</c:v>
                </c:pt>
                <c:pt idx="6">
                  <c:v>0</c:v>
                </c:pt>
                <c:pt idx="7">
                  <c:v>5</c:v>
                </c:pt>
              </c:numCache>
            </c:numRef>
          </c:val>
          <c:extLst>
            <c:ext xmlns:c16="http://schemas.microsoft.com/office/drawing/2014/chart" uri="{C3380CC4-5D6E-409C-BE32-E72D297353CC}">
              <c16:uniqueId val="{00000000-40DA-4330-B0E4-E959BD176214}"/>
            </c:ext>
          </c:extLst>
        </c:ser>
        <c:dLbls>
          <c:dLblPos val="outEnd"/>
          <c:showLegendKey val="0"/>
          <c:showVal val="1"/>
          <c:showCatName val="0"/>
          <c:showSerName val="0"/>
          <c:showPercent val="0"/>
          <c:showBubbleSize val="0"/>
        </c:dLbls>
        <c:gapWidth val="444"/>
        <c:overlap val="-90"/>
        <c:axId val="390146264"/>
        <c:axId val="390147576"/>
      </c:barChart>
      <c:catAx>
        <c:axId val="3901462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90147576"/>
        <c:crosses val="autoZero"/>
        <c:auto val="1"/>
        <c:lblAlgn val="ctr"/>
        <c:lblOffset val="100"/>
        <c:noMultiLvlLbl val="0"/>
      </c:catAx>
      <c:valAx>
        <c:axId val="390147576"/>
        <c:scaling>
          <c:orientation val="minMax"/>
        </c:scaling>
        <c:delete val="1"/>
        <c:axPos val="l"/>
        <c:numFmt formatCode="0.0" sourceLinked="1"/>
        <c:majorTickMark val="none"/>
        <c:minorTickMark val="none"/>
        <c:tickLblPos val="nextTo"/>
        <c:crossAx val="39014626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0680D-8B69-DD44-96EC-DC50A873A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IOC-32 WD template.dotx</Template>
  <TotalTime>1</TotalTime>
  <Pages>27</Pages>
  <Words>10332</Words>
  <Characters>74225</Characters>
  <Application>Microsoft Office Word</Application>
  <DocSecurity>4</DocSecurity>
  <Lines>618</Lines>
  <Paragraphs>168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84389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(ЮНЕСКО)_x000d_
_x000d_
Тридцать вторая сессия Ассамблеи_x000d_
ЮНЕСКО, 21-30 июня 2023 г._x000d_
_x000d_
_x000d_
_x000d_
Пункт 5 предварительной повестки дня_x000d_
_x000d_
_x000d_
МОК и будущее океана: устойчивое осуществление и_x000d_
расширение деятельности МОК</dc:title>
  <dc:subject>IOC/A-32/5.DOC(1)</dc:subject>
  <dc:creator>Boned, Patrice</dc:creator>
  <cp:keywords>0</cp:keywords>
  <dc:description/>
  <cp:lastModifiedBy>Boned, Patrice</cp:lastModifiedBy>
  <cp:revision>2</cp:revision>
  <cp:lastPrinted>2023-05-22T10:05:00Z</cp:lastPrinted>
  <dcterms:created xsi:type="dcterms:W3CDTF">2023-05-23T15:48:00Z</dcterms:created>
  <dcterms:modified xsi:type="dcterms:W3CDTF">2023-05-23T15:48:00Z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natali.bogdanova</vt:lpwstr>
  </property>
  <property fmtid="{D5CDD505-2E9C-101B-9397-08002B2CF9AE}" pid="4" name="GeneratedDate">
    <vt:lpwstr>05/23/2023 11:22:40</vt:lpwstr>
  </property>
  <property fmtid="{D5CDD505-2E9C-101B-9397-08002B2CF9AE}" pid="5" name="OriginalDocID">
    <vt:lpwstr>3615dd6a-1df4-44fa-adde-64fe22ef4109</vt:lpwstr>
  </property>
  <property fmtid="{D5CDD505-2E9C-101B-9397-08002B2CF9AE}" pid="6" name="JobDCPMS">
    <vt:lpwstr>2301649</vt:lpwstr>
  </property>
  <property fmtid="{D5CDD505-2E9C-101B-9397-08002B2CF9AE}" pid="7" name="Language">
    <vt:lpwstr>R</vt:lpwstr>
  </property>
</Properties>
</file>