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062"/>
      </w:tblGrid>
      <w:tr w:rsidR="00210815" w:rsidRPr="00B0494C" w14:paraId="734A6D4E" w14:textId="77777777" w:rsidTr="00210815">
        <w:tc>
          <w:tcPr>
            <w:tcW w:w="9062" w:type="dxa"/>
          </w:tcPr>
          <w:p w14:paraId="17F44ED0" w14:textId="77777777" w:rsidR="00210815" w:rsidRDefault="00210815" w:rsidP="00210815">
            <w:pPr>
              <w:pStyle w:val="NormalWeb"/>
              <w:spacing w:after="160"/>
              <w:jc w:val="center"/>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IOC INTERSESSIONAL FINANCIAL ADVISORY GROUP (IFAG) – 2021-2022</w:t>
            </w:r>
          </w:p>
          <w:p w14:paraId="12803AD0" w14:textId="77777777" w:rsidR="00210815" w:rsidRDefault="00210815" w:rsidP="00210815">
            <w:pPr>
              <w:pStyle w:val="NormalWeb"/>
              <w:spacing w:after="160"/>
              <w:jc w:val="center"/>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WORKING NOTE 1</w:t>
            </w:r>
          </w:p>
          <w:p w14:paraId="5C5CE858" w14:textId="77777777" w:rsidR="00210815" w:rsidRDefault="00210815" w:rsidP="00210815">
            <w:pPr>
              <w:pStyle w:val="NormalWeb"/>
              <w:spacing w:after="160"/>
              <w:jc w:val="center"/>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t>Reporting on in-kind contributions</w:t>
            </w:r>
          </w:p>
        </w:tc>
      </w:tr>
    </w:tbl>
    <w:p w14:paraId="0950346A" w14:textId="77777777" w:rsidR="00210815" w:rsidRDefault="00210815" w:rsidP="00210815">
      <w:pPr>
        <w:pStyle w:val="NormalWeb"/>
        <w:spacing w:after="160"/>
        <w:jc w:val="center"/>
        <w:rPr>
          <w:rFonts w:asciiTheme="minorHAnsi" w:hAnsiTheme="minorHAnsi" w:cstheme="minorHAnsi"/>
          <w:b/>
          <w:bCs/>
          <w:color w:val="000000"/>
          <w:sz w:val="22"/>
          <w:szCs w:val="22"/>
          <w:lang w:val="en-US"/>
        </w:rPr>
      </w:pPr>
    </w:p>
    <w:p w14:paraId="64F76959" w14:textId="77777777" w:rsidR="00210815" w:rsidRPr="00210815" w:rsidRDefault="00210815" w:rsidP="00210815">
      <w:pPr>
        <w:pStyle w:val="NormalWeb"/>
        <w:spacing w:after="160"/>
        <w:jc w:val="both"/>
        <w:rPr>
          <w:rFonts w:asciiTheme="minorHAnsi" w:hAnsiTheme="minorHAnsi" w:cstheme="minorHAnsi"/>
          <w:sz w:val="22"/>
          <w:szCs w:val="22"/>
          <w:lang w:val="en-US"/>
        </w:rPr>
      </w:pPr>
      <w:r w:rsidRPr="00210815">
        <w:rPr>
          <w:rFonts w:asciiTheme="minorHAnsi" w:hAnsiTheme="minorHAnsi" w:cstheme="minorHAnsi"/>
          <w:b/>
          <w:bCs/>
          <w:color w:val="000000"/>
          <w:sz w:val="22"/>
          <w:szCs w:val="22"/>
          <w:lang w:val="en-US"/>
        </w:rPr>
        <w:t>Directive to the IFAG from IOC Assembly </w:t>
      </w:r>
    </w:p>
    <w:p w14:paraId="029166EF" w14:textId="77777777" w:rsidR="00210815" w:rsidRPr="00210815" w:rsidRDefault="00210815" w:rsidP="00210815">
      <w:pPr>
        <w:pStyle w:val="NormalWeb"/>
        <w:spacing w:after="160"/>
        <w:ind w:left="720" w:hanging="360"/>
        <w:jc w:val="both"/>
        <w:rPr>
          <w:rFonts w:asciiTheme="minorHAnsi" w:hAnsiTheme="minorHAnsi" w:cstheme="minorHAnsi"/>
          <w:sz w:val="22"/>
          <w:szCs w:val="22"/>
          <w:lang w:val="en-US"/>
        </w:rPr>
      </w:pPr>
      <w:r w:rsidRPr="00F80783">
        <w:rPr>
          <w:rFonts w:asciiTheme="minorHAnsi" w:hAnsiTheme="minorHAnsi" w:cstheme="minorHAnsi"/>
          <w:color w:val="000000"/>
          <w:sz w:val="22"/>
          <w:szCs w:val="22"/>
          <w:lang w:val="en-US"/>
        </w:rPr>
        <w:t>·</w:t>
      </w:r>
      <w:r w:rsidRPr="00210815">
        <w:rPr>
          <w:rFonts w:asciiTheme="minorHAnsi" w:hAnsiTheme="minorHAnsi" w:cstheme="minorHAnsi"/>
          <w:color w:val="000000"/>
          <w:sz w:val="22"/>
          <w:szCs w:val="22"/>
          <w:lang w:val="en-US"/>
        </w:rPr>
        <w:t>       IFAG to develop a proposal for a systematic approach and methodology for reporting in-kind contributions, consistent with the updated Guiding Principles for Programming and Budgeting (See Annex II)</w:t>
      </w:r>
    </w:p>
    <w:p w14:paraId="1F268C02" w14:textId="77777777" w:rsidR="00210815" w:rsidRPr="00210815" w:rsidRDefault="00210815" w:rsidP="00210815">
      <w:pPr>
        <w:pStyle w:val="NormalWeb"/>
        <w:spacing w:after="160"/>
        <w:jc w:val="both"/>
        <w:rPr>
          <w:rFonts w:asciiTheme="minorHAnsi" w:hAnsiTheme="minorHAnsi" w:cstheme="minorHAnsi"/>
          <w:sz w:val="22"/>
          <w:szCs w:val="22"/>
          <w:lang w:val="en-US"/>
        </w:rPr>
      </w:pPr>
      <w:r w:rsidRPr="00210815">
        <w:rPr>
          <w:rFonts w:asciiTheme="minorHAnsi" w:hAnsiTheme="minorHAnsi" w:cstheme="minorHAnsi"/>
          <w:color w:val="000000"/>
          <w:sz w:val="22"/>
          <w:szCs w:val="22"/>
          <w:u w:val="single"/>
          <w:lang w:val="en-US"/>
        </w:rPr>
        <w:t>Proposed Systematic Approach</w:t>
      </w:r>
    </w:p>
    <w:p w14:paraId="24D5F083" w14:textId="77777777" w:rsidR="00210815" w:rsidRPr="00210815" w:rsidRDefault="00210815" w:rsidP="00210815">
      <w:pPr>
        <w:pStyle w:val="NormalWeb"/>
        <w:ind w:left="720" w:hanging="360"/>
        <w:jc w:val="both"/>
        <w:rPr>
          <w:rFonts w:asciiTheme="minorHAnsi" w:hAnsiTheme="minorHAnsi" w:cstheme="minorHAnsi"/>
          <w:sz w:val="22"/>
          <w:szCs w:val="22"/>
          <w:lang w:val="en-US"/>
        </w:rPr>
      </w:pPr>
      <w:r w:rsidRPr="00210815">
        <w:rPr>
          <w:rFonts w:asciiTheme="minorHAnsi" w:hAnsiTheme="minorHAnsi" w:cstheme="minorHAnsi"/>
          <w:color w:val="000000"/>
          <w:sz w:val="22"/>
          <w:szCs w:val="22"/>
          <w:lang w:val="en-US"/>
        </w:rPr>
        <w:t>1.       Focused on in-kind staff contributions consistent with the Assembly decision to support reporting of in-kind contributions and principle 10</w:t>
      </w:r>
    </w:p>
    <w:p w14:paraId="3E789C85" w14:textId="77777777" w:rsidR="00210815" w:rsidRPr="00210815" w:rsidRDefault="00210815" w:rsidP="00210815">
      <w:pPr>
        <w:pStyle w:val="NormalWeb"/>
        <w:ind w:left="720" w:hanging="360"/>
        <w:jc w:val="both"/>
        <w:rPr>
          <w:rFonts w:asciiTheme="minorHAnsi" w:hAnsiTheme="minorHAnsi" w:cstheme="minorHAnsi"/>
          <w:sz w:val="22"/>
          <w:szCs w:val="22"/>
          <w:lang w:val="en-US"/>
        </w:rPr>
      </w:pPr>
      <w:r w:rsidRPr="00210815">
        <w:rPr>
          <w:rFonts w:asciiTheme="minorHAnsi" w:hAnsiTheme="minorHAnsi" w:cstheme="minorHAnsi"/>
          <w:color w:val="000000"/>
          <w:sz w:val="22"/>
          <w:szCs w:val="22"/>
          <w:lang w:val="en-US"/>
        </w:rPr>
        <w:t>2.       Application of standard indicators consistent with a shared format for reporting</w:t>
      </w:r>
    </w:p>
    <w:p w14:paraId="3419665F" w14:textId="77777777" w:rsidR="00210815" w:rsidRPr="00210815" w:rsidRDefault="00210815" w:rsidP="00210815">
      <w:pPr>
        <w:pStyle w:val="NormalWeb"/>
        <w:ind w:left="720" w:hanging="360"/>
        <w:jc w:val="both"/>
        <w:rPr>
          <w:rFonts w:asciiTheme="minorHAnsi" w:hAnsiTheme="minorHAnsi" w:cstheme="minorHAnsi"/>
          <w:sz w:val="22"/>
          <w:szCs w:val="22"/>
          <w:lang w:val="en-US"/>
        </w:rPr>
      </w:pPr>
      <w:r w:rsidRPr="00210815">
        <w:rPr>
          <w:rFonts w:asciiTheme="minorHAnsi" w:hAnsiTheme="minorHAnsi" w:cstheme="minorHAnsi"/>
          <w:color w:val="000000"/>
          <w:sz w:val="22"/>
          <w:szCs w:val="22"/>
          <w:lang w:val="en-US"/>
        </w:rPr>
        <w:t>3.       Comprehensive in the outreach to IOC programs and Sub-commissions and Member States for collaborative engagement</w:t>
      </w:r>
    </w:p>
    <w:p w14:paraId="4D790C00" w14:textId="77777777" w:rsidR="00210815" w:rsidRPr="00210815" w:rsidRDefault="00210815" w:rsidP="00210815">
      <w:pPr>
        <w:pStyle w:val="NormalWeb"/>
        <w:spacing w:after="160"/>
        <w:ind w:left="720" w:hanging="360"/>
        <w:jc w:val="both"/>
        <w:rPr>
          <w:rFonts w:asciiTheme="minorHAnsi" w:hAnsiTheme="minorHAnsi" w:cstheme="minorHAnsi"/>
          <w:sz w:val="22"/>
          <w:szCs w:val="22"/>
          <w:lang w:val="en-US"/>
        </w:rPr>
      </w:pPr>
      <w:r w:rsidRPr="00210815">
        <w:rPr>
          <w:rFonts w:asciiTheme="minorHAnsi" w:hAnsiTheme="minorHAnsi" w:cstheme="minorHAnsi"/>
          <w:color w:val="000000"/>
          <w:sz w:val="22"/>
          <w:szCs w:val="22"/>
          <w:lang w:val="en-US"/>
        </w:rPr>
        <w:t>4.       Annual no</w:t>
      </w:r>
      <w:r w:rsidR="00B0494C">
        <w:rPr>
          <w:rFonts w:asciiTheme="minorHAnsi" w:hAnsiTheme="minorHAnsi" w:cstheme="minorHAnsi"/>
          <w:color w:val="000000"/>
          <w:sz w:val="22"/>
          <w:szCs w:val="22"/>
          <w:lang w:val="en-US"/>
        </w:rPr>
        <w:t xml:space="preserve">tification to Member States to </w:t>
      </w:r>
      <w:r w:rsidRPr="00210815">
        <w:rPr>
          <w:rFonts w:asciiTheme="minorHAnsi" w:hAnsiTheme="minorHAnsi" w:cstheme="minorHAnsi"/>
          <w:color w:val="000000"/>
          <w:sz w:val="22"/>
          <w:szCs w:val="22"/>
          <w:lang w:val="en-US"/>
        </w:rPr>
        <w:t>submit in-kind contributions</w:t>
      </w:r>
    </w:p>
    <w:p w14:paraId="37CE2C66" w14:textId="77777777" w:rsidR="00210815" w:rsidRPr="00210815" w:rsidRDefault="00210815" w:rsidP="00210815">
      <w:pPr>
        <w:pStyle w:val="NormalWeb"/>
        <w:spacing w:after="160"/>
        <w:jc w:val="both"/>
        <w:rPr>
          <w:rFonts w:asciiTheme="minorHAnsi" w:hAnsiTheme="minorHAnsi" w:cstheme="minorHAnsi"/>
          <w:sz w:val="22"/>
          <w:szCs w:val="22"/>
          <w:lang w:val="en-US"/>
        </w:rPr>
      </w:pPr>
      <w:r w:rsidRPr="00210815">
        <w:rPr>
          <w:rFonts w:asciiTheme="minorHAnsi" w:hAnsiTheme="minorHAnsi" w:cstheme="minorHAnsi"/>
          <w:color w:val="000000"/>
          <w:sz w:val="22"/>
          <w:szCs w:val="22"/>
          <w:u w:val="single"/>
          <w:lang w:val="en-US"/>
        </w:rPr>
        <w:t xml:space="preserve">Proposed </w:t>
      </w:r>
      <w:r w:rsidR="00B0494C">
        <w:rPr>
          <w:rFonts w:asciiTheme="minorHAnsi" w:hAnsiTheme="minorHAnsi" w:cstheme="minorHAnsi"/>
          <w:color w:val="000000"/>
          <w:sz w:val="22"/>
          <w:szCs w:val="22"/>
          <w:u w:val="single"/>
          <w:lang w:val="en-US"/>
        </w:rPr>
        <w:t xml:space="preserve">Pilot </w:t>
      </w:r>
      <w:r w:rsidRPr="00210815">
        <w:rPr>
          <w:rFonts w:asciiTheme="minorHAnsi" w:hAnsiTheme="minorHAnsi" w:cstheme="minorHAnsi"/>
          <w:color w:val="000000"/>
          <w:sz w:val="22"/>
          <w:szCs w:val="22"/>
          <w:u w:val="single"/>
          <w:lang w:val="en-US"/>
        </w:rPr>
        <w:t>Methodology</w:t>
      </w:r>
    </w:p>
    <w:p w14:paraId="7B8A1B12" w14:textId="77777777" w:rsidR="00210815" w:rsidRPr="00210815" w:rsidRDefault="00210815" w:rsidP="00210815">
      <w:pPr>
        <w:pStyle w:val="NormalWeb"/>
        <w:ind w:left="720" w:hanging="360"/>
        <w:jc w:val="both"/>
        <w:rPr>
          <w:rFonts w:asciiTheme="minorHAnsi" w:hAnsiTheme="minorHAnsi" w:cstheme="minorHAnsi"/>
          <w:sz w:val="22"/>
          <w:szCs w:val="22"/>
          <w:lang w:val="en-US"/>
        </w:rPr>
      </w:pPr>
      <w:r w:rsidRPr="00210815">
        <w:rPr>
          <w:rFonts w:asciiTheme="minorHAnsi" w:hAnsiTheme="minorHAnsi" w:cstheme="minorHAnsi"/>
          <w:color w:val="000000"/>
          <w:sz w:val="22"/>
          <w:szCs w:val="22"/>
          <w:lang w:val="en-US"/>
        </w:rPr>
        <w:t>1.       Define in-kind contributions and develop indicators of such contributions to be applied.</w:t>
      </w:r>
    </w:p>
    <w:p w14:paraId="7C3D6F75" w14:textId="77777777" w:rsidR="00210815" w:rsidRPr="00210815" w:rsidRDefault="00210815" w:rsidP="00210815">
      <w:pPr>
        <w:pStyle w:val="NormalWeb"/>
        <w:ind w:left="720" w:hanging="360"/>
        <w:jc w:val="both"/>
        <w:rPr>
          <w:rFonts w:asciiTheme="minorHAnsi" w:hAnsiTheme="minorHAnsi" w:cstheme="minorHAnsi"/>
          <w:sz w:val="22"/>
          <w:szCs w:val="22"/>
          <w:lang w:val="en-US"/>
        </w:rPr>
      </w:pPr>
      <w:r w:rsidRPr="00210815">
        <w:rPr>
          <w:rFonts w:asciiTheme="minorHAnsi" w:hAnsiTheme="minorHAnsi" w:cstheme="minorHAnsi"/>
          <w:color w:val="000000"/>
          <w:sz w:val="22"/>
          <w:szCs w:val="22"/>
          <w:lang w:val="en-US"/>
        </w:rPr>
        <w:t>2.       Review principles to guide the in-kind reporting process</w:t>
      </w:r>
    </w:p>
    <w:p w14:paraId="5BE9C753" w14:textId="77777777" w:rsidR="00210815" w:rsidRPr="00210815" w:rsidRDefault="00210815" w:rsidP="00210815">
      <w:pPr>
        <w:pStyle w:val="NormalWeb"/>
        <w:ind w:left="720" w:hanging="360"/>
        <w:jc w:val="both"/>
        <w:rPr>
          <w:rFonts w:asciiTheme="minorHAnsi" w:hAnsiTheme="minorHAnsi" w:cstheme="minorHAnsi"/>
          <w:sz w:val="22"/>
          <w:szCs w:val="22"/>
          <w:lang w:val="en-US"/>
        </w:rPr>
      </w:pPr>
      <w:r w:rsidRPr="00210815">
        <w:rPr>
          <w:rFonts w:asciiTheme="minorHAnsi" w:hAnsiTheme="minorHAnsi" w:cstheme="minorHAnsi"/>
          <w:color w:val="000000"/>
          <w:sz w:val="22"/>
          <w:szCs w:val="22"/>
          <w:lang w:val="en-US"/>
        </w:rPr>
        <w:t>3.       Characterize categories of contributions that will not be counted as in-kind contributions</w:t>
      </w:r>
    </w:p>
    <w:p w14:paraId="3290A3AE" w14:textId="77777777" w:rsidR="00210815" w:rsidRPr="00210815" w:rsidRDefault="00210815" w:rsidP="00210815">
      <w:pPr>
        <w:pStyle w:val="NormalWeb"/>
        <w:ind w:left="720" w:hanging="360"/>
        <w:jc w:val="both"/>
        <w:rPr>
          <w:rFonts w:asciiTheme="minorHAnsi" w:hAnsiTheme="minorHAnsi" w:cstheme="minorHAnsi"/>
          <w:sz w:val="22"/>
          <w:szCs w:val="22"/>
          <w:lang w:val="en-US"/>
        </w:rPr>
      </w:pPr>
      <w:r w:rsidRPr="00210815">
        <w:rPr>
          <w:rFonts w:asciiTheme="minorHAnsi" w:hAnsiTheme="minorHAnsi" w:cstheme="minorHAnsi"/>
          <w:color w:val="000000"/>
          <w:sz w:val="22"/>
          <w:szCs w:val="22"/>
          <w:lang w:val="en-US"/>
        </w:rPr>
        <w:t>4.       Consult with IOC Secretariat and Sub-commissions for their engagement in the pilot</w:t>
      </w:r>
    </w:p>
    <w:p w14:paraId="71E40C98" w14:textId="77777777" w:rsidR="00210815" w:rsidRPr="00210815" w:rsidRDefault="00210815" w:rsidP="00210815">
      <w:pPr>
        <w:pStyle w:val="NormalWeb"/>
        <w:ind w:left="720" w:hanging="360"/>
        <w:jc w:val="both"/>
        <w:rPr>
          <w:rFonts w:asciiTheme="minorHAnsi" w:hAnsiTheme="minorHAnsi" w:cstheme="minorHAnsi"/>
          <w:sz w:val="22"/>
          <w:szCs w:val="22"/>
          <w:lang w:val="en-US"/>
        </w:rPr>
      </w:pPr>
      <w:r w:rsidRPr="00210815">
        <w:rPr>
          <w:rFonts w:asciiTheme="minorHAnsi" w:hAnsiTheme="minorHAnsi" w:cstheme="minorHAnsi"/>
          <w:color w:val="000000"/>
          <w:sz w:val="22"/>
          <w:szCs w:val="22"/>
          <w:lang w:val="en-US"/>
        </w:rPr>
        <w:t>5.       Develop a pilot to test the clarity and efficacy of the indicators</w:t>
      </w:r>
    </w:p>
    <w:p w14:paraId="54C420DF" w14:textId="77777777" w:rsidR="00210815" w:rsidRPr="00210815" w:rsidRDefault="00210815" w:rsidP="00210815">
      <w:pPr>
        <w:pStyle w:val="NormalWeb"/>
        <w:ind w:left="720" w:hanging="360"/>
        <w:jc w:val="both"/>
        <w:rPr>
          <w:rFonts w:asciiTheme="minorHAnsi" w:hAnsiTheme="minorHAnsi" w:cstheme="minorHAnsi"/>
          <w:sz w:val="22"/>
          <w:szCs w:val="22"/>
          <w:lang w:val="en-US"/>
        </w:rPr>
      </w:pPr>
      <w:r w:rsidRPr="00210815">
        <w:rPr>
          <w:rFonts w:asciiTheme="minorHAnsi" w:hAnsiTheme="minorHAnsi" w:cstheme="minorHAnsi"/>
          <w:color w:val="000000"/>
          <w:sz w:val="22"/>
          <w:szCs w:val="22"/>
          <w:lang w:val="en-US"/>
        </w:rPr>
        <w:t>6.       Focus will be on past precedent of in-kind contributions focused on IOC programs</w:t>
      </w:r>
    </w:p>
    <w:p w14:paraId="032DFC62" w14:textId="77777777" w:rsidR="000D1683" w:rsidRDefault="00210815" w:rsidP="00210815">
      <w:pPr>
        <w:pStyle w:val="NormalWeb"/>
        <w:ind w:left="708" w:hanging="348"/>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7.</w:t>
      </w:r>
      <w:r>
        <w:rPr>
          <w:rFonts w:asciiTheme="minorHAnsi" w:hAnsiTheme="minorHAnsi" w:cstheme="minorHAnsi"/>
          <w:color w:val="000000"/>
          <w:sz w:val="22"/>
          <w:szCs w:val="22"/>
          <w:lang w:val="en-US"/>
        </w:rPr>
        <w:tab/>
        <w:t xml:space="preserve">   </w:t>
      </w:r>
      <w:r w:rsidRPr="00210815">
        <w:rPr>
          <w:rFonts w:asciiTheme="minorHAnsi" w:hAnsiTheme="minorHAnsi" w:cstheme="minorHAnsi"/>
          <w:color w:val="000000"/>
          <w:sz w:val="22"/>
          <w:szCs w:val="22"/>
          <w:lang w:val="en-US"/>
        </w:rPr>
        <w:t xml:space="preserve">Defer any question about such in-kind contributions related to the Decade, </w:t>
      </w:r>
      <w:proofErr w:type="spellStart"/>
      <w:r w:rsidRPr="00210815">
        <w:rPr>
          <w:rFonts w:asciiTheme="minorHAnsi" w:hAnsiTheme="minorHAnsi" w:cstheme="minorHAnsi"/>
          <w:color w:val="000000"/>
          <w:sz w:val="22"/>
          <w:szCs w:val="22"/>
          <w:lang w:val="en-US"/>
        </w:rPr>
        <w:t>eg</w:t>
      </w:r>
      <w:proofErr w:type="spellEnd"/>
      <w:r w:rsidRPr="00210815">
        <w:rPr>
          <w:rFonts w:asciiTheme="minorHAnsi" w:hAnsiTheme="minorHAnsi" w:cstheme="minorHAnsi"/>
          <w:color w:val="000000"/>
          <w:sz w:val="22"/>
          <w:szCs w:val="22"/>
          <w:lang w:val="en-US"/>
        </w:rPr>
        <w:t xml:space="preserve"> collaborative </w:t>
      </w:r>
      <w:r>
        <w:rPr>
          <w:rFonts w:asciiTheme="minorHAnsi" w:hAnsiTheme="minorHAnsi" w:cstheme="minorHAnsi"/>
          <w:color w:val="000000"/>
          <w:sz w:val="22"/>
          <w:szCs w:val="22"/>
          <w:lang w:val="en-US"/>
        </w:rPr>
        <w:t xml:space="preserve">          </w:t>
      </w:r>
      <w:r w:rsidRPr="00210815">
        <w:rPr>
          <w:rFonts w:asciiTheme="minorHAnsi" w:hAnsiTheme="minorHAnsi" w:cstheme="minorHAnsi"/>
          <w:color w:val="000000"/>
          <w:sz w:val="22"/>
          <w:szCs w:val="22"/>
          <w:lang w:val="en-US"/>
        </w:rPr>
        <w:t xml:space="preserve">centers, </w:t>
      </w:r>
      <w:r w:rsidR="00B0494C">
        <w:rPr>
          <w:rFonts w:asciiTheme="minorHAnsi" w:hAnsiTheme="minorHAnsi" w:cstheme="minorHAnsi"/>
          <w:color w:val="000000"/>
          <w:sz w:val="22"/>
          <w:szCs w:val="22"/>
          <w:lang w:val="en-US"/>
        </w:rPr>
        <w:t xml:space="preserve">to </w:t>
      </w:r>
      <w:r w:rsidRPr="00210815">
        <w:rPr>
          <w:rFonts w:asciiTheme="minorHAnsi" w:hAnsiTheme="minorHAnsi" w:cstheme="minorHAnsi"/>
          <w:color w:val="000000"/>
          <w:sz w:val="22"/>
          <w:szCs w:val="22"/>
          <w:lang w:val="en-US"/>
        </w:rPr>
        <w:t>the Executive Council. </w:t>
      </w:r>
    </w:p>
    <w:p w14:paraId="1637E843" w14:textId="77777777" w:rsidR="00210815" w:rsidRDefault="000D1683" w:rsidP="00210815">
      <w:pPr>
        <w:pStyle w:val="NormalWeb"/>
        <w:ind w:left="708" w:hanging="348"/>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8.</w:t>
      </w:r>
      <w:r>
        <w:rPr>
          <w:rFonts w:asciiTheme="minorHAnsi" w:hAnsiTheme="minorHAnsi" w:cstheme="minorHAnsi"/>
          <w:color w:val="000000"/>
          <w:sz w:val="22"/>
          <w:szCs w:val="22"/>
          <w:lang w:val="en-US"/>
        </w:rPr>
        <w:tab/>
        <w:t xml:space="preserve">   Defer the discussion of partner (non</w:t>
      </w:r>
      <w:r w:rsidR="00B0494C">
        <w:rPr>
          <w:rFonts w:asciiTheme="minorHAnsi" w:hAnsiTheme="minorHAnsi" w:cstheme="minorHAnsi"/>
          <w:color w:val="000000"/>
          <w:sz w:val="22"/>
          <w:szCs w:val="22"/>
          <w:lang w:val="en-US"/>
        </w:rPr>
        <w:t>-</w:t>
      </w:r>
      <w:r>
        <w:rPr>
          <w:rFonts w:asciiTheme="minorHAnsi" w:hAnsiTheme="minorHAnsi" w:cstheme="minorHAnsi"/>
          <w:color w:val="000000"/>
          <w:sz w:val="22"/>
          <w:szCs w:val="22"/>
          <w:lang w:val="en-US"/>
        </w:rPr>
        <w:t>Member States) in-kind contributions to the Assembly, focusing the initial pilot of Member States’ contributions</w:t>
      </w:r>
    </w:p>
    <w:p w14:paraId="79D60FB5" w14:textId="77777777" w:rsidR="00210815" w:rsidRDefault="00210815" w:rsidP="00210815">
      <w:pPr>
        <w:pStyle w:val="NormalWeb"/>
        <w:ind w:left="708" w:hanging="348"/>
        <w:jc w:val="both"/>
        <w:rPr>
          <w:rFonts w:asciiTheme="minorHAnsi" w:hAnsiTheme="minorHAnsi" w:cstheme="minorHAnsi"/>
          <w:color w:val="000000"/>
          <w:sz w:val="22"/>
          <w:szCs w:val="22"/>
          <w:lang w:val="en-US"/>
        </w:rPr>
      </w:pPr>
    </w:p>
    <w:p w14:paraId="24257A88" w14:textId="77777777" w:rsidR="00210815" w:rsidRPr="00FF1CE9" w:rsidRDefault="00210815" w:rsidP="00210815">
      <w:pPr>
        <w:pStyle w:val="NormalWeb"/>
        <w:ind w:left="708" w:hanging="348"/>
        <w:jc w:val="both"/>
        <w:rPr>
          <w:rFonts w:asciiTheme="minorHAnsi" w:hAnsiTheme="minorHAnsi" w:cstheme="minorHAnsi"/>
          <w:i/>
          <w:color w:val="000000"/>
          <w:sz w:val="22"/>
          <w:szCs w:val="22"/>
          <w:lang w:val="en-US"/>
        </w:rPr>
      </w:pPr>
      <w:r w:rsidRPr="00FF1CE9">
        <w:rPr>
          <w:rFonts w:asciiTheme="minorHAnsi" w:hAnsiTheme="minorHAnsi" w:cstheme="minorHAnsi"/>
          <w:i/>
          <w:color w:val="000000"/>
          <w:sz w:val="22"/>
          <w:szCs w:val="22"/>
          <w:lang w:val="en-US"/>
        </w:rPr>
        <w:t>Some initial considerations:</w:t>
      </w:r>
    </w:p>
    <w:p w14:paraId="4CDA7CE9" w14:textId="77777777" w:rsidR="00210815" w:rsidRDefault="00210815" w:rsidP="00210815">
      <w:pPr>
        <w:pStyle w:val="NormalWeb"/>
        <w:ind w:left="708" w:hanging="348"/>
        <w:jc w:val="both"/>
        <w:rPr>
          <w:rFonts w:asciiTheme="minorHAnsi" w:hAnsiTheme="minorHAnsi" w:cstheme="minorHAnsi"/>
          <w:color w:val="000000"/>
          <w:sz w:val="22"/>
          <w:szCs w:val="22"/>
          <w:lang w:val="en-US"/>
        </w:rPr>
      </w:pPr>
    </w:p>
    <w:p w14:paraId="74F6D7C0" w14:textId="77777777" w:rsidR="009D0E87" w:rsidRDefault="00210815" w:rsidP="009D0E87">
      <w:pPr>
        <w:pStyle w:val="NormalWeb"/>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Report</w:t>
      </w:r>
      <w:r w:rsidR="009D0E87">
        <w:rPr>
          <w:rFonts w:asciiTheme="minorHAnsi" w:hAnsiTheme="minorHAnsi" w:cstheme="minorHAnsi"/>
          <w:color w:val="000000"/>
          <w:sz w:val="22"/>
          <w:szCs w:val="22"/>
          <w:lang w:val="en-US"/>
        </w:rPr>
        <w:t xml:space="preserve"> </w:t>
      </w:r>
      <w:r w:rsidRPr="00210815">
        <w:rPr>
          <w:rFonts w:asciiTheme="minorHAnsi" w:hAnsiTheme="minorHAnsi" w:cstheme="minorHAnsi"/>
          <w:color w:val="000000"/>
          <w:sz w:val="22"/>
          <w:szCs w:val="22"/>
          <w:lang w:val="en-US"/>
        </w:rPr>
        <w:t>only those in-kind contributions that are currently conducted under formal Member State/Institutional arrangement with IOC, for example: </w:t>
      </w:r>
    </w:p>
    <w:p w14:paraId="3CBFCA2D" w14:textId="77777777" w:rsidR="00FF1CE9" w:rsidRDefault="00FF1CE9" w:rsidP="00FF1CE9">
      <w:pPr>
        <w:pStyle w:val="NormalWeb"/>
        <w:jc w:val="both"/>
        <w:rPr>
          <w:rFonts w:asciiTheme="minorHAnsi" w:hAnsiTheme="minorHAnsi" w:cstheme="minorHAnsi"/>
          <w:color w:val="000000"/>
          <w:sz w:val="22"/>
          <w:szCs w:val="22"/>
          <w:lang w:val="en-US"/>
        </w:rPr>
      </w:pPr>
    </w:p>
    <w:p w14:paraId="24BBE9B4" w14:textId="77777777" w:rsidR="00FF1CE9" w:rsidRPr="00FF1CE9" w:rsidRDefault="009D0E87" w:rsidP="00BC745C">
      <w:pPr>
        <w:pStyle w:val="NormalWeb"/>
        <w:numPr>
          <w:ilvl w:val="0"/>
          <w:numId w:val="2"/>
        </w:numPr>
        <w:ind w:left="2880"/>
        <w:jc w:val="both"/>
        <w:rPr>
          <w:rFonts w:asciiTheme="minorHAnsi" w:hAnsiTheme="minorHAnsi" w:cstheme="minorHAnsi"/>
          <w:sz w:val="22"/>
          <w:szCs w:val="22"/>
          <w:lang w:val="en-US"/>
        </w:rPr>
      </w:pPr>
      <w:r w:rsidRPr="00FF1CE9">
        <w:rPr>
          <w:rFonts w:asciiTheme="minorHAnsi" w:hAnsiTheme="minorHAnsi" w:cstheme="minorHAnsi"/>
          <w:color w:val="000000"/>
          <w:sz w:val="22"/>
          <w:szCs w:val="22"/>
          <w:lang w:val="en-US"/>
        </w:rPr>
        <w:t>Support for hosted offices – ex Ostend, Copen</w:t>
      </w:r>
      <w:r w:rsidR="00FF1CE9">
        <w:rPr>
          <w:rFonts w:asciiTheme="minorHAnsi" w:hAnsiTheme="minorHAnsi" w:cstheme="minorHAnsi"/>
          <w:color w:val="000000"/>
          <w:sz w:val="22"/>
          <w:szCs w:val="22"/>
          <w:lang w:val="en-US"/>
        </w:rPr>
        <w:t>hag</w:t>
      </w:r>
      <w:r w:rsidRPr="00FF1CE9">
        <w:rPr>
          <w:rFonts w:asciiTheme="minorHAnsi" w:hAnsiTheme="minorHAnsi" w:cstheme="minorHAnsi"/>
          <w:color w:val="000000"/>
          <w:sz w:val="22"/>
          <w:szCs w:val="22"/>
          <w:lang w:val="en-US"/>
        </w:rPr>
        <w:t>en, WESTPAC, IOCARIBE</w:t>
      </w:r>
    </w:p>
    <w:p w14:paraId="5801718F" w14:textId="77777777" w:rsidR="00210815" w:rsidRPr="00FF1CE9" w:rsidRDefault="00210815" w:rsidP="00BC745C">
      <w:pPr>
        <w:pStyle w:val="NormalWeb"/>
        <w:numPr>
          <w:ilvl w:val="0"/>
          <w:numId w:val="2"/>
        </w:numPr>
        <w:ind w:left="2880"/>
        <w:jc w:val="both"/>
        <w:rPr>
          <w:rFonts w:asciiTheme="minorHAnsi" w:hAnsiTheme="minorHAnsi" w:cstheme="minorHAnsi"/>
          <w:sz w:val="22"/>
          <w:szCs w:val="22"/>
          <w:lang w:val="en-US"/>
        </w:rPr>
      </w:pPr>
      <w:r w:rsidRPr="00FF1CE9">
        <w:rPr>
          <w:rFonts w:asciiTheme="minorHAnsi" w:hAnsiTheme="minorHAnsi" w:cstheme="minorHAnsi"/>
          <w:color w:val="000000"/>
          <w:sz w:val="22"/>
          <w:szCs w:val="22"/>
          <w:lang w:val="en-US"/>
        </w:rPr>
        <w:t xml:space="preserve">Address designated training centers through OTGA, Tsunami regional training centers, GOOS, IPHAB, regional subsidiary bodies </w:t>
      </w:r>
      <w:proofErr w:type="spellStart"/>
      <w:r w:rsidRPr="00FF1CE9">
        <w:rPr>
          <w:rFonts w:asciiTheme="minorHAnsi" w:hAnsiTheme="minorHAnsi" w:cstheme="minorHAnsi"/>
          <w:color w:val="000000"/>
          <w:sz w:val="22"/>
          <w:szCs w:val="22"/>
          <w:lang w:val="en-US"/>
        </w:rPr>
        <w:t>eg</w:t>
      </w:r>
      <w:proofErr w:type="spellEnd"/>
      <w:r w:rsidRPr="00FF1CE9">
        <w:rPr>
          <w:rFonts w:asciiTheme="minorHAnsi" w:hAnsiTheme="minorHAnsi" w:cstheme="minorHAnsi"/>
          <w:color w:val="000000"/>
          <w:sz w:val="22"/>
          <w:szCs w:val="22"/>
          <w:lang w:val="en-US"/>
        </w:rPr>
        <w:t xml:space="preserve"> WESTPAC,  </w:t>
      </w:r>
      <w:proofErr w:type="spellStart"/>
      <w:r w:rsidRPr="00FF1CE9">
        <w:rPr>
          <w:rFonts w:asciiTheme="minorHAnsi" w:hAnsiTheme="minorHAnsi" w:cstheme="minorHAnsi"/>
          <w:color w:val="000000"/>
          <w:sz w:val="22"/>
          <w:szCs w:val="22"/>
          <w:lang w:val="en-US"/>
        </w:rPr>
        <w:t>etc</w:t>
      </w:r>
      <w:proofErr w:type="spellEnd"/>
      <w:r w:rsidRPr="00FF1CE9">
        <w:rPr>
          <w:rFonts w:asciiTheme="minorHAnsi" w:hAnsiTheme="minorHAnsi" w:cstheme="minorHAnsi"/>
          <w:color w:val="000000"/>
          <w:sz w:val="22"/>
          <w:szCs w:val="22"/>
          <w:lang w:val="en-US"/>
        </w:rPr>
        <w:t>; </w:t>
      </w:r>
    </w:p>
    <w:p w14:paraId="4A6E6C9D" w14:textId="77777777" w:rsidR="00210815" w:rsidRPr="00210815" w:rsidRDefault="009D0E87" w:rsidP="00210815">
      <w:pPr>
        <w:pStyle w:val="NormalWeb"/>
        <w:ind w:left="2880" w:hanging="360"/>
        <w:jc w:val="both"/>
        <w:rPr>
          <w:rFonts w:asciiTheme="minorHAnsi" w:hAnsiTheme="minorHAnsi" w:cstheme="minorHAnsi"/>
          <w:sz w:val="22"/>
          <w:szCs w:val="22"/>
          <w:lang w:val="en-US"/>
        </w:rPr>
      </w:pPr>
      <w:r>
        <w:rPr>
          <w:rFonts w:asciiTheme="minorHAnsi" w:hAnsiTheme="minorHAnsi" w:cstheme="minorHAnsi"/>
          <w:color w:val="000000"/>
          <w:sz w:val="22"/>
          <w:szCs w:val="22"/>
          <w:lang w:val="en-US"/>
        </w:rPr>
        <w:t>3</w:t>
      </w:r>
      <w:r w:rsidR="00210815" w:rsidRPr="00210815">
        <w:rPr>
          <w:rFonts w:asciiTheme="minorHAnsi" w:hAnsiTheme="minorHAnsi" w:cstheme="minorHAnsi"/>
          <w:color w:val="000000"/>
          <w:sz w:val="22"/>
          <w:szCs w:val="22"/>
          <w:lang w:val="en-US"/>
        </w:rPr>
        <w:t>.  </w:t>
      </w:r>
      <w:r w:rsidR="00FF1CE9">
        <w:rPr>
          <w:rFonts w:asciiTheme="minorHAnsi" w:hAnsiTheme="minorHAnsi" w:cstheme="minorHAnsi"/>
          <w:color w:val="000000"/>
          <w:sz w:val="22"/>
          <w:szCs w:val="22"/>
          <w:lang w:val="en-US"/>
        </w:rPr>
        <w:t>  S</w:t>
      </w:r>
      <w:r>
        <w:rPr>
          <w:rFonts w:asciiTheme="minorHAnsi" w:hAnsiTheme="minorHAnsi" w:cstheme="minorHAnsi"/>
          <w:color w:val="000000"/>
          <w:sz w:val="22"/>
          <w:szCs w:val="22"/>
          <w:lang w:val="en-US"/>
        </w:rPr>
        <w:t>taff loans</w:t>
      </w:r>
      <w:r w:rsidR="00210815" w:rsidRPr="00210815">
        <w:rPr>
          <w:rFonts w:asciiTheme="minorHAnsi" w:hAnsiTheme="minorHAnsi" w:cstheme="minorHAnsi"/>
          <w:color w:val="000000"/>
          <w:sz w:val="22"/>
          <w:szCs w:val="22"/>
          <w:lang w:val="en-US"/>
        </w:rPr>
        <w:t xml:space="preserve"> to the IOC</w:t>
      </w:r>
      <w:r w:rsidR="00FF1CE9">
        <w:rPr>
          <w:rFonts w:asciiTheme="minorHAnsi" w:hAnsiTheme="minorHAnsi" w:cstheme="minorHAnsi"/>
          <w:color w:val="000000"/>
          <w:sz w:val="22"/>
          <w:szCs w:val="22"/>
          <w:lang w:val="en-US"/>
        </w:rPr>
        <w:t xml:space="preserve"> Secretariat</w:t>
      </w:r>
    </w:p>
    <w:p w14:paraId="0949B1EF" w14:textId="77777777" w:rsidR="00210815" w:rsidRPr="00210815" w:rsidRDefault="009D0E87" w:rsidP="00210815">
      <w:pPr>
        <w:pStyle w:val="NormalWeb"/>
        <w:ind w:left="2880" w:hanging="360"/>
        <w:jc w:val="both"/>
        <w:rPr>
          <w:rFonts w:asciiTheme="minorHAnsi" w:hAnsiTheme="minorHAnsi" w:cstheme="minorHAnsi"/>
          <w:sz w:val="22"/>
          <w:szCs w:val="22"/>
          <w:lang w:val="en-US"/>
        </w:rPr>
      </w:pPr>
      <w:r>
        <w:rPr>
          <w:rFonts w:asciiTheme="minorHAnsi" w:hAnsiTheme="minorHAnsi" w:cstheme="minorHAnsi"/>
          <w:color w:val="000000"/>
          <w:sz w:val="22"/>
          <w:szCs w:val="22"/>
          <w:lang w:val="en-US"/>
        </w:rPr>
        <w:t>4</w:t>
      </w:r>
      <w:r w:rsidR="00210815" w:rsidRPr="00210815">
        <w:rPr>
          <w:rFonts w:asciiTheme="minorHAnsi" w:hAnsiTheme="minorHAnsi" w:cstheme="minorHAnsi"/>
          <w:color w:val="000000"/>
          <w:sz w:val="22"/>
          <w:szCs w:val="22"/>
          <w:lang w:val="en-US"/>
        </w:rPr>
        <w:t>.</w:t>
      </w:r>
      <w:r w:rsidR="00FF1CE9">
        <w:rPr>
          <w:rFonts w:asciiTheme="minorHAnsi" w:hAnsiTheme="minorHAnsi" w:cstheme="minorHAnsi"/>
          <w:color w:val="000000"/>
          <w:sz w:val="22"/>
          <w:szCs w:val="22"/>
          <w:lang w:val="en-US"/>
        </w:rPr>
        <w:t>    </w:t>
      </w:r>
      <w:r w:rsidR="00210815" w:rsidRPr="00210815">
        <w:rPr>
          <w:rFonts w:asciiTheme="minorHAnsi" w:hAnsiTheme="minorHAnsi" w:cstheme="minorHAnsi"/>
          <w:color w:val="000000"/>
          <w:sz w:val="22"/>
          <w:szCs w:val="22"/>
          <w:lang w:val="en-US"/>
        </w:rPr>
        <w:t>Hosting costs for expert and regional meetings</w:t>
      </w:r>
    </w:p>
    <w:p w14:paraId="6B3BCAB4" w14:textId="77777777" w:rsidR="00210815" w:rsidRDefault="00210815" w:rsidP="00210815">
      <w:pPr>
        <w:pStyle w:val="NormalWeb"/>
        <w:ind w:left="708" w:hanging="348"/>
        <w:jc w:val="both"/>
        <w:rPr>
          <w:rFonts w:asciiTheme="minorHAnsi" w:hAnsiTheme="minorHAnsi" w:cstheme="minorHAnsi"/>
          <w:color w:val="000000"/>
          <w:sz w:val="22"/>
          <w:szCs w:val="22"/>
          <w:lang w:val="en-US"/>
        </w:rPr>
      </w:pPr>
    </w:p>
    <w:p w14:paraId="6FDC5406" w14:textId="77777777" w:rsidR="00210815" w:rsidRPr="00210815" w:rsidRDefault="00210815" w:rsidP="009D0E87">
      <w:pPr>
        <w:pStyle w:val="NormalWeb"/>
        <w:jc w:val="both"/>
        <w:rPr>
          <w:rFonts w:asciiTheme="minorHAnsi" w:hAnsiTheme="minorHAnsi" w:cstheme="minorHAnsi"/>
          <w:sz w:val="22"/>
          <w:szCs w:val="22"/>
          <w:lang w:val="en-US"/>
        </w:rPr>
      </w:pPr>
      <w:r>
        <w:rPr>
          <w:rFonts w:asciiTheme="minorHAnsi" w:hAnsiTheme="minorHAnsi" w:cstheme="minorHAnsi"/>
          <w:color w:val="000000"/>
          <w:sz w:val="22"/>
          <w:szCs w:val="22"/>
          <w:lang w:val="en-US"/>
        </w:rPr>
        <w:t xml:space="preserve"> </w:t>
      </w:r>
      <w:r>
        <w:rPr>
          <w:rFonts w:asciiTheme="minorHAnsi" w:hAnsiTheme="minorHAnsi" w:cstheme="minorHAnsi"/>
          <w:color w:val="000000"/>
          <w:sz w:val="22"/>
          <w:szCs w:val="22"/>
          <w:lang w:val="en-US"/>
        </w:rPr>
        <w:tab/>
      </w:r>
    </w:p>
    <w:p w14:paraId="72905519" w14:textId="77777777" w:rsidR="00210815" w:rsidRPr="00210815" w:rsidRDefault="00210815" w:rsidP="00210815">
      <w:pPr>
        <w:pStyle w:val="NormalWeb"/>
        <w:spacing w:after="160"/>
        <w:jc w:val="both"/>
        <w:rPr>
          <w:rFonts w:asciiTheme="minorHAnsi" w:hAnsiTheme="minorHAnsi" w:cstheme="minorHAnsi"/>
          <w:sz w:val="22"/>
          <w:szCs w:val="22"/>
          <w:lang w:val="en-US"/>
        </w:rPr>
      </w:pPr>
      <w:r w:rsidRPr="00210815">
        <w:rPr>
          <w:rFonts w:asciiTheme="minorHAnsi" w:hAnsiTheme="minorHAnsi" w:cstheme="minorHAnsi"/>
          <w:b/>
          <w:bCs/>
          <w:color w:val="000000"/>
          <w:sz w:val="22"/>
          <w:szCs w:val="22"/>
          <w:lang w:val="en-US"/>
        </w:rPr>
        <w:t>Pilot Project Description and Timeline</w:t>
      </w:r>
    </w:p>
    <w:p w14:paraId="261DA814" w14:textId="77777777" w:rsidR="00210815" w:rsidRPr="00210815" w:rsidRDefault="00210815" w:rsidP="00210815">
      <w:pPr>
        <w:pStyle w:val="NormalWeb"/>
        <w:ind w:left="720" w:hanging="360"/>
        <w:jc w:val="both"/>
        <w:rPr>
          <w:rFonts w:asciiTheme="minorHAnsi" w:hAnsiTheme="minorHAnsi" w:cstheme="minorHAnsi"/>
          <w:sz w:val="22"/>
          <w:szCs w:val="22"/>
          <w:lang w:val="en-US"/>
        </w:rPr>
      </w:pPr>
      <w:r w:rsidRPr="00210815">
        <w:rPr>
          <w:rFonts w:asciiTheme="minorHAnsi" w:hAnsiTheme="minorHAnsi" w:cstheme="minorHAnsi"/>
          <w:color w:val="000000"/>
          <w:sz w:val="22"/>
          <w:szCs w:val="22"/>
          <w:lang w:val="en-US"/>
        </w:rPr>
        <w:t>1.       Pilot Timeline:</w:t>
      </w:r>
    </w:p>
    <w:p w14:paraId="5AC5D4D1" w14:textId="77777777" w:rsidR="00210815" w:rsidRDefault="00210815" w:rsidP="00210815">
      <w:pPr>
        <w:pStyle w:val="NormalWeb"/>
        <w:ind w:left="1440" w:hanging="360"/>
        <w:jc w:val="both"/>
        <w:rPr>
          <w:rFonts w:asciiTheme="minorHAnsi" w:hAnsiTheme="minorHAnsi" w:cstheme="minorHAnsi"/>
          <w:color w:val="000000"/>
          <w:sz w:val="22"/>
          <w:szCs w:val="22"/>
          <w:lang w:val="en-US"/>
        </w:rPr>
      </w:pPr>
      <w:r w:rsidRPr="00210815">
        <w:rPr>
          <w:rFonts w:asciiTheme="minorHAnsi" w:hAnsiTheme="minorHAnsi" w:cstheme="minorHAnsi"/>
          <w:color w:val="000000"/>
          <w:sz w:val="22"/>
          <w:szCs w:val="22"/>
          <w:lang w:val="en-US"/>
        </w:rPr>
        <w:t xml:space="preserve">a.       </w:t>
      </w:r>
      <w:r w:rsidRPr="00210815">
        <w:rPr>
          <w:rFonts w:asciiTheme="minorHAnsi" w:hAnsiTheme="minorHAnsi" w:cstheme="minorHAnsi"/>
          <w:color w:val="000000"/>
          <w:sz w:val="22"/>
          <w:szCs w:val="22"/>
          <w:u w:val="single"/>
          <w:lang w:val="en-US"/>
        </w:rPr>
        <w:t>Phase 1: January -</w:t>
      </w:r>
      <w:r>
        <w:rPr>
          <w:rFonts w:asciiTheme="minorHAnsi" w:hAnsiTheme="minorHAnsi" w:cstheme="minorHAnsi"/>
          <w:color w:val="000000"/>
          <w:sz w:val="22"/>
          <w:szCs w:val="22"/>
          <w:u w:val="single"/>
          <w:lang w:val="en-US"/>
        </w:rPr>
        <w:t xml:space="preserve"> June</w:t>
      </w:r>
      <w:r w:rsidRPr="00210815">
        <w:rPr>
          <w:rFonts w:asciiTheme="minorHAnsi" w:hAnsiTheme="minorHAnsi" w:cstheme="minorHAnsi"/>
          <w:color w:val="000000"/>
          <w:sz w:val="22"/>
          <w:szCs w:val="22"/>
          <w:lang w:val="en-US"/>
        </w:rPr>
        <w:t xml:space="preserve">:  IFAG </w:t>
      </w:r>
      <w:r w:rsidR="00B0494C">
        <w:rPr>
          <w:rFonts w:asciiTheme="minorHAnsi" w:hAnsiTheme="minorHAnsi" w:cstheme="minorHAnsi"/>
          <w:color w:val="000000"/>
          <w:sz w:val="22"/>
          <w:szCs w:val="22"/>
          <w:lang w:val="en-US"/>
        </w:rPr>
        <w:t>reviews</w:t>
      </w:r>
      <w:r w:rsidRPr="00210815">
        <w:rPr>
          <w:rFonts w:asciiTheme="minorHAnsi" w:hAnsiTheme="minorHAnsi" w:cstheme="minorHAnsi"/>
          <w:color w:val="000000"/>
          <w:sz w:val="22"/>
          <w:szCs w:val="22"/>
          <w:lang w:val="en-US"/>
        </w:rPr>
        <w:t xml:space="preserve"> pilot methodology</w:t>
      </w:r>
      <w:r w:rsidR="00DD251F">
        <w:rPr>
          <w:rFonts w:asciiTheme="minorHAnsi" w:hAnsiTheme="minorHAnsi" w:cstheme="minorHAnsi"/>
          <w:color w:val="000000"/>
          <w:sz w:val="22"/>
          <w:szCs w:val="22"/>
          <w:lang w:val="en-US"/>
        </w:rPr>
        <w:t>, including the reporting template</w:t>
      </w:r>
      <w:r w:rsidR="00B0494C">
        <w:rPr>
          <w:rFonts w:asciiTheme="minorHAnsi" w:hAnsiTheme="minorHAnsi" w:cstheme="minorHAnsi"/>
          <w:color w:val="000000"/>
          <w:sz w:val="22"/>
          <w:szCs w:val="22"/>
          <w:lang w:val="en-US"/>
        </w:rPr>
        <w:t xml:space="preserve"> (Annex III)</w:t>
      </w:r>
    </w:p>
    <w:p w14:paraId="72822FB0" w14:textId="77777777" w:rsidR="00210815" w:rsidRPr="00210815" w:rsidRDefault="00210815" w:rsidP="00210815">
      <w:pPr>
        <w:pStyle w:val="NormalWeb"/>
        <w:ind w:left="1440" w:hanging="360"/>
        <w:jc w:val="both"/>
        <w:rPr>
          <w:rFonts w:asciiTheme="minorHAnsi" w:hAnsiTheme="minorHAnsi" w:cstheme="minorHAnsi"/>
          <w:sz w:val="22"/>
          <w:szCs w:val="22"/>
          <w:lang w:val="en-US"/>
        </w:rPr>
      </w:pPr>
      <w:r>
        <w:rPr>
          <w:rFonts w:asciiTheme="minorHAnsi" w:hAnsiTheme="minorHAnsi" w:cstheme="minorHAnsi"/>
          <w:color w:val="000000"/>
          <w:sz w:val="22"/>
          <w:szCs w:val="22"/>
          <w:lang w:val="en-US"/>
        </w:rPr>
        <w:lastRenderedPageBreak/>
        <w:t>b.</w:t>
      </w:r>
      <w:r>
        <w:rPr>
          <w:rFonts w:asciiTheme="minorHAnsi" w:hAnsiTheme="minorHAnsi" w:cstheme="minorHAnsi"/>
          <w:color w:val="000000"/>
          <w:sz w:val="22"/>
          <w:szCs w:val="22"/>
          <w:lang w:val="en-US"/>
        </w:rPr>
        <w:tab/>
        <w:t xml:space="preserve">   The Draft Pilot Methodology</w:t>
      </w:r>
      <w:r w:rsidR="00DD251F">
        <w:rPr>
          <w:rFonts w:asciiTheme="minorHAnsi" w:hAnsiTheme="minorHAnsi" w:cstheme="minorHAnsi"/>
          <w:color w:val="000000"/>
          <w:sz w:val="22"/>
          <w:szCs w:val="22"/>
          <w:lang w:val="en-US"/>
        </w:rPr>
        <w:t>, including the reporting template,</w:t>
      </w:r>
      <w:r>
        <w:rPr>
          <w:rFonts w:asciiTheme="minorHAnsi" w:hAnsiTheme="minorHAnsi" w:cstheme="minorHAnsi"/>
          <w:color w:val="000000"/>
          <w:sz w:val="22"/>
          <w:szCs w:val="22"/>
          <w:lang w:val="en-US"/>
        </w:rPr>
        <w:t xml:space="preserve"> is presented to the </w:t>
      </w:r>
      <w:r w:rsidRPr="00210815">
        <w:rPr>
          <w:rFonts w:asciiTheme="minorHAnsi" w:hAnsiTheme="minorHAnsi" w:cstheme="minorHAnsi"/>
          <w:b/>
          <w:color w:val="000000"/>
          <w:sz w:val="22"/>
          <w:szCs w:val="22"/>
          <w:lang w:val="en-US"/>
        </w:rPr>
        <w:t>55</w:t>
      </w:r>
      <w:r w:rsidRPr="00210815">
        <w:rPr>
          <w:rFonts w:asciiTheme="minorHAnsi" w:hAnsiTheme="minorHAnsi" w:cstheme="minorHAnsi"/>
          <w:b/>
          <w:color w:val="000000"/>
          <w:sz w:val="22"/>
          <w:szCs w:val="22"/>
          <w:vertAlign w:val="superscript"/>
          <w:lang w:val="en-US"/>
        </w:rPr>
        <w:t>th</w:t>
      </w:r>
      <w:r w:rsidRPr="00210815">
        <w:rPr>
          <w:rFonts w:asciiTheme="minorHAnsi" w:hAnsiTheme="minorHAnsi" w:cstheme="minorHAnsi"/>
          <w:b/>
          <w:color w:val="000000"/>
          <w:sz w:val="22"/>
          <w:szCs w:val="22"/>
          <w:lang w:val="en-US"/>
        </w:rPr>
        <w:t xml:space="preserve"> session of the IOC Executive Council</w:t>
      </w:r>
      <w:r w:rsidR="009D0E87">
        <w:rPr>
          <w:rFonts w:asciiTheme="minorHAnsi" w:hAnsiTheme="minorHAnsi" w:cstheme="minorHAnsi"/>
          <w:b/>
          <w:color w:val="000000"/>
          <w:sz w:val="22"/>
          <w:szCs w:val="22"/>
          <w:lang w:val="en-US"/>
        </w:rPr>
        <w:t xml:space="preserve"> (EC-55)</w:t>
      </w:r>
      <w:r>
        <w:rPr>
          <w:rFonts w:asciiTheme="minorHAnsi" w:hAnsiTheme="minorHAnsi" w:cstheme="minorHAnsi"/>
          <w:color w:val="000000"/>
          <w:sz w:val="22"/>
          <w:szCs w:val="22"/>
          <w:lang w:val="en-US"/>
        </w:rPr>
        <w:t>. The Executive Council reviews the methodology and possibly decides to launch the pilot reporting exercise for calendar year 2022</w:t>
      </w:r>
    </w:p>
    <w:p w14:paraId="076C6402" w14:textId="77777777" w:rsidR="00FF1CE9" w:rsidRDefault="009D0E87" w:rsidP="009D0E87">
      <w:pPr>
        <w:pStyle w:val="NormalWeb"/>
        <w:ind w:left="1440" w:hanging="360"/>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c</w:t>
      </w:r>
      <w:r w:rsidR="00210815" w:rsidRPr="00210815">
        <w:rPr>
          <w:rFonts w:asciiTheme="minorHAnsi" w:hAnsiTheme="minorHAnsi" w:cstheme="minorHAnsi"/>
          <w:color w:val="000000"/>
          <w:sz w:val="22"/>
          <w:szCs w:val="22"/>
          <w:lang w:val="en-US"/>
        </w:rPr>
        <w:t>.</w:t>
      </w:r>
      <w:r>
        <w:rPr>
          <w:rFonts w:asciiTheme="minorHAnsi" w:hAnsiTheme="minorHAnsi" w:cstheme="minorHAnsi"/>
          <w:color w:val="000000"/>
          <w:sz w:val="22"/>
          <w:szCs w:val="22"/>
          <w:lang w:val="en-US"/>
        </w:rPr>
        <w:t>     </w:t>
      </w:r>
      <w:r w:rsidR="00210815" w:rsidRPr="00210815">
        <w:rPr>
          <w:rFonts w:asciiTheme="minorHAnsi" w:hAnsiTheme="minorHAnsi" w:cstheme="minorHAnsi"/>
          <w:color w:val="000000"/>
          <w:sz w:val="22"/>
          <w:szCs w:val="22"/>
          <w:u w:val="single"/>
          <w:lang w:val="en-US"/>
        </w:rPr>
        <w:t xml:space="preserve">Phase 2: </w:t>
      </w:r>
      <w:r w:rsidR="00210815">
        <w:rPr>
          <w:rFonts w:asciiTheme="minorHAnsi" w:hAnsiTheme="minorHAnsi" w:cstheme="minorHAnsi"/>
          <w:color w:val="000000"/>
          <w:sz w:val="22"/>
          <w:szCs w:val="22"/>
          <w:u w:val="single"/>
          <w:lang w:val="en-US"/>
        </w:rPr>
        <w:t>July 2022 – January 2023</w:t>
      </w:r>
      <w:r w:rsidR="00210815" w:rsidRPr="00210815">
        <w:rPr>
          <w:rFonts w:asciiTheme="minorHAnsi" w:hAnsiTheme="minorHAnsi" w:cstheme="minorHAnsi"/>
          <w:color w:val="000000"/>
          <w:sz w:val="22"/>
          <w:szCs w:val="22"/>
          <w:lang w:val="en-US"/>
        </w:rPr>
        <w:t xml:space="preserve">: </w:t>
      </w:r>
      <w:r w:rsidR="00FF1CE9">
        <w:rPr>
          <w:rFonts w:asciiTheme="minorHAnsi" w:hAnsiTheme="minorHAnsi" w:cstheme="minorHAnsi"/>
          <w:color w:val="000000"/>
          <w:sz w:val="22"/>
          <w:szCs w:val="22"/>
          <w:lang w:val="en-US"/>
        </w:rPr>
        <w:t xml:space="preserve">The IOC Secretariat issues a Circular Letter to Member States conveying the methodology and requesting formal statements of contributions in calendar year 2022 by 20 January 2023 at the latest. </w:t>
      </w:r>
    </w:p>
    <w:p w14:paraId="644557F2" w14:textId="77777777" w:rsidR="00FF1CE9" w:rsidRDefault="00FF1CE9" w:rsidP="009D0E87">
      <w:pPr>
        <w:pStyle w:val="NormalWeb"/>
        <w:ind w:left="1440" w:hanging="360"/>
        <w:jc w:val="both"/>
        <w:rPr>
          <w:rFonts w:asciiTheme="minorHAnsi" w:hAnsiTheme="minorHAnsi" w:cstheme="minorHAnsi"/>
          <w:color w:val="000000"/>
          <w:sz w:val="22"/>
          <w:szCs w:val="22"/>
          <w:lang w:val="en-US"/>
        </w:rPr>
      </w:pPr>
    </w:p>
    <w:p w14:paraId="534BDA18" w14:textId="77777777" w:rsidR="009D0E87" w:rsidRDefault="009D0E87" w:rsidP="00FF1CE9">
      <w:pPr>
        <w:pStyle w:val="NormalWeb"/>
        <w:ind w:left="1440" w:hanging="24"/>
        <w:jc w:val="both"/>
        <w:rPr>
          <w:rFonts w:asciiTheme="minorHAnsi" w:hAnsiTheme="minorHAnsi" w:cstheme="minorHAnsi"/>
          <w:color w:val="000000"/>
          <w:sz w:val="22"/>
          <w:szCs w:val="22"/>
          <w:lang w:val="en-US"/>
        </w:rPr>
      </w:pPr>
      <w:r w:rsidRPr="00210815">
        <w:rPr>
          <w:rFonts w:asciiTheme="minorHAnsi" w:hAnsiTheme="minorHAnsi" w:cstheme="minorHAnsi"/>
          <w:color w:val="000000"/>
          <w:sz w:val="22"/>
          <w:szCs w:val="22"/>
          <w:lang w:val="en-US"/>
        </w:rPr>
        <w:t>Throughout the pilot</w:t>
      </w:r>
      <w:r>
        <w:rPr>
          <w:rFonts w:asciiTheme="minorHAnsi" w:hAnsiTheme="minorHAnsi" w:cstheme="minorHAnsi"/>
          <w:color w:val="000000"/>
          <w:sz w:val="22"/>
          <w:szCs w:val="22"/>
          <w:lang w:val="en-US"/>
        </w:rPr>
        <w:t xml:space="preserve"> </w:t>
      </w:r>
      <w:r w:rsidRPr="00210815">
        <w:rPr>
          <w:rFonts w:asciiTheme="minorHAnsi" w:hAnsiTheme="minorHAnsi" w:cstheme="minorHAnsi"/>
          <w:color w:val="000000"/>
          <w:sz w:val="22"/>
          <w:szCs w:val="22"/>
          <w:lang w:val="en-US"/>
        </w:rPr>
        <w:t>request that IOC Secretariat</w:t>
      </w:r>
      <w:r>
        <w:rPr>
          <w:rFonts w:asciiTheme="minorHAnsi" w:hAnsiTheme="minorHAnsi" w:cstheme="minorHAnsi"/>
          <w:color w:val="000000"/>
          <w:sz w:val="22"/>
          <w:szCs w:val="22"/>
          <w:lang w:val="en-US"/>
        </w:rPr>
        <w:t xml:space="preserve"> to</w:t>
      </w:r>
      <w:r w:rsidRPr="00210815">
        <w:rPr>
          <w:rFonts w:asciiTheme="minorHAnsi" w:hAnsiTheme="minorHAnsi" w:cstheme="minorHAnsi"/>
          <w:color w:val="000000"/>
          <w:sz w:val="22"/>
          <w:szCs w:val="22"/>
          <w:lang w:val="en-US"/>
        </w:rPr>
        <w:t xml:space="preserve"> identify additional arrangements not already referenced above, for potential inclusion in pilot reporting.</w:t>
      </w:r>
      <w:r w:rsidR="00210815" w:rsidRPr="00210815">
        <w:rPr>
          <w:rFonts w:asciiTheme="minorHAnsi" w:hAnsiTheme="minorHAnsi" w:cstheme="minorHAnsi"/>
          <w:color w:val="000000"/>
          <w:sz w:val="22"/>
          <w:szCs w:val="22"/>
          <w:lang w:val="en-US"/>
        </w:rPr>
        <w:t xml:space="preserve">  </w:t>
      </w:r>
    </w:p>
    <w:p w14:paraId="1FFABC3D" w14:textId="77777777" w:rsidR="00FF1CE9" w:rsidRDefault="00FF1CE9" w:rsidP="00FF1CE9">
      <w:pPr>
        <w:pStyle w:val="NormalWeb"/>
        <w:ind w:left="1440" w:hanging="24"/>
        <w:jc w:val="both"/>
        <w:rPr>
          <w:rFonts w:asciiTheme="minorHAnsi" w:hAnsiTheme="minorHAnsi" w:cstheme="minorHAnsi"/>
          <w:color w:val="000000"/>
          <w:sz w:val="22"/>
          <w:szCs w:val="22"/>
          <w:lang w:val="en-US"/>
        </w:rPr>
      </w:pPr>
    </w:p>
    <w:p w14:paraId="71142AC0" w14:textId="77777777" w:rsidR="00210815" w:rsidRDefault="009D0E87" w:rsidP="009D0E87">
      <w:pPr>
        <w:pStyle w:val="NormalWeb"/>
        <w:ind w:left="1440" w:hanging="360"/>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e.</w:t>
      </w:r>
      <w:r>
        <w:rPr>
          <w:rFonts w:asciiTheme="minorHAnsi" w:hAnsiTheme="minorHAnsi" w:cstheme="minorHAnsi"/>
          <w:color w:val="000000"/>
          <w:sz w:val="22"/>
          <w:szCs w:val="22"/>
          <w:lang w:val="en-US"/>
        </w:rPr>
        <w:tab/>
      </w:r>
      <w:r w:rsidR="00210815" w:rsidRPr="00210815">
        <w:rPr>
          <w:rFonts w:asciiTheme="minorHAnsi" w:hAnsiTheme="minorHAnsi" w:cstheme="minorHAnsi"/>
          <w:color w:val="000000"/>
          <w:sz w:val="22"/>
          <w:szCs w:val="22"/>
          <w:u w:val="single"/>
          <w:lang w:val="en-US"/>
        </w:rPr>
        <w:t xml:space="preserve">Phase </w:t>
      </w:r>
      <w:r>
        <w:rPr>
          <w:rFonts w:asciiTheme="minorHAnsi" w:hAnsiTheme="minorHAnsi" w:cstheme="minorHAnsi"/>
          <w:color w:val="000000"/>
          <w:sz w:val="22"/>
          <w:szCs w:val="22"/>
          <w:u w:val="single"/>
          <w:lang w:val="en-US"/>
        </w:rPr>
        <w:t>3</w:t>
      </w:r>
      <w:r w:rsidR="00210815" w:rsidRPr="00210815">
        <w:rPr>
          <w:rFonts w:asciiTheme="minorHAnsi" w:hAnsiTheme="minorHAnsi" w:cstheme="minorHAnsi"/>
          <w:color w:val="000000"/>
          <w:sz w:val="22"/>
          <w:szCs w:val="22"/>
          <w:u w:val="single"/>
          <w:lang w:val="en-US"/>
        </w:rPr>
        <w:t xml:space="preserve">: </w:t>
      </w:r>
      <w:r w:rsidR="00FF1CE9">
        <w:rPr>
          <w:rFonts w:asciiTheme="minorHAnsi" w:hAnsiTheme="minorHAnsi" w:cstheme="minorHAnsi"/>
          <w:color w:val="000000"/>
          <w:sz w:val="22"/>
          <w:szCs w:val="22"/>
          <w:u w:val="single"/>
          <w:lang w:val="en-US"/>
        </w:rPr>
        <w:t xml:space="preserve">February </w:t>
      </w:r>
      <w:r>
        <w:rPr>
          <w:rFonts w:asciiTheme="minorHAnsi" w:hAnsiTheme="minorHAnsi" w:cstheme="minorHAnsi"/>
          <w:color w:val="000000"/>
          <w:sz w:val="22"/>
          <w:szCs w:val="22"/>
          <w:u w:val="single"/>
          <w:lang w:val="en-US"/>
        </w:rPr>
        <w:t>2023</w:t>
      </w:r>
      <w:r w:rsidR="00210815" w:rsidRPr="00210815">
        <w:rPr>
          <w:rFonts w:asciiTheme="minorHAnsi" w:hAnsiTheme="minorHAnsi" w:cstheme="minorHAnsi"/>
          <w:color w:val="000000"/>
          <w:sz w:val="22"/>
          <w:szCs w:val="22"/>
          <w:lang w:val="en-US"/>
        </w:rPr>
        <w:t xml:space="preserve">:  </w:t>
      </w:r>
      <w:r>
        <w:rPr>
          <w:rFonts w:asciiTheme="minorHAnsi" w:hAnsiTheme="minorHAnsi" w:cstheme="minorHAnsi"/>
          <w:color w:val="000000"/>
          <w:sz w:val="22"/>
          <w:szCs w:val="22"/>
          <w:lang w:val="en-US"/>
        </w:rPr>
        <w:t>the complete report</w:t>
      </w:r>
      <w:r w:rsidR="00FF1CE9">
        <w:rPr>
          <w:rFonts w:asciiTheme="minorHAnsi" w:hAnsiTheme="minorHAnsi" w:cstheme="minorHAnsi"/>
          <w:color w:val="000000"/>
          <w:sz w:val="22"/>
          <w:szCs w:val="22"/>
          <w:lang w:val="en-US"/>
        </w:rPr>
        <w:t xml:space="preserve"> on contributions </w:t>
      </w:r>
      <w:r>
        <w:rPr>
          <w:rFonts w:asciiTheme="minorHAnsi" w:hAnsiTheme="minorHAnsi" w:cstheme="minorHAnsi"/>
          <w:color w:val="000000"/>
          <w:sz w:val="22"/>
          <w:szCs w:val="22"/>
          <w:lang w:val="en-US"/>
        </w:rPr>
        <w:t xml:space="preserve">is shared with IFAG (intersessional mandate 2022-2023) for discussion and potential proposal for revisions to methodology for consideration by the IOC Assembly in 2023. </w:t>
      </w:r>
    </w:p>
    <w:p w14:paraId="2DB9099A" w14:textId="77777777" w:rsidR="00FF1CE9" w:rsidRPr="00210815" w:rsidRDefault="00FF1CE9" w:rsidP="009D0E87">
      <w:pPr>
        <w:pStyle w:val="NormalWeb"/>
        <w:ind w:left="1440" w:hanging="360"/>
        <w:jc w:val="both"/>
        <w:rPr>
          <w:rFonts w:asciiTheme="minorHAnsi" w:hAnsiTheme="minorHAnsi" w:cstheme="minorHAnsi"/>
          <w:sz w:val="22"/>
          <w:szCs w:val="22"/>
          <w:lang w:val="en-US"/>
        </w:rPr>
      </w:pPr>
    </w:p>
    <w:p w14:paraId="2EB22A8B" w14:textId="77777777" w:rsidR="009D0E87" w:rsidRDefault="00210815" w:rsidP="00210815">
      <w:pPr>
        <w:pStyle w:val="NormalWeb"/>
        <w:ind w:left="1440" w:hanging="360"/>
        <w:jc w:val="both"/>
        <w:rPr>
          <w:rFonts w:asciiTheme="minorHAnsi" w:hAnsiTheme="minorHAnsi" w:cstheme="minorHAnsi"/>
          <w:color w:val="000000"/>
          <w:sz w:val="22"/>
          <w:szCs w:val="22"/>
          <w:lang w:val="en-US"/>
        </w:rPr>
      </w:pPr>
      <w:r w:rsidRPr="00210815">
        <w:rPr>
          <w:rFonts w:asciiTheme="minorHAnsi" w:hAnsiTheme="minorHAnsi" w:cstheme="minorHAnsi"/>
          <w:color w:val="000000"/>
          <w:sz w:val="22"/>
          <w:szCs w:val="22"/>
          <w:lang w:val="en-US"/>
        </w:rPr>
        <w:t>e.    </w:t>
      </w:r>
      <w:r w:rsidR="009D0E87">
        <w:rPr>
          <w:rFonts w:asciiTheme="minorHAnsi" w:hAnsiTheme="minorHAnsi" w:cstheme="minorHAnsi"/>
          <w:color w:val="000000"/>
          <w:sz w:val="22"/>
          <w:szCs w:val="22"/>
          <w:lang w:val="en-US"/>
        </w:rPr>
        <w:t>Assembly 2023 considers the report and decides on the future reporting.</w:t>
      </w:r>
    </w:p>
    <w:p w14:paraId="0416E8EC" w14:textId="77777777" w:rsidR="00FF1CE9" w:rsidRDefault="00FF1CE9" w:rsidP="00210815">
      <w:pPr>
        <w:pStyle w:val="NormalWeb"/>
        <w:ind w:left="1440" w:hanging="360"/>
        <w:jc w:val="both"/>
        <w:rPr>
          <w:rFonts w:asciiTheme="minorHAnsi" w:hAnsiTheme="minorHAnsi" w:cstheme="minorHAnsi"/>
          <w:color w:val="000000"/>
          <w:sz w:val="22"/>
          <w:szCs w:val="22"/>
          <w:lang w:val="en-US"/>
        </w:rPr>
      </w:pPr>
    </w:p>
    <w:p w14:paraId="7DF251B7" w14:textId="77777777" w:rsidR="00210815" w:rsidRPr="00210815" w:rsidRDefault="009D0E87" w:rsidP="00210815">
      <w:pPr>
        <w:pStyle w:val="NormalWeb"/>
        <w:ind w:left="1440" w:hanging="360"/>
        <w:jc w:val="both"/>
        <w:rPr>
          <w:rFonts w:asciiTheme="minorHAnsi" w:hAnsiTheme="minorHAnsi" w:cstheme="minorHAnsi"/>
          <w:sz w:val="22"/>
          <w:szCs w:val="22"/>
          <w:lang w:val="en-US"/>
        </w:rPr>
      </w:pPr>
      <w:r>
        <w:rPr>
          <w:rFonts w:asciiTheme="minorHAnsi" w:hAnsiTheme="minorHAnsi" w:cstheme="minorHAnsi"/>
          <w:color w:val="000000"/>
          <w:sz w:val="22"/>
          <w:szCs w:val="22"/>
          <w:lang w:val="en-US"/>
        </w:rPr>
        <w:t>f.</w:t>
      </w:r>
      <w:r>
        <w:rPr>
          <w:rFonts w:asciiTheme="minorHAnsi" w:hAnsiTheme="minorHAnsi" w:cstheme="minorHAnsi"/>
          <w:color w:val="000000"/>
          <w:sz w:val="22"/>
          <w:szCs w:val="22"/>
          <w:lang w:val="en-US"/>
        </w:rPr>
        <w:tab/>
        <w:t>The same timeline as above would apply to the collection of data for calendar year 2023, subject to validation of methodology by the Assembly</w:t>
      </w:r>
      <w:r w:rsidR="00210815" w:rsidRPr="00210815">
        <w:rPr>
          <w:rFonts w:asciiTheme="minorHAnsi" w:hAnsiTheme="minorHAnsi" w:cstheme="minorHAnsi"/>
          <w:color w:val="000000"/>
          <w:sz w:val="22"/>
          <w:szCs w:val="22"/>
          <w:lang w:val="en-US"/>
        </w:rPr>
        <w:t>    </w:t>
      </w:r>
    </w:p>
    <w:p w14:paraId="5435CB39" w14:textId="77777777" w:rsidR="00210815" w:rsidRPr="00210815" w:rsidRDefault="00210815" w:rsidP="009D0E87">
      <w:pPr>
        <w:pStyle w:val="NormalWeb"/>
        <w:ind w:left="720" w:hanging="360"/>
        <w:jc w:val="both"/>
        <w:rPr>
          <w:rFonts w:asciiTheme="minorHAnsi" w:hAnsiTheme="minorHAnsi" w:cstheme="minorHAnsi"/>
          <w:sz w:val="22"/>
          <w:szCs w:val="22"/>
          <w:lang w:val="en-US"/>
        </w:rPr>
      </w:pPr>
    </w:p>
    <w:p w14:paraId="2EC2195B" w14:textId="77777777" w:rsidR="00210815" w:rsidRPr="00210815" w:rsidRDefault="00210815" w:rsidP="00210815">
      <w:pPr>
        <w:pStyle w:val="NormalWeb"/>
        <w:spacing w:after="160"/>
        <w:jc w:val="both"/>
        <w:rPr>
          <w:rFonts w:asciiTheme="minorHAnsi" w:hAnsiTheme="minorHAnsi" w:cstheme="minorHAnsi"/>
          <w:sz w:val="22"/>
          <w:szCs w:val="22"/>
          <w:lang w:val="en-US"/>
        </w:rPr>
      </w:pPr>
      <w:r w:rsidRPr="00210815">
        <w:rPr>
          <w:rFonts w:asciiTheme="minorHAnsi" w:hAnsiTheme="minorHAnsi" w:cstheme="minorHAnsi"/>
          <w:b/>
          <w:bCs/>
          <w:color w:val="000000"/>
          <w:sz w:val="22"/>
          <w:szCs w:val="22"/>
          <w:lang w:val="en-US"/>
        </w:rPr>
        <w:t>For Reference - Relevant IOC Principles</w:t>
      </w:r>
    </w:p>
    <w:p w14:paraId="6753951E" w14:textId="77777777" w:rsidR="00210815" w:rsidRPr="00210815" w:rsidRDefault="00210815" w:rsidP="00210815">
      <w:pPr>
        <w:pStyle w:val="NormalWeb"/>
        <w:spacing w:after="160"/>
        <w:jc w:val="both"/>
        <w:rPr>
          <w:rFonts w:asciiTheme="minorHAnsi" w:hAnsiTheme="minorHAnsi" w:cstheme="minorHAnsi"/>
          <w:sz w:val="22"/>
          <w:szCs w:val="22"/>
          <w:lang w:val="en-US"/>
        </w:rPr>
      </w:pPr>
      <w:r w:rsidRPr="00210815">
        <w:rPr>
          <w:rFonts w:asciiTheme="minorHAnsi" w:hAnsiTheme="minorHAnsi" w:cstheme="minorHAnsi"/>
          <w:color w:val="000000"/>
          <w:sz w:val="22"/>
          <w:szCs w:val="22"/>
          <w:lang w:val="en-US"/>
        </w:rPr>
        <w:t>The Guiding Principles provide guidance on how IOC and its Member States can enhance their mobilization of funds and resources to help IOC fulfill its mandate, and enhance Member States participation in and benefits from the IOC.  Principles 1,2,4, 9-11 (see below).</w:t>
      </w:r>
    </w:p>
    <w:p w14:paraId="0C8C90AB" w14:textId="77777777" w:rsidR="00210815" w:rsidRDefault="00210815" w:rsidP="00210815">
      <w:pPr>
        <w:pStyle w:val="xxxmsonormal"/>
        <w:jc w:val="both"/>
        <w:rPr>
          <w:rFonts w:asciiTheme="minorHAnsi" w:hAnsiTheme="minorHAnsi" w:cstheme="minorHAnsi"/>
          <w:sz w:val="22"/>
          <w:szCs w:val="22"/>
          <w:lang w:val="en-US"/>
        </w:rPr>
      </w:pPr>
      <w:r w:rsidRPr="00210815">
        <w:rPr>
          <w:rFonts w:asciiTheme="minorHAnsi" w:hAnsiTheme="minorHAnsi" w:cstheme="minorHAnsi"/>
          <w:sz w:val="22"/>
          <w:szCs w:val="22"/>
          <w:lang w:val="en-US"/>
        </w:rPr>
        <w:t> </w:t>
      </w:r>
    </w:p>
    <w:p w14:paraId="0796B1C3" w14:textId="77777777" w:rsidR="00210815" w:rsidRDefault="00210815" w:rsidP="00210815">
      <w:pPr>
        <w:spacing w:after="160" w:line="259" w:lineRule="auto"/>
        <w:jc w:val="both"/>
        <w:rPr>
          <w:rFonts w:asciiTheme="minorHAnsi" w:hAnsiTheme="minorHAnsi" w:cstheme="minorHAnsi"/>
          <w:sz w:val="22"/>
          <w:szCs w:val="22"/>
          <w:lang w:val="en-US"/>
        </w:rPr>
      </w:pPr>
      <w:r>
        <w:rPr>
          <w:rFonts w:asciiTheme="minorHAnsi" w:hAnsiTheme="minorHAnsi" w:cstheme="minorHAnsi"/>
          <w:sz w:val="22"/>
          <w:szCs w:val="22"/>
          <w:lang w:val="en-US"/>
        </w:rPr>
        <w:br w:type="page"/>
      </w:r>
    </w:p>
    <w:p w14:paraId="3B2E3DD0" w14:textId="77777777" w:rsidR="00210815" w:rsidRPr="00210815" w:rsidRDefault="00210815" w:rsidP="00210815">
      <w:pPr>
        <w:pStyle w:val="NormalWeb"/>
        <w:spacing w:after="160"/>
        <w:jc w:val="center"/>
        <w:rPr>
          <w:rFonts w:asciiTheme="minorHAnsi" w:hAnsiTheme="minorHAnsi" w:cstheme="minorHAnsi"/>
          <w:sz w:val="22"/>
          <w:szCs w:val="22"/>
          <w:lang w:val="en-US"/>
        </w:rPr>
      </w:pPr>
      <w:r w:rsidRPr="00210815">
        <w:rPr>
          <w:rFonts w:asciiTheme="minorHAnsi" w:hAnsiTheme="minorHAnsi" w:cstheme="minorHAnsi"/>
          <w:b/>
          <w:bCs/>
          <w:color w:val="000000"/>
          <w:sz w:val="22"/>
          <w:szCs w:val="22"/>
          <w:lang w:val="en-US"/>
        </w:rPr>
        <w:lastRenderedPageBreak/>
        <w:t xml:space="preserve">Annex I:  Relevant IOC EC and Assembly Decisions </w:t>
      </w:r>
      <w:r w:rsidRPr="00210815">
        <w:rPr>
          <w:rFonts w:asciiTheme="minorHAnsi" w:hAnsiTheme="minorHAnsi" w:cstheme="minorHAnsi"/>
          <w:color w:val="000000"/>
          <w:sz w:val="22"/>
          <w:szCs w:val="22"/>
          <w:lang w:val="en-US"/>
        </w:rPr>
        <w:t>(excerpt)</w:t>
      </w:r>
    </w:p>
    <w:tbl>
      <w:tblPr>
        <w:tblW w:w="0" w:type="auto"/>
        <w:tblCellMar>
          <w:left w:w="0" w:type="dxa"/>
          <w:right w:w="0" w:type="dxa"/>
        </w:tblCellMar>
        <w:tblLook w:val="04A0" w:firstRow="1" w:lastRow="0" w:firstColumn="1" w:lastColumn="0" w:noHBand="0" w:noVBand="1"/>
      </w:tblPr>
      <w:tblGrid>
        <w:gridCol w:w="5713"/>
        <w:gridCol w:w="3339"/>
      </w:tblGrid>
      <w:tr w:rsidR="00210815" w:rsidRPr="00210815" w14:paraId="6A816E6C" w14:textId="77777777" w:rsidTr="00210815">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8062256" w14:textId="77777777" w:rsidR="00210815" w:rsidRPr="00210815" w:rsidRDefault="00210815">
            <w:pPr>
              <w:pStyle w:val="NormalWeb"/>
              <w:rPr>
                <w:rFonts w:asciiTheme="minorHAnsi" w:hAnsiTheme="minorHAnsi" w:cstheme="minorHAnsi"/>
                <w:sz w:val="22"/>
                <w:szCs w:val="22"/>
              </w:rPr>
            </w:pPr>
            <w:r w:rsidRPr="00210815">
              <w:rPr>
                <w:rFonts w:asciiTheme="minorHAnsi" w:hAnsiTheme="minorHAnsi" w:cstheme="minorHAnsi"/>
                <w:b/>
                <w:bCs/>
                <w:color w:val="000000"/>
                <w:sz w:val="22"/>
                <w:szCs w:val="22"/>
              </w:rPr>
              <w:t>Assembly 2021  IOC-31/DR.4.4</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E602BEA" w14:textId="77777777" w:rsidR="00210815" w:rsidRPr="00210815" w:rsidRDefault="00210815">
            <w:pPr>
              <w:pStyle w:val="NormalWeb"/>
              <w:rPr>
                <w:rFonts w:asciiTheme="minorHAnsi" w:hAnsiTheme="minorHAnsi" w:cstheme="minorHAnsi"/>
                <w:sz w:val="22"/>
                <w:szCs w:val="22"/>
              </w:rPr>
            </w:pPr>
            <w:r w:rsidRPr="00210815">
              <w:rPr>
                <w:rFonts w:asciiTheme="minorHAnsi" w:hAnsiTheme="minorHAnsi" w:cstheme="minorHAnsi"/>
                <w:b/>
                <w:bCs/>
                <w:color w:val="000000"/>
                <w:sz w:val="22"/>
                <w:szCs w:val="22"/>
              </w:rPr>
              <w:t>EC 2021  RC-53/2</w:t>
            </w:r>
          </w:p>
        </w:tc>
      </w:tr>
      <w:tr w:rsidR="00210815" w:rsidRPr="00210815" w14:paraId="3126CAA1" w14:textId="77777777" w:rsidTr="00210815">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2760AD7" w14:textId="77777777" w:rsidR="00210815" w:rsidRPr="00210815" w:rsidRDefault="00210815">
            <w:pPr>
              <w:pStyle w:val="NormalWeb"/>
              <w:rPr>
                <w:rFonts w:asciiTheme="minorHAnsi" w:hAnsiTheme="minorHAnsi" w:cstheme="minorHAnsi"/>
                <w:sz w:val="22"/>
                <w:szCs w:val="22"/>
                <w:lang w:val="en-US"/>
              </w:rPr>
            </w:pPr>
            <w:r w:rsidRPr="00210815">
              <w:rPr>
                <w:rFonts w:asciiTheme="minorHAnsi" w:hAnsiTheme="minorHAnsi" w:cstheme="minorHAnsi"/>
                <w:b/>
                <w:bCs/>
                <w:color w:val="000000"/>
                <w:sz w:val="22"/>
                <w:szCs w:val="22"/>
                <w:lang w:val="en-US"/>
              </w:rPr>
              <w:t>Highlights</w:t>
            </w:r>
            <w:r w:rsidRPr="00210815">
              <w:rPr>
                <w:rFonts w:asciiTheme="minorHAnsi" w:hAnsiTheme="minorHAnsi" w:cstheme="minorHAnsi"/>
                <w:color w:val="000000"/>
                <w:sz w:val="22"/>
                <w:szCs w:val="22"/>
                <w:lang w:val="en-US"/>
              </w:rPr>
              <w:t xml:space="preserve"> the importance of ensuring that the IOC has the strategy and the necessary resources, both in terms of regular </w:t>
            </w:r>
            <w:proofErr w:type="spellStart"/>
            <w:r w:rsidRPr="00210815">
              <w:rPr>
                <w:rFonts w:asciiTheme="minorHAnsi" w:hAnsiTheme="minorHAnsi" w:cstheme="minorHAnsi"/>
                <w:color w:val="000000"/>
                <w:sz w:val="22"/>
                <w:szCs w:val="22"/>
                <w:lang w:val="en-US"/>
              </w:rPr>
              <w:t>programme</w:t>
            </w:r>
            <w:proofErr w:type="spellEnd"/>
            <w:r w:rsidRPr="00210815">
              <w:rPr>
                <w:rFonts w:asciiTheme="minorHAnsi" w:hAnsiTheme="minorHAnsi" w:cstheme="minorHAnsi"/>
                <w:color w:val="000000"/>
                <w:sz w:val="22"/>
                <w:szCs w:val="22"/>
                <w:lang w:val="en-US"/>
              </w:rPr>
              <w:t xml:space="preserve"> budget and voluntary contributions, to fulfill its role in the implementation of the UN Decade of Ocean Science for Sustainable Development (2021–2030), hereafter the Decade;</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058A9946" w14:textId="77777777" w:rsidR="00210815" w:rsidRPr="00210815" w:rsidRDefault="00210815">
            <w:pPr>
              <w:pStyle w:val="NormalWeb"/>
              <w:rPr>
                <w:rFonts w:asciiTheme="minorHAnsi" w:hAnsiTheme="minorHAnsi" w:cstheme="minorHAnsi"/>
                <w:sz w:val="22"/>
                <w:szCs w:val="22"/>
              </w:rPr>
            </w:pPr>
            <w:proofErr w:type="spellStart"/>
            <w:r w:rsidRPr="00210815">
              <w:rPr>
                <w:rFonts w:asciiTheme="minorHAnsi" w:hAnsiTheme="minorHAnsi" w:cstheme="minorHAnsi"/>
                <w:color w:val="000000"/>
                <w:sz w:val="22"/>
                <w:szCs w:val="22"/>
              </w:rPr>
              <w:t>Identical</w:t>
            </w:r>
            <w:proofErr w:type="spellEnd"/>
          </w:p>
        </w:tc>
      </w:tr>
      <w:tr w:rsidR="00210815" w:rsidRPr="00210815" w14:paraId="1F133AE1" w14:textId="77777777" w:rsidTr="00210815">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83855CD" w14:textId="77777777" w:rsidR="00210815" w:rsidRPr="00210815" w:rsidRDefault="00210815">
            <w:pPr>
              <w:pStyle w:val="NormalWeb"/>
              <w:rPr>
                <w:rFonts w:asciiTheme="minorHAnsi" w:hAnsiTheme="minorHAnsi" w:cstheme="minorHAnsi"/>
                <w:sz w:val="22"/>
                <w:szCs w:val="22"/>
                <w:lang w:val="en-US"/>
              </w:rPr>
            </w:pPr>
            <w:r w:rsidRPr="00210815">
              <w:rPr>
                <w:rFonts w:asciiTheme="minorHAnsi" w:hAnsiTheme="minorHAnsi" w:cstheme="minorHAnsi"/>
                <w:color w:val="000000"/>
                <w:sz w:val="22"/>
                <w:szCs w:val="22"/>
                <w:lang w:val="en-US"/>
              </w:rPr>
              <w:t>Invites Member States to: </w:t>
            </w:r>
          </w:p>
          <w:p w14:paraId="64406376" w14:textId="77777777" w:rsidR="00210815" w:rsidRPr="00210815" w:rsidRDefault="00210815">
            <w:pPr>
              <w:pStyle w:val="NormalWeb"/>
              <w:rPr>
                <w:rFonts w:asciiTheme="minorHAnsi" w:hAnsiTheme="minorHAnsi" w:cstheme="minorHAnsi"/>
                <w:sz w:val="22"/>
                <w:szCs w:val="22"/>
                <w:lang w:val="en-US"/>
              </w:rPr>
            </w:pPr>
            <w:r w:rsidRPr="00210815">
              <w:rPr>
                <w:rFonts w:asciiTheme="minorHAnsi" w:hAnsiTheme="minorHAnsi" w:cstheme="minorHAnsi"/>
                <w:color w:val="000000"/>
                <w:sz w:val="22"/>
                <w:szCs w:val="22"/>
                <w:lang w:val="en-US"/>
              </w:rPr>
              <w:t xml:space="preserve">(iii) increase their voluntary contributions to support the IOC in the face of its increasing responsibilities, preferably to the IOC Special Account, as well as, </w:t>
            </w:r>
            <w:r w:rsidRPr="00210815">
              <w:rPr>
                <w:rFonts w:asciiTheme="minorHAnsi" w:hAnsiTheme="minorHAnsi" w:cstheme="minorHAnsi"/>
                <w:i/>
                <w:iCs/>
                <w:color w:val="000000"/>
                <w:sz w:val="22"/>
                <w:szCs w:val="22"/>
                <w:lang w:val="en-US"/>
              </w:rPr>
              <w:t>inter alia</w:t>
            </w:r>
            <w:r w:rsidRPr="00210815">
              <w:rPr>
                <w:rFonts w:asciiTheme="minorHAnsi" w:hAnsiTheme="minorHAnsi" w:cstheme="minorHAnsi"/>
                <w:color w:val="000000"/>
                <w:sz w:val="22"/>
                <w:szCs w:val="22"/>
                <w:lang w:val="en-US"/>
              </w:rPr>
              <w:t>, by providing in-kind support such as staff loans (either in-person or via telework arrangements) to the IOC Secretariat;</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1534A10D" w14:textId="77777777" w:rsidR="00210815" w:rsidRPr="00210815" w:rsidRDefault="00210815">
            <w:pPr>
              <w:pStyle w:val="NormalWeb"/>
              <w:rPr>
                <w:rFonts w:asciiTheme="minorHAnsi" w:hAnsiTheme="minorHAnsi" w:cstheme="minorHAnsi"/>
                <w:sz w:val="22"/>
                <w:szCs w:val="22"/>
              </w:rPr>
            </w:pPr>
            <w:proofErr w:type="spellStart"/>
            <w:r w:rsidRPr="00210815">
              <w:rPr>
                <w:rFonts w:asciiTheme="minorHAnsi" w:hAnsiTheme="minorHAnsi" w:cstheme="minorHAnsi"/>
                <w:color w:val="000000"/>
                <w:sz w:val="22"/>
                <w:szCs w:val="22"/>
              </w:rPr>
              <w:t>Identical</w:t>
            </w:r>
            <w:proofErr w:type="spellEnd"/>
          </w:p>
        </w:tc>
      </w:tr>
      <w:tr w:rsidR="00210815" w:rsidRPr="00B0494C" w14:paraId="3A38415E" w14:textId="77777777" w:rsidTr="00210815">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FC68455" w14:textId="77777777" w:rsidR="00210815" w:rsidRPr="00210815" w:rsidRDefault="00210815">
            <w:pPr>
              <w:pStyle w:val="NormalWeb"/>
              <w:rPr>
                <w:rFonts w:asciiTheme="minorHAnsi" w:hAnsiTheme="minorHAnsi" w:cstheme="minorHAnsi"/>
                <w:sz w:val="22"/>
                <w:szCs w:val="22"/>
                <w:lang w:val="en-US"/>
              </w:rPr>
            </w:pPr>
            <w:r w:rsidRPr="00210815">
              <w:rPr>
                <w:rFonts w:asciiTheme="minorHAnsi" w:hAnsiTheme="minorHAnsi" w:cstheme="minorHAnsi"/>
                <w:color w:val="000000"/>
                <w:sz w:val="22"/>
                <w:szCs w:val="22"/>
                <w:lang w:val="en-US"/>
              </w:rPr>
              <w:t>24  Invites </w:t>
            </w:r>
          </w:p>
          <w:p w14:paraId="3DCF8C5E" w14:textId="77777777" w:rsidR="00210815" w:rsidRPr="00210815" w:rsidRDefault="00210815">
            <w:pPr>
              <w:pStyle w:val="NormalWeb"/>
              <w:rPr>
                <w:rFonts w:asciiTheme="minorHAnsi" w:hAnsiTheme="minorHAnsi" w:cstheme="minorHAnsi"/>
                <w:sz w:val="22"/>
                <w:szCs w:val="22"/>
                <w:lang w:val="en-US"/>
              </w:rPr>
            </w:pPr>
            <w:r w:rsidRPr="00210815">
              <w:rPr>
                <w:rFonts w:asciiTheme="minorHAnsi" w:hAnsiTheme="minorHAnsi" w:cstheme="minorHAnsi"/>
                <w:color w:val="000000"/>
                <w:sz w:val="22"/>
                <w:szCs w:val="22"/>
                <w:lang w:val="en-US"/>
              </w:rPr>
              <w:t>IFAG to develop a proposal for a systematic approach and methodology for reporting in-kind contributions, consistent with the updated Guiding Principles for Programming and Budgeting (Annex I to Resolution EC-53/2) and Article 10 of the IOC Statutes, to be considered by the IOC Assembly at its 32</w:t>
            </w:r>
            <w:r w:rsidRPr="00210815">
              <w:rPr>
                <w:rFonts w:asciiTheme="minorHAnsi" w:hAnsiTheme="minorHAnsi" w:cstheme="minorHAnsi"/>
                <w:color w:val="000000"/>
                <w:sz w:val="22"/>
                <w:szCs w:val="22"/>
                <w:vertAlign w:val="superscript"/>
                <w:lang w:val="en-US"/>
              </w:rPr>
              <w:t>nd</w:t>
            </w:r>
            <w:r w:rsidRPr="00210815">
              <w:rPr>
                <w:rFonts w:asciiTheme="minorHAnsi" w:hAnsiTheme="minorHAnsi" w:cstheme="minorHAnsi"/>
                <w:color w:val="000000"/>
                <w:sz w:val="22"/>
                <w:szCs w:val="22"/>
                <w:lang w:val="en-US"/>
              </w:rPr>
              <w:t> session.</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5E48C3AB" w14:textId="77777777" w:rsidR="00210815" w:rsidRPr="00210815" w:rsidRDefault="00210815">
            <w:pPr>
              <w:pStyle w:val="NormalWeb"/>
              <w:rPr>
                <w:rFonts w:asciiTheme="minorHAnsi" w:hAnsiTheme="minorHAnsi" w:cstheme="minorHAnsi"/>
                <w:sz w:val="22"/>
                <w:szCs w:val="22"/>
                <w:lang w:val="en-US"/>
              </w:rPr>
            </w:pPr>
            <w:r w:rsidRPr="00210815">
              <w:rPr>
                <w:rFonts w:asciiTheme="minorHAnsi" w:hAnsiTheme="minorHAnsi" w:cstheme="minorHAnsi"/>
                <w:color w:val="000000"/>
                <w:sz w:val="22"/>
                <w:szCs w:val="22"/>
                <w:lang w:val="en-US"/>
              </w:rPr>
              <w:t>Note:   The EC adopted the Guiding Principles for Programming and Budgeting.</w:t>
            </w:r>
          </w:p>
          <w:p w14:paraId="288768F0" w14:textId="77777777" w:rsidR="00210815" w:rsidRPr="00210815" w:rsidRDefault="00210815">
            <w:pPr>
              <w:pStyle w:val="NormalWeb"/>
              <w:rPr>
                <w:rFonts w:asciiTheme="minorHAnsi" w:hAnsiTheme="minorHAnsi" w:cstheme="minorHAnsi"/>
                <w:sz w:val="22"/>
                <w:szCs w:val="22"/>
                <w:lang w:val="en-US"/>
              </w:rPr>
            </w:pPr>
            <w:r w:rsidRPr="00210815">
              <w:rPr>
                <w:rFonts w:asciiTheme="minorHAnsi" w:hAnsiTheme="minorHAnsi" w:cstheme="minorHAnsi"/>
                <w:color w:val="000000"/>
                <w:sz w:val="22"/>
                <w:szCs w:val="22"/>
                <w:lang w:val="en-US"/>
              </w:rPr>
              <w:t xml:space="preserve">Para 9 calls for strong IOC partnerships in which partners take a greater share in supporting </w:t>
            </w:r>
            <w:proofErr w:type="spellStart"/>
            <w:r w:rsidRPr="00210815">
              <w:rPr>
                <w:rFonts w:asciiTheme="minorHAnsi" w:hAnsiTheme="minorHAnsi" w:cstheme="minorHAnsi"/>
                <w:color w:val="000000"/>
                <w:sz w:val="22"/>
                <w:szCs w:val="22"/>
                <w:lang w:val="en-US"/>
              </w:rPr>
              <w:t>programmes</w:t>
            </w:r>
            <w:proofErr w:type="spellEnd"/>
            <w:r w:rsidRPr="00210815">
              <w:rPr>
                <w:rFonts w:asciiTheme="minorHAnsi" w:hAnsiTheme="minorHAnsi" w:cstheme="minorHAnsi"/>
                <w:color w:val="000000"/>
                <w:sz w:val="22"/>
                <w:szCs w:val="22"/>
                <w:lang w:val="en-US"/>
              </w:rPr>
              <w:t xml:space="preserve"> (with conditions)</w:t>
            </w:r>
          </w:p>
          <w:p w14:paraId="6DD195A7" w14:textId="77777777" w:rsidR="00210815" w:rsidRPr="00210815" w:rsidRDefault="00210815">
            <w:pPr>
              <w:pStyle w:val="NormalWeb"/>
              <w:rPr>
                <w:rFonts w:asciiTheme="minorHAnsi" w:hAnsiTheme="minorHAnsi" w:cstheme="minorHAnsi"/>
                <w:sz w:val="22"/>
                <w:szCs w:val="22"/>
                <w:lang w:val="en-US"/>
              </w:rPr>
            </w:pPr>
            <w:r w:rsidRPr="00210815">
              <w:rPr>
                <w:rFonts w:asciiTheme="minorHAnsi" w:hAnsiTheme="minorHAnsi" w:cstheme="minorHAnsi"/>
                <w:color w:val="000000"/>
                <w:sz w:val="22"/>
                <w:szCs w:val="22"/>
                <w:lang w:val="en-US"/>
              </w:rPr>
              <w:t xml:space="preserve">Para 10 seeks to identify States willing to establish funded and staffed offices to take a larger share of an IOC </w:t>
            </w:r>
            <w:proofErr w:type="spellStart"/>
            <w:r w:rsidRPr="00210815">
              <w:rPr>
                <w:rFonts w:asciiTheme="minorHAnsi" w:hAnsiTheme="minorHAnsi" w:cstheme="minorHAnsi"/>
                <w:color w:val="000000"/>
                <w:sz w:val="22"/>
                <w:szCs w:val="22"/>
                <w:lang w:val="en-US"/>
              </w:rPr>
              <w:t>programme</w:t>
            </w:r>
            <w:proofErr w:type="spellEnd"/>
            <w:r w:rsidRPr="00210815">
              <w:rPr>
                <w:rFonts w:asciiTheme="minorHAnsi" w:hAnsiTheme="minorHAnsi" w:cstheme="minorHAnsi"/>
                <w:color w:val="000000"/>
                <w:sz w:val="22"/>
                <w:szCs w:val="22"/>
                <w:lang w:val="en-US"/>
              </w:rPr>
              <w:t xml:space="preserve"> (with conditions)</w:t>
            </w:r>
          </w:p>
          <w:p w14:paraId="1C671909" w14:textId="77777777" w:rsidR="00210815" w:rsidRPr="00210815" w:rsidRDefault="00210815">
            <w:pPr>
              <w:pStyle w:val="NormalWeb"/>
              <w:rPr>
                <w:rFonts w:asciiTheme="minorHAnsi" w:hAnsiTheme="minorHAnsi" w:cstheme="minorHAnsi"/>
                <w:sz w:val="22"/>
                <w:szCs w:val="22"/>
                <w:lang w:val="en-US"/>
              </w:rPr>
            </w:pPr>
            <w:r w:rsidRPr="00210815">
              <w:rPr>
                <w:rFonts w:asciiTheme="minorHAnsi" w:hAnsiTheme="minorHAnsi" w:cstheme="minorHAnsi"/>
                <w:color w:val="000000"/>
                <w:sz w:val="22"/>
                <w:szCs w:val="22"/>
                <w:lang w:val="en-US"/>
              </w:rPr>
              <w:t>Para 11 encourages use of extrabudgetary and in-kind contributions as part of balanced implementation of all IOC functions</w:t>
            </w:r>
          </w:p>
        </w:tc>
      </w:tr>
    </w:tbl>
    <w:p w14:paraId="1B30777C" w14:textId="77777777" w:rsidR="00210815" w:rsidRPr="00210815" w:rsidRDefault="00210815" w:rsidP="00210815">
      <w:pPr>
        <w:pStyle w:val="xxxmsonormal"/>
        <w:rPr>
          <w:rFonts w:asciiTheme="minorHAnsi" w:hAnsiTheme="minorHAnsi" w:cstheme="minorHAnsi"/>
          <w:sz w:val="22"/>
          <w:szCs w:val="22"/>
          <w:lang w:val="en-US"/>
        </w:rPr>
      </w:pPr>
      <w:r w:rsidRPr="00210815">
        <w:rPr>
          <w:rFonts w:asciiTheme="minorHAnsi" w:hAnsiTheme="minorHAnsi" w:cstheme="minorHAnsi"/>
          <w:sz w:val="22"/>
          <w:szCs w:val="22"/>
          <w:lang w:val="en-US"/>
        </w:rPr>
        <w:t> </w:t>
      </w:r>
    </w:p>
    <w:p w14:paraId="2D649CB3" w14:textId="77777777" w:rsidR="00210815" w:rsidRDefault="00210815">
      <w:pPr>
        <w:spacing w:after="160" w:line="259" w:lineRule="auto"/>
        <w:rPr>
          <w:rFonts w:asciiTheme="minorHAnsi" w:hAnsiTheme="minorHAnsi" w:cstheme="minorHAnsi"/>
          <w:b/>
          <w:bCs/>
          <w:color w:val="000000"/>
          <w:sz w:val="22"/>
          <w:szCs w:val="22"/>
          <w:lang w:val="en-US"/>
        </w:rPr>
      </w:pPr>
      <w:r>
        <w:rPr>
          <w:rFonts w:asciiTheme="minorHAnsi" w:hAnsiTheme="minorHAnsi" w:cstheme="minorHAnsi"/>
          <w:b/>
          <w:bCs/>
          <w:color w:val="000000"/>
          <w:sz w:val="22"/>
          <w:szCs w:val="22"/>
          <w:lang w:val="en-US"/>
        </w:rPr>
        <w:br w:type="page"/>
      </w:r>
    </w:p>
    <w:p w14:paraId="07DC51E7" w14:textId="77777777" w:rsidR="00210815" w:rsidRPr="00210815" w:rsidRDefault="00210815" w:rsidP="00210815">
      <w:pPr>
        <w:pStyle w:val="NormalWeb"/>
        <w:spacing w:after="160"/>
        <w:jc w:val="center"/>
        <w:rPr>
          <w:rFonts w:asciiTheme="minorHAnsi" w:hAnsiTheme="minorHAnsi" w:cstheme="minorHAnsi"/>
          <w:sz w:val="22"/>
          <w:szCs w:val="22"/>
          <w:lang w:val="en-US"/>
        </w:rPr>
      </w:pPr>
      <w:r w:rsidRPr="00210815">
        <w:rPr>
          <w:rFonts w:asciiTheme="minorHAnsi" w:hAnsiTheme="minorHAnsi" w:cstheme="minorHAnsi"/>
          <w:b/>
          <w:bCs/>
          <w:color w:val="000000"/>
          <w:sz w:val="22"/>
          <w:szCs w:val="22"/>
          <w:lang w:val="en-US"/>
        </w:rPr>
        <w:lastRenderedPageBreak/>
        <w:t>ANNEX II:  Guiding Principles</w:t>
      </w:r>
    </w:p>
    <w:p w14:paraId="2A3EBA59" w14:textId="77777777" w:rsidR="00210815" w:rsidRPr="00210815" w:rsidRDefault="00210815" w:rsidP="00210815">
      <w:pPr>
        <w:pStyle w:val="NormalWeb"/>
        <w:spacing w:after="240"/>
        <w:jc w:val="center"/>
        <w:rPr>
          <w:rFonts w:asciiTheme="minorHAnsi" w:hAnsiTheme="minorHAnsi" w:cstheme="minorHAnsi"/>
          <w:sz w:val="22"/>
          <w:szCs w:val="22"/>
          <w:lang w:val="en-US"/>
        </w:rPr>
      </w:pPr>
      <w:r w:rsidRPr="00210815">
        <w:rPr>
          <w:rFonts w:asciiTheme="minorHAnsi" w:hAnsiTheme="minorHAnsi" w:cstheme="minorHAnsi"/>
          <w:b/>
          <w:bCs/>
          <w:color w:val="000000"/>
          <w:sz w:val="22"/>
          <w:szCs w:val="22"/>
          <w:u w:val="single"/>
          <w:lang w:val="en-US"/>
        </w:rPr>
        <w:t>Annex I to Resolution EC-53/2</w:t>
      </w:r>
    </w:p>
    <w:p w14:paraId="437FC159" w14:textId="77777777" w:rsidR="00210815" w:rsidRPr="00210815" w:rsidRDefault="00210815" w:rsidP="00210815">
      <w:pPr>
        <w:pStyle w:val="NormalWeb"/>
        <w:spacing w:after="240"/>
        <w:jc w:val="center"/>
        <w:rPr>
          <w:rFonts w:asciiTheme="minorHAnsi" w:hAnsiTheme="minorHAnsi" w:cstheme="minorHAnsi"/>
          <w:sz w:val="22"/>
          <w:szCs w:val="22"/>
          <w:lang w:val="en-US"/>
        </w:rPr>
      </w:pPr>
      <w:r w:rsidRPr="00210815">
        <w:rPr>
          <w:rFonts w:asciiTheme="minorHAnsi" w:hAnsiTheme="minorHAnsi" w:cstheme="minorHAnsi"/>
          <w:b/>
          <w:bCs/>
          <w:color w:val="000000"/>
          <w:sz w:val="22"/>
          <w:szCs w:val="22"/>
          <w:lang w:val="en-US"/>
        </w:rPr>
        <w:t>GUIDING PRINCIPLES FOR PROGRAMMING AND BUDGETING</w:t>
      </w:r>
    </w:p>
    <w:p w14:paraId="17294515" w14:textId="77777777" w:rsidR="00210815" w:rsidRPr="00210815" w:rsidRDefault="00210815" w:rsidP="00210815">
      <w:pPr>
        <w:pStyle w:val="NormalWeb"/>
        <w:spacing w:after="240"/>
        <w:ind w:left="720" w:hanging="360"/>
        <w:jc w:val="both"/>
        <w:rPr>
          <w:rFonts w:asciiTheme="minorHAnsi" w:hAnsiTheme="minorHAnsi" w:cstheme="minorHAnsi"/>
          <w:sz w:val="22"/>
          <w:szCs w:val="22"/>
          <w:lang w:val="en-US"/>
        </w:rPr>
      </w:pPr>
      <w:r w:rsidRPr="00210815">
        <w:rPr>
          <w:rFonts w:asciiTheme="minorHAnsi" w:hAnsiTheme="minorHAnsi" w:cstheme="minorHAnsi"/>
          <w:color w:val="4472C4"/>
          <w:sz w:val="22"/>
          <w:szCs w:val="22"/>
          <w:lang w:val="en-US"/>
        </w:rPr>
        <w:t xml:space="preserve">1.     </w:t>
      </w:r>
      <w:r w:rsidRPr="00210815">
        <w:rPr>
          <w:rFonts w:asciiTheme="minorHAnsi" w:hAnsiTheme="minorHAnsi" w:cstheme="minorHAnsi"/>
          <w:color w:val="000000"/>
          <w:sz w:val="22"/>
          <w:szCs w:val="22"/>
          <w:lang w:val="en-US"/>
        </w:rPr>
        <w:t xml:space="preserve">Provide focused leadership on those themes where IOC has clear leadership/ ownership in the </w:t>
      </w:r>
      <w:proofErr w:type="spellStart"/>
      <w:r w:rsidRPr="00210815">
        <w:rPr>
          <w:rFonts w:asciiTheme="minorHAnsi" w:hAnsiTheme="minorHAnsi" w:cstheme="minorHAnsi"/>
          <w:color w:val="000000"/>
          <w:sz w:val="22"/>
          <w:szCs w:val="22"/>
          <w:lang w:val="en-US"/>
        </w:rPr>
        <w:t>programme</w:t>
      </w:r>
      <w:proofErr w:type="spellEnd"/>
      <w:r w:rsidRPr="00210815">
        <w:rPr>
          <w:rFonts w:asciiTheme="minorHAnsi" w:hAnsiTheme="minorHAnsi" w:cstheme="minorHAnsi"/>
          <w:color w:val="000000"/>
          <w:sz w:val="22"/>
          <w:szCs w:val="22"/>
          <w:lang w:val="en-US"/>
        </w:rPr>
        <w:t xml:space="preserve"> theme; </w:t>
      </w:r>
    </w:p>
    <w:p w14:paraId="254BF0A0" w14:textId="77777777" w:rsidR="00210815" w:rsidRPr="00210815" w:rsidRDefault="00210815" w:rsidP="00210815">
      <w:pPr>
        <w:pStyle w:val="NormalWeb"/>
        <w:spacing w:after="240"/>
        <w:ind w:left="720" w:hanging="360"/>
        <w:jc w:val="both"/>
        <w:rPr>
          <w:rFonts w:asciiTheme="minorHAnsi" w:hAnsiTheme="minorHAnsi" w:cstheme="minorHAnsi"/>
          <w:sz w:val="22"/>
          <w:szCs w:val="22"/>
          <w:lang w:val="en-US"/>
        </w:rPr>
      </w:pPr>
      <w:r w:rsidRPr="00210815">
        <w:rPr>
          <w:rFonts w:asciiTheme="minorHAnsi" w:hAnsiTheme="minorHAnsi" w:cstheme="minorHAnsi"/>
          <w:color w:val="000000"/>
          <w:sz w:val="22"/>
          <w:szCs w:val="22"/>
          <w:lang w:val="en-US"/>
        </w:rPr>
        <w:t>2.     Fulfill IOC’s intergovernmental mandate: incompressible costs related to governing and subsidiary bodies’ meetings, statutory requirements and commitments vis-à-vis partners and other United Nations agencies, including their implications in terms of staff time;</w:t>
      </w:r>
    </w:p>
    <w:p w14:paraId="6D5AF43A" w14:textId="77777777" w:rsidR="00210815" w:rsidRPr="00210815" w:rsidRDefault="00210815" w:rsidP="00210815">
      <w:pPr>
        <w:pStyle w:val="NormalWeb"/>
        <w:spacing w:after="240"/>
        <w:ind w:left="720" w:hanging="360"/>
        <w:jc w:val="both"/>
        <w:rPr>
          <w:rFonts w:asciiTheme="minorHAnsi" w:hAnsiTheme="minorHAnsi" w:cstheme="minorHAnsi"/>
          <w:sz w:val="22"/>
          <w:szCs w:val="22"/>
          <w:lang w:val="en-US"/>
        </w:rPr>
      </w:pPr>
      <w:r w:rsidRPr="00210815">
        <w:rPr>
          <w:rFonts w:asciiTheme="minorHAnsi" w:hAnsiTheme="minorHAnsi" w:cstheme="minorHAnsi"/>
          <w:color w:val="000000"/>
          <w:sz w:val="22"/>
          <w:szCs w:val="22"/>
          <w:lang w:val="en-US"/>
        </w:rPr>
        <w:t>3.     Support governments in national activities and strengthen regional subsidiary bodies of the IOC;</w:t>
      </w:r>
    </w:p>
    <w:p w14:paraId="5558478F" w14:textId="77777777" w:rsidR="00210815" w:rsidRPr="00210815" w:rsidRDefault="00210815" w:rsidP="00210815">
      <w:pPr>
        <w:pStyle w:val="NormalWeb"/>
        <w:spacing w:after="240"/>
        <w:ind w:left="720" w:hanging="360"/>
        <w:jc w:val="both"/>
        <w:rPr>
          <w:rFonts w:asciiTheme="minorHAnsi" w:hAnsiTheme="minorHAnsi" w:cstheme="minorHAnsi"/>
          <w:sz w:val="22"/>
          <w:szCs w:val="22"/>
          <w:lang w:val="en-US"/>
        </w:rPr>
      </w:pPr>
      <w:r w:rsidRPr="00210815">
        <w:rPr>
          <w:rFonts w:asciiTheme="minorHAnsi" w:hAnsiTheme="minorHAnsi" w:cstheme="minorHAnsi"/>
          <w:color w:val="000000"/>
          <w:sz w:val="22"/>
          <w:szCs w:val="22"/>
          <w:lang w:val="en-US"/>
        </w:rPr>
        <w:t>4.     Incorporate the scope of Member States participation (inclusiveness);</w:t>
      </w:r>
    </w:p>
    <w:p w14:paraId="36BE27C5" w14:textId="77777777" w:rsidR="00210815" w:rsidRPr="00210815" w:rsidRDefault="00210815" w:rsidP="00210815">
      <w:pPr>
        <w:pStyle w:val="NormalWeb"/>
        <w:spacing w:after="240"/>
        <w:ind w:left="720" w:hanging="360"/>
        <w:jc w:val="both"/>
        <w:rPr>
          <w:rFonts w:asciiTheme="minorHAnsi" w:hAnsiTheme="minorHAnsi" w:cstheme="minorHAnsi"/>
          <w:sz w:val="22"/>
          <w:szCs w:val="22"/>
          <w:lang w:val="en-US"/>
        </w:rPr>
      </w:pPr>
      <w:r w:rsidRPr="00210815">
        <w:rPr>
          <w:rFonts w:asciiTheme="minorHAnsi" w:hAnsiTheme="minorHAnsi" w:cstheme="minorHAnsi"/>
          <w:color w:val="000000"/>
          <w:sz w:val="22"/>
          <w:szCs w:val="22"/>
          <w:lang w:val="en-US"/>
        </w:rPr>
        <w:t xml:space="preserve">5.     Maximize synergies between UNESCO and IOC </w:t>
      </w:r>
      <w:proofErr w:type="spellStart"/>
      <w:r w:rsidRPr="00210815">
        <w:rPr>
          <w:rFonts w:asciiTheme="minorHAnsi" w:hAnsiTheme="minorHAnsi" w:cstheme="minorHAnsi"/>
          <w:color w:val="000000"/>
          <w:sz w:val="22"/>
          <w:szCs w:val="22"/>
          <w:lang w:val="en-US"/>
        </w:rPr>
        <w:t>programmes</w:t>
      </w:r>
      <w:proofErr w:type="spellEnd"/>
      <w:r w:rsidRPr="00210815">
        <w:rPr>
          <w:rFonts w:asciiTheme="minorHAnsi" w:hAnsiTheme="minorHAnsi" w:cstheme="minorHAnsi"/>
          <w:color w:val="000000"/>
          <w:sz w:val="22"/>
          <w:szCs w:val="22"/>
          <w:lang w:val="en-US"/>
        </w:rPr>
        <w:t xml:space="preserve"> and interlinked functions;</w:t>
      </w:r>
    </w:p>
    <w:p w14:paraId="38087CD8" w14:textId="77777777" w:rsidR="00210815" w:rsidRPr="00210815" w:rsidRDefault="00210815" w:rsidP="00210815">
      <w:pPr>
        <w:pStyle w:val="NormalWeb"/>
        <w:spacing w:after="240"/>
        <w:ind w:left="720" w:hanging="360"/>
        <w:jc w:val="both"/>
        <w:rPr>
          <w:rFonts w:asciiTheme="minorHAnsi" w:hAnsiTheme="minorHAnsi" w:cstheme="minorHAnsi"/>
          <w:sz w:val="22"/>
          <w:szCs w:val="22"/>
          <w:lang w:val="en-US"/>
        </w:rPr>
      </w:pPr>
      <w:r w:rsidRPr="00210815">
        <w:rPr>
          <w:rFonts w:asciiTheme="minorHAnsi" w:hAnsiTheme="minorHAnsi" w:cstheme="minorHAnsi"/>
          <w:color w:val="000000"/>
          <w:sz w:val="22"/>
          <w:szCs w:val="22"/>
          <w:lang w:val="en-US"/>
        </w:rPr>
        <w:t xml:space="preserve">6.     Preserve/sustain core </w:t>
      </w:r>
      <w:proofErr w:type="spellStart"/>
      <w:r w:rsidRPr="00210815">
        <w:rPr>
          <w:rFonts w:asciiTheme="minorHAnsi" w:hAnsiTheme="minorHAnsi" w:cstheme="minorHAnsi"/>
          <w:color w:val="000000"/>
          <w:sz w:val="22"/>
          <w:szCs w:val="22"/>
          <w:lang w:val="en-US"/>
        </w:rPr>
        <w:t>programmes</w:t>
      </w:r>
      <w:proofErr w:type="spellEnd"/>
      <w:r w:rsidRPr="00210815">
        <w:rPr>
          <w:rFonts w:asciiTheme="minorHAnsi" w:hAnsiTheme="minorHAnsi" w:cstheme="minorHAnsi"/>
          <w:color w:val="000000"/>
          <w:sz w:val="22"/>
          <w:szCs w:val="22"/>
          <w:lang w:val="en-US"/>
        </w:rPr>
        <w:t>, while raising extrabudgetary funds for capacity development actions;</w:t>
      </w:r>
    </w:p>
    <w:p w14:paraId="38AA40DD" w14:textId="77777777" w:rsidR="00210815" w:rsidRPr="00210815" w:rsidRDefault="00210815" w:rsidP="00210815">
      <w:pPr>
        <w:pStyle w:val="NormalWeb"/>
        <w:spacing w:after="240"/>
        <w:ind w:left="720" w:hanging="360"/>
        <w:jc w:val="both"/>
        <w:rPr>
          <w:rFonts w:asciiTheme="minorHAnsi" w:hAnsiTheme="minorHAnsi" w:cstheme="minorHAnsi"/>
          <w:sz w:val="22"/>
          <w:szCs w:val="22"/>
          <w:lang w:val="en-US"/>
        </w:rPr>
      </w:pPr>
      <w:r w:rsidRPr="00210815">
        <w:rPr>
          <w:rFonts w:asciiTheme="minorHAnsi" w:hAnsiTheme="minorHAnsi" w:cstheme="minorHAnsi"/>
          <w:color w:val="000000"/>
          <w:sz w:val="22"/>
          <w:szCs w:val="22"/>
          <w:lang w:val="en-US"/>
        </w:rPr>
        <w:t xml:space="preserve">7.     Provide some seed money for new high potential impact </w:t>
      </w:r>
      <w:proofErr w:type="spellStart"/>
      <w:r w:rsidRPr="00210815">
        <w:rPr>
          <w:rFonts w:asciiTheme="minorHAnsi" w:hAnsiTheme="minorHAnsi" w:cstheme="minorHAnsi"/>
          <w:color w:val="000000"/>
          <w:sz w:val="22"/>
          <w:szCs w:val="22"/>
          <w:lang w:val="en-US"/>
        </w:rPr>
        <w:t>programmes</w:t>
      </w:r>
      <w:proofErr w:type="spellEnd"/>
      <w:r w:rsidRPr="00210815">
        <w:rPr>
          <w:rFonts w:asciiTheme="minorHAnsi" w:hAnsiTheme="minorHAnsi" w:cstheme="minorHAnsi"/>
          <w:color w:val="000000"/>
          <w:sz w:val="22"/>
          <w:szCs w:val="22"/>
          <w:lang w:val="en-US"/>
        </w:rPr>
        <w:t xml:space="preserve"> and emerging ocean science issues (likely to attract extrabudgetary funding);</w:t>
      </w:r>
    </w:p>
    <w:p w14:paraId="76872251" w14:textId="77777777" w:rsidR="00210815" w:rsidRPr="00210815" w:rsidRDefault="00210815" w:rsidP="00210815">
      <w:pPr>
        <w:pStyle w:val="NormalWeb"/>
        <w:spacing w:after="240"/>
        <w:ind w:left="720" w:hanging="360"/>
        <w:jc w:val="both"/>
        <w:rPr>
          <w:rFonts w:asciiTheme="minorHAnsi" w:hAnsiTheme="minorHAnsi" w:cstheme="minorHAnsi"/>
          <w:sz w:val="22"/>
          <w:szCs w:val="22"/>
          <w:lang w:val="en-US"/>
        </w:rPr>
      </w:pPr>
      <w:r w:rsidRPr="00210815">
        <w:rPr>
          <w:rFonts w:asciiTheme="minorHAnsi" w:hAnsiTheme="minorHAnsi" w:cstheme="minorHAnsi"/>
          <w:color w:val="000000"/>
          <w:sz w:val="22"/>
          <w:szCs w:val="22"/>
          <w:lang w:val="en-US"/>
        </w:rPr>
        <w:t>8.     Balance IOC’s strong engagement with the ocean science community and its strong focus on applications and services;</w:t>
      </w:r>
    </w:p>
    <w:p w14:paraId="393C7AEE" w14:textId="77777777" w:rsidR="00210815" w:rsidRPr="00210815" w:rsidRDefault="00210815" w:rsidP="00210815">
      <w:pPr>
        <w:pStyle w:val="NormalWeb"/>
        <w:spacing w:after="240"/>
        <w:ind w:left="720" w:hanging="360"/>
        <w:jc w:val="both"/>
        <w:rPr>
          <w:rFonts w:asciiTheme="minorHAnsi" w:hAnsiTheme="minorHAnsi" w:cstheme="minorHAnsi"/>
          <w:sz w:val="22"/>
          <w:szCs w:val="22"/>
          <w:lang w:val="en-US"/>
        </w:rPr>
      </w:pPr>
      <w:r w:rsidRPr="00210815">
        <w:rPr>
          <w:rFonts w:asciiTheme="minorHAnsi" w:hAnsiTheme="minorHAnsi" w:cstheme="minorHAnsi"/>
          <w:color w:val="000000"/>
          <w:sz w:val="22"/>
          <w:szCs w:val="22"/>
          <w:lang w:val="en-US"/>
        </w:rPr>
        <w:t xml:space="preserve">9.     </w:t>
      </w:r>
      <w:proofErr w:type="spellStart"/>
      <w:r w:rsidRPr="00210815">
        <w:rPr>
          <w:rFonts w:asciiTheme="minorHAnsi" w:hAnsiTheme="minorHAnsi" w:cstheme="minorHAnsi"/>
          <w:color w:val="000000"/>
          <w:sz w:val="22"/>
          <w:szCs w:val="22"/>
          <w:lang w:val="en-US"/>
        </w:rPr>
        <w:t>Programmes</w:t>
      </w:r>
      <w:proofErr w:type="spellEnd"/>
      <w:r w:rsidRPr="00210815">
        <w:rPr>
          <w:rFonts w:asciiTheme="minorHAnsi" w:hAnsiTheme="minorHAnsi" w:cstheme="minorHAnsi"/>
          <w:color w:val="000000"/>
          <w:sz w:val="22"/>
          <w:szCs w:val="22"/>
          <w:lang w:val="en-US"/>
        </w:rPr>
        <w:t xml:space="preserve"> should develop strong partnerships which would increase financial resilience in the event of funding pressures, enabling partners to take a greater share in supporting these </w:t>
      </w:r>
      <w:proofErr w:type="spellStart"/>
      <w:r w:rsidRPr="00210815">
        <w:rPr>
          <w:rFonts w:asciiTheme="minorHAnsi" w:hAnsiTheme="minorHAnsi" w:cstheme="minorHAnsi"/>
          <w:color w:val="000000"/>
          <w:sz w:val="22"/>
          <w:szCs w:val="22"/>
          <w:lang w:val="en-US"/>
        </w:rPr>
        <w:t>programmes</w:t>
      </w:r>
      <w:proofErr w:type="spellEnd"/>
      <w:r w:rsidRPr="00210815">
        <w:rPr>
          <w:rFonts w:asciiTheme="minorHAnsi" w:hAnsiTheme="minorHAnsi" w:cstheme="minorHAnsi"/>
          <w:color w:val="000000"/>
          <w:sz w:val="22"/>
          <w:szCs w:val="22"/>
          <w:lang w:val="en-US"/>
        </w:rPr>
        <w:t>, on the condition that those partners respect the objectives and guidelines established by the IOC’s governing bodies and respond to the IOC Secretariat in this regard;</w:t>
      </w:r>
    </w:p>
    <w:p w14:paraId="6044DFE4" w14:textId="77777777" w:rsidR="00210815" w:rsidRPr="00210815" w:rsidRDefault="00210815" w:rsidP="00210815">
      <w:pPr>
        <w:pStyle w:val="NormalWeb"/>
        <w:spacing w:after="240"/>
        <w:ind w:left="720" w:hanging="360"/>
        <w:jc w:val="both"/>
        <w:rPr>
          <w:rFonts w:asciiTheme="minorHAnsi" w:hAnsiTheme="minorHAnsi" w:cstheme="minorHAnsi"/>
          <w:sz w:val="22"/>
          <w:szCs w:val="22"/>
          <w:lang w:val="en-US"/>
        </w:rPr>
      </w:pPr>
      <w:r w:rsidRPr="00210815">
        <w:rPr>
          <w:rFonts w:asciiTheme="minorHAnsi" w:hAnsiTheme="minorHAnsi" w:cstheme="minorHAnsi"/>
          <w:color w:val="000000"/>
          <w:sz w:val="22"/>
          <w:szCs w:val="22"/>
          <w:lang w:val="en-US"/>
        </w:rPr>
        <w:t xml:space="preserve">10.  Identify Member States willing to establish funded and staffed offices to take a larger share of an IOC </w:t>
      </w:r>
      <w:proofErr w:type="spellStart"/>
      <w:r w:rsidRPr="00210815">
        <w:rPr>
          <w:rFonts w:asciiTheme="minorHAnsi" w:hAnsiTheme="minorHAnsi" w:cstheme="minorHAnsi"/>
          <w:color w:val="000000"/>
          <w:sz w:val="22"/>
          <w:szCs w:val="22"/>
          <w:lang w:val="en-US"/>
        </w:rPr>
        <w:t>programme</w:t>
      </w:r>
      <w:proofErr w:type="spellEnd"/>
      <w:r w:rsidRPr="00210815">
        <w:rPr>
          <w:rFonts w:asciiTheme="minorHAnsi" w:hAnsiTheme="minorHAnsi" w:cstheme="minorHAnsi"/>
          <w:color w:val="000000"/>
          <w:sz w:val="22"/>
          <w:szCs w:val="22"/>
          <w:lang w:val="en-US"/>
        </w:rPr>
        <w:t xml:space="preserve"> based on existing good practices, on the condition that those Member States respect the objectives and guidelines established by the IOC’s governing bodies and respond to the IOC Secretariat in this regard;</w:t>
      </w:r>
    </w:p>
    <w:p w14:paraId="4D4E0917" w14:textId="77777777" w:rsidR="00B0494C" w:rsidRDefault="00210815" w:rsidP="00210815">
      <w:pPr>
        <w:pStyle w:val="NormalWeb"/>
        <w:spacing w:after="240"/>
        <w:ind w:left="720" w:hanging="360"/>
        <w:jc w:val="both"/>
        <w:rPr>
          <w:rFonts w:asciiTheme="minorHAnsi" w:hAnsiTheme="minorHAnsi" w:cstheme="minorHAnsi"/>
          <w:color w:val="000000"/>
          <w:sz w:val="22"/>
          <w:szCs w:val="22"/>
          <w:lang w:val="en-US"/>
        </w:rPr>
      </w:pPr>
      <w:r w:rsidRPr="00210815">
        <w:rPr>
          <w:rFonts w:asciiTheme="minorHAnsi" w:hAnsiTheme="minorHAnsi" w:cstheme="minorHAnsi"/>
          <w:color w:val="000000"/>
          <w:sz w:val="22"/>
          <w:szCs w:val="22"/>
          <w:lang w:val="en-US"/>
        </w:rPr>
        <w:t xml:space="preserve">11.  Identify activities that can be sustained with extrabudgetary funding and in-kind contributions, and, according to that, prioritize the allocation of resources from the regular budget to activities and functions of the IOC that cannot be sustained with extrabudgetary funding, </w:t>
      </w:r>
      <w:proofErr w:type="gramStart"/>
      <w:r w:rsidRPr="00210815">
        <w:rPr>
          <w:rFonts w:asciiTheme="minorHAnsi" w:hAnsiTheme="minorHAnsi" w:cstheme="minorHAnsi"/>
          <w:color w:val="000000"/>
          <w:sz w:val="22"/>
          <w:szCs w:val="22"/>
          <w:lang w:val="en-US"/>
        </w:rPr>
        <w:t>in order to</w:t>
      </w:r>
      <w:proofErr w:type="gramEnd"/>
      <w:r w:rsidRPr="00210815">
        <w:rPr>
          <w:rFonts w:asciiTheme="minorHAnsi" w:hAnsiTheme="minorHAnsi" w:cstheme="minorHAnsi"/>
          <w:color w:val="000000"/>
          <w:sz w:val="22"/>
          <w:szCs w:val="22"/>
          <w:lang w:val="en-US"/>
        </w:rPr>
        <w:t xml:space="preserve"> ensure that resources from both the regular budget and extrabudgetary sources will be expended in a way that enables the adequate and balanced implementation of all IOC’s functions.</w:t>
      </w:r>
    </w:p>
    <w:p w14:paraId="45BF9A56" w14:textId="77777777" w:rsidR="00B0494C" w:rsidRDefault="00B0494C">
      <w:pPr>
        <w:spacing w:after="160" w:line="259" w:lineRule="auto"/>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br w:type="page"/>
      </w:r>
    </w:p>
    <w:p w14:paraId="6290AD0E" w14:textId="77777777" w:rsidR="00B0494C" w:rsidRDefault="00B0494C" w:rsidP="00B0494C">
      <w:pPr>
        <w:pStyle w:val="NormalWeb"/>
        <w:spacing w:after="240"/>
        <w:ind w:left="720" w:hanging="360"/>
        <w:jc w:val="center"/>
        <w:rPr>
          <w:rFonts w:asciiTheme="minorHAnsi" w:hAnsiTheme="minorHAnsi" w:cstheme="minorHAnsi"/>
          <w:b/>
          <w:sz w:val="22"/>
          <w:szCs w:val="22"/>
          <w:lang w:val="en-US"/>
        </w:rPr>
      </w:pPr>
      <w:r w:rsidRPr="00B0494C">
        <w:rPr>
          <w:rFonts w:asciiTheme="minorHAnsi" w:hAnsiTheme="minorHAnsi" w:cstheme="minorHAnsi"/>
          <w:b/>
          <w:sz w:val="22"/>
          <w:szCs w:val="22"/>
          <w:lang w:val="en-US"/>
        </w:rPr>
        <w:lastRenderedPageBreak/>
        <w:t>Annex III</w:t>
      </w:r>
      <w:r>
        <w:rPr>
          <w:rFonts w:asciiTheme="minorHAnsi" w:hAnsiTheme="minorHAnsi" w:cstheme="minorHAnsi"/>
          <w:b/>
          <w:sz w:val="22"/>
          <w:szCs w:val="22"/>
          <w:lang w:val="en-US"/>
        </w:rPr>
        <w:t>: Reporting template</w:t>
      </w:r>
    </w:p>
    <w:p w14:paraId="634BEDCA" w14:textId="77777777" w:rsidR="005D055A" w:rsidRDefault="005D055A" w:rsidP="00B0494C">
      <w:pPr>
        <w:pStyle w:val="NormalWeb"/>
        <w:spacing w:after="240"/>
        <w:ind w:left="720" w:hanging="360"/>
        <w:jc w:val="center"/>
        <w:rPr>
          <w:rFonts w:asciiTheme="minorHAnsi" w:hAnsiTheme="minorHAnsi" w:cstheme="minorHAnsi"/>
          <w:b/>
          <w:sz w:val="22"/>
          <w:szCs w:val="22"/>
          <w:lang w:val="en-US"/>
        </w:rPr>
      </w:pPr>
    </w:p>
    <w:p w14:paraId="72EE5A50" w14:textId="77777777" w:rsidR="005D055A" w:rsidRPr="005D055A" w:rsidRDefault="005D055A" w:rsidP="00E63FCF">
      <w:pPr>
        <w:pStyle w:val="NormalWeb"/>
        <w:spacing w:after="240"/>
        <w:ind w:left="720" w:hanging="12"/>
        <w:jc w:val="both"/>
        <w:rPr>
          <w:rFonts w:asciiTheme="minorHAnsi" w:hAnsiTheme="minorHAnsi" w:cstheme="minorHAnsi"/>
          <w:sz w:val="22"/>
          <w:szCs w:val="22"/>
          <w:lang w:val="en-US"/>
        </w:rPr>
      </w:pPr>
      <w:r>
        <w:rPr>
          <w:rFonts w:asciiTheme="minorHAnsi" w:hAnsiTheme="minorHAnsi" w:cstheme="minorHAnsi"/>
          <w:sz w:val="22"/>
          <w:szCs w:val="22"/>
          <w:lang w:val="en-US"/>
        </w:rPr>
        <w:t>The information should come either as a letter or an email</w:t>
      </w:r>
      <w:r w:rsidR="00E63FCF">
        <w:rPr>
          <w:rFonts w:asciiTheme="minorHAnsi" w:hAnsiTheme="minorHAnsi" w:cstheme="minorHAnsi"/>
          <w:sz w:val="22"/>
          <w:szCs w:val="22"/>
          <w:lang w:val="en-US"/>
        </w:rPr>
        <w:t xml:space="preserve"> addressed to the IOC Executive Secretary and contain, as a minimum, the following information. The amount should correspond to the in-kind contribution in a calendar year 01 January 2XXX to 31 December 2XXX. Amounts can be declared in local currencies or in USD. Amounts declared in local currencies will be converted by the Secretariat at the United Nations Operational Rate of Exchange applicable to financial reports for the period. </w:t>
      </w:r>
    </w:p>
    <w:p w14:paraId="3D0B9989" w14:textId="77777777" w:rsidR="00210815" w:rsidRPr="00210815" w:rsidRDefault="00210815" w:rsidP="00210815">
      <w:pPr>
        <w:pStyle w:val="xxxmsonormal"/>
        <w:rPr>
          <w:rFonts w:asciiTheme="minorHAnsi" w:hAnsiTheme="minorHAnsi" w:cstheme="minorHAnsi"/>
          <w:sz w:val="22"/>
          <w:szCs w:val="22"/>
          <w:lang w:val="en-US"/>
        </w:rPr>
      </w:pPr>
      <w:r w:rsidRPr="00210815">
        <w:rPr>
          <w:rFonts w:asciiTheme="minorHAnsi" w:hAnsiTheme="minorHAnsi" w:cstheme="minorHAnsi"/>
          <w:color w:val="000000"/>
          <w:sz w:val="22"/>
          <w:szCs w:val="22"/>
          <w:lang w:val="en-US"/>
        </w:rPr>
        <w:t> </w:t>
      </w:r>
    </w:p>
    <w:p w14:paraId="010DFAF5" w14:textId="77777777" w:rsidR="00EE6E04" w:rsidRPr="00210815" w:rsidRDefault="005D055A">
      <w:pPr>
        <w:rPr>
          <w:rFonts w:asciiTheme="minorHAnsi" w:hAnsiTheme="minorHAnsi" w:cstheme="minorHAnsi"/>
          <w:sz w:val="22"/>
          <w:szCs w:val="22"/>
          <w:lang w:val="en-US"/>
        </w:rPr>
      </w:pPr>
      <w:r w:rsidRPr="005D055A">
        <w:rPr>
          <w:noProof/>
        </w:rPr>
        <w:drawing>
          <wp:inline distT="0" distB="0" distL="0" distR="0" wp14:anchorId="106148D9" wp14:editId="7F345704">
            <wp:extent cx="5760720" cy="4205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420533"/>
                    </a:xfrm>
                    <a:prstGeom prst="rect">
                      <a:avLst/>
                    </a:prstGeom>
                    <a:noFill/>
                    <a:ln>
                      <a:noFill/>
                    </a:ln>
                  </pic:spPr>
                </pic:pic>
              </a:graphicData>
            </a:graphic>
          </wp:inline>
        </w:drawing>
      </w:r>
    </w:p>
    <w:sectPr w:rsidR="00EE6E04" w:rsidRPr="00210815">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51EDE"/>
    <w:multiLevelType w:val="hybridMultilevel"/>
    <w:tmpl w:val="1D7A468A"/>
    <w:lvl w:ilvl="0" w:tplc="2E8E75DC">
      <w:start w:val="1"/>
      <w:numFmt w:val="decimal"/>
      <w:lvlText w:val="%1."/>
      <w:lvlJc w:val="left"/>
      <w:pPr>
        <w:ind w:left="720" w:hanging="36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C920EBB"/>
    <w:multiLevelType w:val="hybridMultilevel"/>
    <w:tmpl w:val="C00866C4"/>
    <w:lvl w:ilvl="0" w:tplc="74F679EC">
      <w:start w:val="1"/>
      <w:numFmt w:val="lowerRoman"/>
      <w:lvlText w:val="%1."/>
      <w:lvlJc w:val="left"/>
      <w:pPr>
        <w:ind w:left="1080" w:hanging="72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815"/>
    <w:rsid w:val="000D1683"/>
    <w:rsid w:val="001E1BED"/>
    <w:rsid w:val="00210815"/>
    <w:rsid w:val="005D055A"/>
    <w:rsid w:val="009D0E87"/>
    <w:rsid w:val="00B0494C"/>
    <w:rsid w:val="00DD251F"/>
    <w:rsid w:val="00E63FCF"/>
    <w:rsid w:val="00EE6E04"/>
    <w:rsid w:val="00F80783"/>
    <w:rsid w:val="00FF1CE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D6FA5"/>
  <w15:chartTrackingRefBased/>
  <w15:docId w15:val="{5018C6EB-4D95-44B7-9394-FA42F5046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815"/>
    <w:pPr>
      <w:spacing w:after="0" w:line="240" w:lineRule="auto"/>
    </w:pPr>
    <w:rPr>
      <w:rFonts w:ascii="Times New Roman" w:hAnsi="Times New Roman" w:cs="Times New Roman"/>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10815"/>
  </w:style>
  <w:style w:type="paragraph" w:customStyle="1" w:styleId="xxxmsonormal">
    <w:name w:val="x_xxmsonormal"/>
    <w:basedOn w:val="Normal"/>
    <w:uiPriority w:val="99"/>
    <w:semiHidden/>
    <w:rsid w:val="00210815"/>
  </w:style>
  <w:style w:type="table" w:styleId="TableGrid">
    <w:name w:val="Table Grid"/>
    <w:basedOn w:val="TableNormal"/>
    <w:uiPriority w:val="39"/>
    <w:rsid w:val="00210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0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783"/>
    <w:rPr>
      <w:rFonts w:ascii="Segoe UI"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910362">
      <w:bodyDiv w:val="1"/>
      <w:marLeft w:val="0"/>
      <w:marRight w:val="0"/>
      <w:marTop w:val="0"/>
      <w:marBottom w:val="0"/>
      <w:divBdr>
        <w:top w:val="none" w:sz="0" w:space="0" w:color="auto"/>
        <w:left w:val="none" w:sz="0" w:space="0" w:color="auto"/>
        <w:bottom w:val="none" w:sz="0" w:space="0" w:color="auto"/>
        <w:right w:val="none" w:sz="0" w:space="0" w:color="auto"/>
      </w:divBdr>
    </w:div>
    <w:div w:id="214075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1222</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UNESCO</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Yvinec, Ksenia</dc:creator>
  <cp:keywords/>
  <dc:description/>
  <cp:lastModifiedBy>Boned, Patrice</cp:lastModifiedBy>
  <cp:revision>2</cp:revision>
  <dcterms:created xsi:type="dcterms:W3CDTF">2022-04-14T15:18:00Z</dcterms:created>
  <dcterms:modified xsi:type="dcterms:W3CDTF">2022-04-14T15:18:00Z</dcterms:modified>
</cp:coreProperties>
</file>