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ADF67" w14:textId="56E0C20E" w:rsidR="007A1037" w:rsidRPr="007D08B9" w:rsidRDefault="00124EFA" w:rsidP="007D08B9">
      <w:pPr>
        <w:snapToGrid w:val="0"/>
        <w:spacing w:after="24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ru"/>
        </w:rPr>
        <w:t>3.1. Выступление Председателя МОК</w:t>
      </w:r>
    </w:p>
    <w:p w14:paraId="47BD1013" w14:textId="77CF7B89" w:rsidR="00893A92" w:rsidRPr="00280BDC" w:rsidRDefault="00893A92" w:rsidP="007D08B9">
      <w:pPr>
        <w:snapToGrid w:val="0"/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>Уважаемые делегаты!</w:t>
      </w:r>
    </w:p>
    <w:p w14:paraId="1E9E7C87" w14:textId="33925B65" w:rsidR="00893A92" w:rsidRPr="00280BDC" w:rsidRDefault="00124EFA" w:rsidP="007D08B9">
      <w:pPr>
        <w:snapToGrid w:val="0"/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>В соответствии со статьей 8.1(а) Правил процедуры, данный пункт повестки дня соответствует выступлению Председателя с сообщением о последних результатах работы Комиссии и перспективах на ближайшие годы.</w:t>
      </w:r>
    </w:p>
    <w:p w14:paraId="6A3BEAF9" w14:textId="5AC1977C" w:rsidR="00122AF6" w:rsidRPr="00280BDC" w:rsidRDefault="00124EFA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>Как я уже упоминал на открытии Ассамблеи, реальность оказалась совсем не такой, как мы ожидали. Тем не менее, несмотря на сложные обстоятельства, наша приверженность океану оставалась главной движущей силой нашей деятельности в рамках нашего мандата.</w:t>
      </w:r>
    </w:p>
    <w:p w14:paraId="55FC4AB5" w14:textId="10C90C35" w:rsidR="008F3911" w:rsidRPr="00280BDC" w:rsidRDefault="000E0D03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>Мы в МОК проанализировали каждый случай, каждое обстоятельство и выработали альтернативные варианты не только для продолжения, но и для расширения нашей работы. Новая нормальная жизнь, которая нас окружает, с ее виртуальными платформами, создала дополнительные возможности для расширения общения и участия в многочисленных темах и дебатах. Простой подсчет виртуальных совещаний, вебинаров, информационных сессий дает четкое представление о том, насколько шире стало наше общение. Переход от личных встреч к удаленному участию позволил нам всем присутствовать на многочисленных и почти одновременных событиях по всему миру. В дистанционном формате прошла не только сессия нашего 53-го Исполнительного совета в феврале этого года, но и совещания наших основных вспомогательных органов, проектов и мероприятий.</w:t>
      </w:r>
    </w:p>
    <w:p w14:paraId="15749517" w14:textId="381C4BAA" w:rsidR="008F3911" w:rsidRPr="00280BDC" w:rsidRDefault="008F3911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>В циркулярном письме МОК № 2835 я предложил провести эту 31-ю сессию нашей Ассамблеи в гибридном режиме: с дистанционными пленарными заседаниями в сочетании с очными выборами Совета должностных лиц и членов Исполнительного совета. Мы тщательно подготовили и провели это заседание, чтобы обеспечить качество дискуссии и всеобъемлющий, прозрачный и эффективный процесс принятия решений в полном соответствии с нашими Правилами процедуры.</w:t>
      </w:r>
    </w:p>
    <w:p w14:paraId="1B9F3240" w14:textId="57C66DDA" w:rsidR="006006B8" w:rsidRPr="00280BDC" w:rsidRDefault="006006B8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>С вашего позволения, я повторю здесь то, о чем говорил на открытии 53-й сессии Исполнительного совета в феврале прошлого года. Мы сможем выполнить свой мандат и действовать как единое целое на благо всех, только если продолжим работать так, как мы работаем на протяжении многих лет: прозрачно, коллегиально и конструктивно, действуя совместно, чтобы стать лучшим научно-техническим органом.</w:t>
      </w:r>
    </w:p>
    <w:p w14:paraId="2956E2E0" w14:textId="7F7C03EF" w:rsidR="008F3911" w:rsidRPr="00280BDC" w:rsidRDefault="00AB65E5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color w:val="000000" w:themeColor="text1"/>
          <w:lang w:val="ru"/>
        </w:rPr>
        <w:t>Н</w:t>
      </w:r>
      <w:r>
        <w:rPr>
          <w:rFonts w:asciiTheme="minorBidi" w:hAnsiTheme="minorBidi" w:cstheme="minorBidi"/>
          <w:lang w:val="ru"/>
        </w:rPr>
        <w:t>ынешние обстоятельства значительно сократили время работы по сравнению с предыдущими сессиями Ассамблеи. Традиционно наша Ассамблея предоставляет нашим программам, вспомогательным органам, а также государствам-членам возможность представить основные события межсессионного периода, предложить мероприятия и проекты и содействовать совместной деятельности. Поэтому в качестве дополнительного механизма информирования наших государств-членов мы создали серию вебинаров, состоявшихся в период с 31 мая по 11 июня (</w:t>
      </w:r>
      <w:hyperlink r:id="rId10" w:history="1">
        <w:r>
          <w:rPr>
            <w:rStyle w:val="Hyperlink"/>
            <w:rFonts w:asciiTheme="minorBidi" w:hAnsiTheme="minorBidi" w:cstheme="minorBidi"/>
            <w:lang w:val="ru"/>
          </w:rPr>
          <w:t>https://ioc.unesco.org/news/ioc-assembly-31-thematic-webinars</w:t>
        </w:r>
      </w:hyperlink>
      <w:r>
        <w:rPr>
          <w:rFonts w:asciiTheme="minorBidi" w:hAnsiTheme="minorBidi" w:cstheme="minorBidi"/>
          <w:lang w:val="ru"/>
        </w:rPr>
        <w:t xml:space="preserve">). </w:t>
      </w:r>
    </w:p>
    <w:p w14:paraId="17B5366E" w14:textId="21E46061" w:rsidR="00C1137D" w:rsidRPr="00280BDC" w:rsidRDefault="00AB65E5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 xml:space="preserve">За эти месяцы удаленной работы мы накопили чрезвычайно ценный опыт, и весьма вероятно, что мы будем и дальше использовать некоторые из внедренных методик. Именно поэтому я предложил 53-му Исполнительному совету поручить Комитету по финансовым вопросам в рамках его обязанностей, касающихся управления МОК, методов работы и процедур, провести первоначальный анализ пересмотра и возможного обновления Правил процедуры Комиссии с целью приведения их в соответствие с существующими возможностями, нынешней реальностью и возможными </w:t>
      </w:r>
      <w:r>
        <w:rPr>
          <w:rFonts w:asciiTheme="minorBidi" w:hAnsiTheme="minorBidi" w:cstheme="minorBidi"/>
          <w:lang w:val="ru"/>
        </w:rPr>
        <w:lastRenderedPageBreak/>
        <w:t>сценариями будущего и использования накопленного опыта и передовой практики в рамках ЮНЕСКО и системы ООН.</w:t>
      </w:r>
    </w:p>
    <w:p w14:paraId="7FCDF5F1" w14:textId="1E4282FC" w:rsidR="00110E83" w:rsidRPr="00280BDC" w:rsidRDefault="00110E83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>Финансовая ситуация остается сложной, и, несмотря на поддержку Генерального директора ЮНЕСКО, поддержку и взносы государств-членов, а также взносы различных доноров и участников, занимающихся связанными с океаном вопросами, это вызывает крайнюю озабоченность. Участие МОК продолжает расширяться, но имеющиеся кадровые и финансовые ресурсы не поспевают за ним. Мы обязаны провести глубокий анализ общей ситуации и перспектив, а также нашей стратегии, бизнес-модели и манеры освещения событий для привлечения дополнительных доноров. В противном случае мы рискуем превратить свои действия скорее в оппортунистические, чем в стратегические, со всеми вытекающими последствиями.</w:t>
      </w:r>
    </w:p>
    <w:p w14:paraId="7319999C" w14:textId="30748A22" w:rsidR="00AB65E5" w:rsidRPr="00280BDC" w:rsidRDefault="00CC7C48" w:rsidP="00280BDC">
      <w:pPr>
        <w:spacing w:after="240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lang w:val="ru"/>
        </w:rPr>
        <w:t>В 2005 году мы столкнулись с серьезной задачей, сформулированной в документе под названием «</w:t>
      </w:r>
      <w:hyperlink r:id="rId11" w:history="1">
        <w:r>
          <w:rPr>
            <w:rStyle w:val="Hyperlink"/>
            <w:rFonts w:asciiTheme="minorBidi" w:hAnsiTheme="minorBidi" w:cstheme="minorBidi"/>
            <w:lang w:val="ru"/>
          </w:rPr>
          <w:t>У нас проблема</w:t>
        </w:r>
      </w:hyperlink>
      <w:r>
        <w:rPr>
          <w:rFonts w:asciiTheme="minorBidi" w:hAnsiTheme="minorBidi" w:cstheme="minorBidi"/>
          <w:lang w:val="ru"/>
        </w:rPr>
        <w:t>». После ужасного цунами, произошедшего 26 декабря 2004 г. в Индийском океане, и в условиях значительного сокращения бюджета, этот документ пролил свет на наши решения и их влияние на определение нашего будущего, причем не путем простого изменения баланса вопросов, представляющих интерес, а путем воздействия на нашу идентичность как межправительственной океанографической комиссии. Затем нас попросили сделать перерыв в нашей повседневной работе, чтобы подумать о том, «где мы находимся» и «куда мы хотим прийти» как уникальный научно-технический орган в системе ООН, занимающийся вопросами науки об океане и океанических служб.</w:t>
      </w:r>
      <w:r>
        <w:rPr>
          <w:rFonts w:asciiTheme="minorBidi" w:hAnsiTheme="minorBidi" w:cstheme="minorBidi"/>
          <w:color w:val="000000" w:themeColor="text1"/>
          <w:lang w:val="ru"/>
        </w:rPr>
        <w:t xml:space="preserve"> </w:t>
      </w:r>
    </w:p>
    <w:p w14:paraId="53447242" w14:textId="53773D1B" w:rsidR="00472D3F" w:rsidRPr="00280BDC" w:rsidRDefault="00AB65E5" w:rsidP="00280BDC">
      <w:pPr>
        <w:spacing w:after="240"/>
        <w:jc w:val="both"/>
        <w:rPr>
          <w:rFonts w:asciiTheme="minorBidi" w:hAnsiTheme="minorBidi" w:cstheme="minorBidi"/>
          <w:color w:val="FF0000"/>
        </w:rPr>
      </w:pPr>
      <w:r>
        <w:rPr>
          <w:rFonts w:asciiTheme="minorBidi" w:hAnsiTheme="minorBidi" w:cstheme="minorBidi"/>
          <w:color w:val="000000" w:themeColor="text1"/>
          <w:lang w:val="ru"/>
        </w:rPr>
        <w:t>Все последние аудиторские проверки и оценки МОК показали, что, хотя она представляет собой наиболее продуктивное и высокодоходное вложение государств-членов в будущие устойчивые океанические службы, основанные на знаниях, эти инвестиции крайне недостаточны, и что МОК не располагает достаточным персоналом и ресурсами для выполнения своего расширяющегося мандата. Это очень четкий призыв к действию, который мы не можем и не должны игнорировать.</w:t>
      </w:r>
    </w:p>
    <w:p w14:paraId="6D54D5FC" w14:textId="77777777" w:rsidR="00406D42" w:rsidRPr="00280BDC" w:rsidRDefault="00110E83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 xml:space="preserve">Структуры ООН, связанные с океаном или имеющие к нему отношение, рассматривают нашу Комиссию как ценного партнера и признают ее как авторитетный источник четкого технического вклада, научных знаний и уникальных возможностей для преодоления разрыва между наукой и политикой. </w:t>
      </w:r>
    </w:p>
    <w:p w14:paraId="1AB254E8" w14:textId="5CE95830" w:rsidR="00110E83" w:rsidRPr="00280BDC" w:rsidRDefault="00E03C40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 xml:space="preserve">Примером может служить наш активный вклад в совещание по подготовке двадцать пятой Конференции сторон Рамочной конвенции ООН об изменении климата (РКИК ООН), организованное в Коста-Рике, КС 25 (25-ю Конференцию сторон РКИК ООН, «голубую КС»), третью сессию межправительственной конференции по международному юридически обязательному документу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 (БПНЮ) и последующие мероприятия в режиме онлайн, во всех из которых я участвовал вместе с нашим преданным Секретариатом и представлял это океаническое сообщество. К более свежим событиям относится мое участие в мероприятиях Международного органа по морскому дну, таких как представление его Плана действий по морским научным исследованиям в поддержку Десятилетия ООН, посвященного науке об океане в интересах устойчивого развития, или вебинар по случаю Всемирного дня океанов, посвященный сотрудничеству с ОБИС (МОК-ЮНЕСКО) с акцентом на недавно объявленное партнерство по расширению доступа к данным о биоразнообразии посредством базы данных Международного органа по морскому дну DeepData. В ноябре прошлого года в рамках ЮНЕСКО мы провели чрезвычайно продуктивную встречу с Научно-техническим консультативным органом Конвенции 2001 года об охране подводного культурного наследия, на котором </w:t>
      </w:r>
      <w:r>
        <w:rPr>
          <w:rFonts w:asciiTheme="minorBidi" w:hAnsiTheme="minorBidi" w:cstheme="minorBidi"/>
          <w:lang w:val="ru"/>
        </w:rPr>
        <w:lastRenderedPageBreak/>
        <w:t xml:space="preserve">обсудили вопросы, связанные с Десятилетием науки об океане, а также наши общие и совместные интересы и обязанности. </w:t>
      </w:r>
    </w:p>
    <w:p w14:paraId="3E6880BB" w14:textId="23C6437F" w:rsidR="00B42CC6" w:rsidRPr="00280BDC" w:rsidRDefault="00B42CC6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 xml:space="preserve">В ноябре 2020 года я вместе с другими экспертами принял участие в вебинаре, организованном Всемирным морским университетом на тему «Расширение прав и возможностей женщин в рамках Десятилетия науки об океане». Это была возможность поделиться опытом и инициативами МОК и объединить усилия для преодоления существующих барьеров. Наш </w:t>
      </w:r>
      <w:hyperlink r:id="rId12" w:history="1">
        <w:r>
          <w:rPr>
            <w:rStyle w:val="Hyperlink"/>
            <w:rFonts w:asciiTheme="minorBidi" w:hAnsiTheme="minorBidi" w:cstheme="minorBidi"/>
            <w:i/>
            <w:iCs/>
            <w:lang w:val="ru"/>
          </w:rPr>
          <w:t>Научный доклад о Мировом океане 2020 г.</w:t>
        </w:r>
      </w:hyperlink>
      <w:r>
        <w:rPr>
          <w:rFonts w:asciiTheme="minorBidi" w:hAnsiTheme="minorBidi" w:cstheme="minorBidi"/>
          <w:lang w:val="ru"/>
        </w:rPr>
        <w:t xml:space="preserve"> показывает, что в среднем 39% ученых-океанологов — женщины. Это примерно на 10% выше, чем в среднем по науке в целом. Десятилетие науки об океане обеспечит благоприятные условия для преодоления гендерных, поколенческих, а также региональных барьеров.</w:t>
      </w:r>
    </w:p>
    <w:p w14:paraId="6845197C" w14:textId="615492A3" w:rsidR="00324EFE" w:rsidRPr="00280BDC" w:rsidRDefault="00324EFE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>1 января мы дали старт беспрецедентному периоду — Десятилетию Организации Объединенных Наций, посвященному науке об океане в интересах устойчивого развития (2021–2030 гг.), воплотив в жизнь идею, рожденную в рамках этой Комиссии. На протяжении последних трех лет мы уделяли необходимое время и усилия, и даже больше, чтобы предложить, обсудить и консолидировать план проведения для решения приоритетных задач Десятилетия и достижения согласованных целей. 31 декабря 2020 года Генеральная Ассамблея Организации Объединенных Наций приняла резолюцию 75/239, в которой она приветствует подготовительную работу, проведенную МОК, и с удовлетворением отмечает план проведения Десятилетия Организации Объединенных Наций, посвященного науке об океане в интересах устойчивого развития. Нам также было поручено координировать проведение Десятилетия и периодически докладывать об этом. Это требует должного внимания, поскольку нам необходимо вооружиться кадровыми и финансовыми ресурсами для выполнения требований, связанных с такими задачами.</w:t>
      </w:r>
    </w:p>
    <w:p w14:paraId="61B4EDC0" w14:textId="0ADD866D" w:rsidR="00692F17" w:rsidRPr="00280BDC" w:rsidRDefault="00692F17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>По словам члена Группы планирования деятельности, после объявления об утверждении программ и вкладов, сделанного на прошлой неделе по случаю Всемирного дня океанов, весь мир приветствовал превосходный набор программ, которые были утверждены для начала Десятилетия науки об океане. Большое оживление вызвали программы, связанные с расширением участия в Десятилетии, изучением исторических и культурных аспектов океана, а также другие мероприятия, которые будут способствовать расширению участия и признанию многочисленных аспектов влияния океана на всех нас.</w:t>
      </w:r>
    </w:p>
    <w:p w14:paraId="708878E4" w14:textId="366F9ABD" w:rsidR="00C1137D" w:rsidRPr="00280BDC" w:rsidRDefault="00324EFE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>В то же время может сложиться впечатление, что, несмотря на то, что мы приложили максимум усилий для подготовки к Десятилетию науки об океане, мы приостановили адекватную разработку, обсуждение или согласование собственного специфического вклада МОК в Десятилетие. И хотя все мы согласны с тем, что у МОК есть большие возможности внести еще больший вклад в контексте Десятилетия науки об океане и что Десятилетие является уникальным источником для развития и дальнейшего укрепления партнерства и сотрудничества, некоторые члены нашего сообщества могут придерживаться мнения, что мероприятия Десятилетия являются возможными конкурентами или даже фактором размывания роли и обязанностей МОК. Последнее восприятие — это то, что мы должны предотвратить путем надлежащего обсуждения и активной позиции.</w:t>
      </w:r>
    </w:p>
    <w:p w14:paraId="3F9CAEFB" w14:textId="0FEC4C16" w:rsidR="00E85C0C" w:rsidRPr="00280BDC" w:rsidRDefault="00035365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>В рамках нашего вклада в декабре прошлого года мы опубликовали НДМО 2020. Этот доклад представляет собой важный шаг в определении возможностей, ресурсов и ограничений наших государств-членов, предоставляя бесценную информацию для лиц, принимающих решения.</w:t>
      </w:r>
    </w:p>
    <w:p w14:paraId="6D6F687C" w14:textId="1A8DE010" w:rsidR="00AB5D3E" w:rsidRPr="00280BDC" w:rsidRDefault="00AB5D3E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 xml:space="preserve">Несмотря на сложные обстоятельства, наши глобальные программы, региональные вспомогательные органы и технические вспомогательные органы смогли провести </w:t>
      </w:r>
      <w:r>
        <w:rPr>
          <w:rFonts w:asciiTheme="minorBidi" w:hAnsiTheme="minorBidi" w:cstheme="minorBidi"/>
          <w:lang w:val="ru"/>
        </w:rPr>
        <w:lastRenderedPageBreak/>
        <w:t>дистанционное совещание, представить доклад о ключевых событиях, произошедших в межсессионный период, согласовать дальнейшие шаги и рекомендовать меры Ассамблее, наглядно продемонстрировав устойчивость и приверженность этого сообщества, занимающегося связанными с океаном вопросами. Мы продолжили развитие Системы океанографических данных и информации (ОДИС), запустили такие проекты, как «Инфохаб-Океан», система передачи морской технологии, второй этап Глобальной академии «Океан-инструктор» (ГАОИ-2) и ее сеть учебных центров, а также Сеть оповещения о биозагрязнении вод у островов Тихого океана, при любезной поддержке правительства Фландрии (Королевство Бельгия).</w:t>
      </w:r>
    </w:p>
    <w:p w14:paraId="019E52E4" w14:textId="40890D06" w:rsidR="00035365" w:rsidRPr="00280BDC" w:rsidRDefault="00035365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 xml:space="preserve">Развитие потенциала остается одним из основополагающих постулатов нашей Комиссии, и оно должным образом поставлено во главу угла наших шести основных функциональных областей. Оно позволяет всем государствам-членам участвовать в океанических исследованиях и службах, которые являются значимыми факторами для устойчивого развития и благосостояния человека на планете, и извлекать из них пользу. Некоторые из наших инициатив направлены на Африку, Латинскую Америку и Карибский бассейн, а также на малые островные развивающиеся государства Тихого океана. Пользуясь возможностью, я хотел бы напомнить государствам-членам, которые еще не сделали этого, о необходимости назначения координатора МОК по развитию потенциала, поскольку после циркулярных писем, выпущенных в 2018 и 2020 годах, только треть из 150 государств-членов назначила координаторов по развитию потенциала. </w:t>
      </w:r>
    </w:p>
    <w:p w14:paraId="10D11A68" w14:textId="4A649E39" w:rsidR="00695A70" w:rsidRPr="00280BDC" w:rsidRDefault="00856AFD" w:rsidP="00280BDC">
      <w:pPr>
        <w:spacing w:after="240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ru"/>
        </w:rPr>
        <w:t xml:space="preserve">Изучая документы, подготовленные для этой Ассамблеи, и после просмотра тематических вебинаров, мы, безусловно, видим очень хороший прогресс, и все же я твердо убежден, что мы можем сделать еще больше для дальнейшего позиционирования МОК в глобальном контексте.  </w:t>
      </w:r>
    </w:p>
    <w:p w14:paraId="6DBACDBC" w14:textId="39C3017C" w:rsidR="002F0C18" w:rsidRPr="00280BDC" w:rsidRDefault="00B17C46" w:rsidP="00280BDC">
      <w:pPr>
        <w:spacing w:after="24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ru"/>
        </w:rPr>
        <w:t xml:space="preserve">Настало время для слов признательности. Особая благодарность всему нашему Секретариату за впечатляющую работу и преданность делу, на передовой и в тылу, в штаб-квартире и на местах. Я также благодарю своих коллег, которые взяли на себя выполнение многочисленных задач и выполняли их с большим профессионализмом и преданностью общему благу. Наконец, позвольте мне отметить неизменно здравые советы и мудрость нашего предыдущего уважаемого председателя, норвежского профессора Питера Хаугана. </w:t>
      </w:r>
    </w:p>
    <w:p w14:paraId="060E00ED" w14:textId="77777777" w:rsidR="002F0C18" w:rsidRPr="00280BDC" w:rsidRDefault="002F0C18" w:rsidP="00280BDC">
      <w:pPr>
        <w:jc w:val="both"/>
        <w:rPr>
          <w:rFonts w:asciiTheme="minorBidi" w:hAnsiTheme="minorBidi" w:cstheme="minorBidi"/>
        </w:rPr>
      </w:pPr>
    </w:p>
    <w:sectPr w:rsidR="002F0C18" w:rsidRPr="00280BDC" w:rsidSect="007D08B9">
      <w:headerReference w:type="even" r:id="rId13"/>
      <w:headerReference w:type="default" r:id="rId14"/>
      <w:headerReference w:type="first" r:id="rId15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65BA2" w14:textId="77777777" w:rsidR="00F034B3" w:rsidRDefault="00F034B3" w:rsidP="00650219">
      <w:r>
        <w:separator/>
      </w:r>
    </w:p>
  </w:endnote>
  <w:endnote w:type="continuationSeparator" w:id="0">
    <w:p w14:paraId="07D4BFFC" w14:textId="77777777" w:rsidR="00F034B3" w:rsidRDefault="00F034B3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7E7A0" w14:textId="77777777" w:rsidR="00F034B3" w:rsidRDefault="00F034B3" w:rsidP="00650219">
      <w:r>
        <w:separator/>
      </w:r>
    </w:p>
  </w:footnote>
  <w:footnote w:type="continuationSeparator" w:id="0">
    <w:p w14:paraId="077E308B" w14:textId="77777777" w:rsidR="00F034B3" w:rsidRDefault="00F034B3" w:rsidP="0065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B2AFF" w14:textId="7D9BAA83" w:rsidR="007D08B9" w:rsidRDefault="007D08B9" w:rsidP="007D08B9">
    <w:pPr>
      <w:rPr>
        <w:rFonts w:asciiTheme="minorBidi" w:hAnsiTheme="minorBidi" w:cstheme="minorBidi"/>
      </w:rPr>
    </w:pPr>
    <w:r>
      <w:rPr>
        <w:rFonts w:asciiTheme="minorBidi" w:hAnsiTheme="minorBidi" w:cstheme="minorBidi"/>
        <w:lang w:val="ru"/>
      </w:rPr>
      <w:t>IOC/A-31/3.1.Inf</w:t>
    </w:r>
  </w:p>
  <w:p w14:paraId="57E965F7" w14:textId="370600C5" w:rsidR="007D08B9" w:rsidRDefault="007D08B9" w:rsidP="007D08B9">
    <w:pPr>
      <w:rPr>
        <w:rFonts w:asciiTheme="minorBidi" w:hAnsiTheme="minorBidi" w:cstheme="minorBidi"/>
      </w:rPr>
    </w:pPr>
    <w:r>
      <w:rPr>
        <w:rFonts w:asciiTheme="minorBidi" w:hAnsiTheme="minorBidi" w:cstheme="minorBidi"/>
        <w:lang w:val="ru"/>
      </w:rPr>
      <w:t xml:space="preserve">Страница </w:t>
    </w:r>
    <w:r>
      <w:rPr>
        <w:rFonts w:asciiTheme="minorBidi" w:hAnsiTheme="minorBidi" w:cstheme="minorBidi"/>
        <w:lang w:val="ru"/>
      </w:rPr>
      <w:fldChar w:fldCharType="begin"/>
    </w:r>
    <w:r>
      <w:rPr>
        <w:rFonts w:asciiTheme="minorBidi" w:hAnsiTheme="minorBidi" w:cstheme="minorBidi"/>
        <w:lang w:val="ru"/>
      </w:rPr>
      <w:instrText xml:space="preserve"> PAGE   \* MERGEFORMAT </w:instrText>
    </w:r>
    <w:r>
      <w:rPr>
        <w:rFonts w:asciiTheme="minorBidi" w:hAnsiTheme="minorBidi" w:cstheme="minorBidi"/>
        <w:lang w:val="ru"/>
      </w:rPr>
      <w:fldChar w:fldCharType="separate"/>
    </w:r>
    <w:r>
      <w:rPr>
        <w:rFonts w:asciiTheme="minorBidi" w:hAnsiTheme="minorBidi" w:cstheme="minorBidi"/>
        <w:noProof/>
        <w:lang w:val="ru"/>
      </w:rPr>
      <w:t>1</w:t>
    </w:r>
    <w:r>
      <w:rPr>
        <w:rFonts w:asciiTheme="minorBidi" w:hAnsiTheme="minorBidi" w:cstheme="minorBidi"/>
        <w:noProof/>
        <w:lang w:val="ru"/>
      </w:rPr>
      <w:fldChar w:fldCharType="end"/>
    </w:r>
  </w:p>
  <w:p w14:paraId="3A07B90C" w14:textId="77777777" w:rsidR="007D08B9" w:rsidRDefault="007D0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05AA6" w14:textId="77777777" w:rsidR="007D08B9" w:rsidRDefault="007D08B9" w:rsidP="007D08B9">
    <w:pPr>
      <w:jc w:val="right"/>
      <w:rPr>
        <w:rFonts w:asciiTheme="minorBidi" w:hAnsiTheme="minorBidi" w:cstheme="minorBidi"/>
      </w:rPr>
    </w:pPr>
    <w:r>
      <w:rPr>
        <w:rFonts w:asciiTheme="minorBidi" w:hAnsiTheme="minorBidi" w:cstheme="minorBidi"/>
        <w:lang w:val="ru"/>
      </w:rPr>
      <w:t>IOC/A-31/3.1.Inf</w:t>
    </w:r>
  </w:p>
  <w:p w14:paraId="0953CA1F" w14:textId="1B7C3F63" w:rsidR="007D08B9" w:rsidRDefault="007D08B9" w:rsidP="007D08B9">
    <w:pPr>
      <w:ind w:firstLine="7419"/>
      <w:rPr>
        <w:rFonts w:asciiTheme="minorBidi" w:hAnsiTheme="minorBidi" w:cstheme="minorBidi"/>
      </w:rPr>
    </w:pPr>
    <w:r>
      <w:rPr>
        <w:rFonts w:asciiTheme="minorBidi" w:hAnsiTheme="minorBidi" w:cstheme="minorBidi"/>
        <w:lang w:val="ru"/>
      </w:rPr>
      <w:t xml:space="preserve">Страница </w:t>
    </w:r>
    <w:r>
      <w:rPr>
        <w:rFonts w:asciiTheme="minorBidi" w:hAnsiTheme="minorBidi" w:cstheme="minorBidi"/>
        <w:lang w:val="ru"/>
      </w:rPr>
      <w:fldChar w:fldCharType="begin"/>
    </w:r>
    <w:r>
      <w:rPr>
        <w:rFonts w:asciiTheme="minorBidi" w:hAnsiTheme="minorBidi" w:cstheme="minorBidi"/>
        <w:lang w:val="ru"/>
      </w:rPr>
      <w:instrText xml:space="preserve"> PAGE   \* MERGEFORMAT </w:instrText>
    </w:r>
    <w:r>
      <w:rPr>
        <w:rFonts w:asciiTheme="minorBidi" w:hAnsiTheme="minorBidi" w:cstheme="minorBidi"/>
        <w:lang w:val="ru"/>
      </w:rPr>
      <w:fldChar w:fldCharType="separate"/>
    </w:r>
    <w:r>
      <w:rPr>
        <w:rFonts w:asciiTheme="minorBidi" w:hAnsiTheme="minorBidi" w:cstheme="minorBidi"/>
        <w:noProof/>
        <w:lang w:val="ru"/>
      </w:rPr>
      <w:t>1</w:t>
    </w:r>
    <w:r>
      <w:rPr>
        <w:rFonts w:asciiTheme="minorBidi" w:hAnsiTheme="minorBidi" w:cstheme="minorBidi"/>
        <w:noProof/>
        <w:lang w:val="ru"/>
      </w:rPr>
      <w:fldChar w:fldCharType="end"/>
    </w:r>
  </w:p>
  <w:p w14:paraId="67AC6B0F" w14:textId="77777777" w:rsidR="007D08B9" w:rsidRDefault="007D08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6CB1F" w14:textId="77777777" w:rsidR="007D08B9" w:rsidRDefault="007D08B9" w:rsidP="007D08B9">
    <w:pPr>
      <w:jc w:val="right"/>
      <w:rPr>
        <w:rFonts w:asciiTheme="minorBidi" w:hAnsiTheme="minorBidi" w:cstheme="minorBidi"/>
      </w:rPr>
    </w:pPr>
    <w:r>
      <w:rPr>
        <w:rFonts w:asciiTheme="minorBidi" w:hAnsiTheme="minorBidi" w:cstheme="minorBidi"/>
        <w:lang w:val="ru"/>
      </w:rPr>
      <w:t>IOC/A-31/3.1.Inf</w:t>
    </w:r>
  </w:p>
  <w:p w14:paraId="2B488892" w14:textId="77777777" w:rsidR="007D08B9" w:rsidRDefault="007D0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F86DA5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5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92"/>
    <w:rsid w:val="00035365"/>
    <w:rsid w:val="000959FE"/>
    <w:rsid w:val="00096D7E"/>
    <w:rsid w:val="000E0D03"/>
    <w:rsid w:val="0010376B"/>
    <w:rsid w:val="00110E83"/>
    <w:rsid w:val="00122AF6"/>
    <w:rsid w:val="00124EFA"/>
    <w:rsid w:val="001373C1"/>
    <w:rsid w:val="001F4AEC"/>
    <w:rsid w:val="00203DDF"/>
    <w:rsid w:val="002113A4"/>
    <w:rsid w:val="00227FC0"/>
    <w:rsid w:val="002515C6"/>
    <w:rsid w:val="00256067"/>
    <w:rsid w:val="002741AA"/>
    <w:rsid w:val="00280BDC"/>
    <w:rsid w:val="0028533C"/>
    <w:rsid w:val="002F0C18"/>
    <w:rsid w:val="00324EFE"/>
    <w:rsid w:val="00347C41"/>
    <w:rsid w:val="0036473C"/>
    <w:rsid w:val="003A2A0E"/>
    <w:rsid w:val="00405555"/>
    <w:rsid w:val="00406D42"/>
    <w:rsid w:val="004323AE"/>
    <w:rsid w:val="00472D3F"/>
    <w:rsid w:val="004A1085"/>
    <w:rsid w:val="004E108E"/>
    <w:rsid w:val="00506CE3"/>
    <w:rsid w:val="00506E0A"/>
    <w:rsid w:val="00532E2E"/>
    <w:rsid w:val="005C7015"/>
    <w:rsid w:val="005F066C"/>
    <w:rsid w:val="0060009D"/>
    <w:rsid w:val="006006B8"/>
    <w:rsid w:val="00645252"/>
    <w:rsid w:val="006478AD"/>
    <w:rsid w:val="00650219"/>
    <w:rsid w:val="00692F17"/>
    <w:rsid w:val="00695A70"/>
    <w:rsid w:val="006A29AC"/>
    <w:rsid w:val="006C0EB2"/>
    <w:rsid w:val="006D3D74"/>
    <w:rsid w:val="006E3B29"/>
    <w:rsid w:val="0074107E"/>
    <w:rsid w:val="00754257"/>
    <w:rsid w:val="007A1037"/>
    <w:rsid w:val="007D08B9"/>
    <w:rsid w:val="008133A0"/>
    <w:rsid w:val="0083569A"/>
    <w:rsid w:val="00856AFD"/>
    <w:rsid w:val="00893A92"/>
    <w:rsid w:val="008C24A2"/>
    <w:rsid w:val="008F3911"/>
    <w:rsid w:val="00991453"/>
    <w:rsid w:val="00A2186B"/>
    <w:rsid w:val="00A9204E"/>
    <w:rsid w:val="00AB5D3E"/>
    <w:rsid w:val="00AB65E5"/>
    <w:rsid w:val="00B17C46"/>
    <w:rsid w:val="00B24055"/>
    <w:rsid w:val="00B42CC6"/>
    <w:rsid w:val="00B81F72"/>
    <w:rsid w:val="00C1137D"/>
    <w:rsid w:val="00C81F5E"/>
    <w:rsid w:val="00CC4E4B"/>
    <w:rsid w:val="00CC7C48"/>
    <w:rsid w:val="00E03C40"/>
    <w:rsid w:val="00E85C0C"/>
    <w:rsid w:val="00EB18D7"/>
    <w:rsid w:val="00F034B3"/>
    <w:rsid w:val="00F06118"/>
    <w:rsid w:val="00F44EAE"/>
    <w:rsid w:val="00F718F4"/>
    <w:rsid w:val="00F73C7D"/>
    <w:rsid w:val="00F9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2A8C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21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021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50219"/>
    <w:rPr>
      <w:rFonts w:ascii="Calibri" w:hAnsi="Calibri" w:cs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650219"/>
    <w:rPr>
      <w:rFonts w:ascii="Calibri" w:hAnsi="Calibri" w:cs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19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021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0219"/>
    <w:rPr>
      <w:rFonts w:ascii="Calibri" w:hAnsi="Calibri" w:cs="Calibri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0219"/>
    <w:rPr>
      <w:rFonts w:ascii="Calibri" w:hAnsi="Calibri" w:cs="Calibri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21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219"/>
    <w:rPr>
      <w:rFonts w:ascii="Calibri" w:hAnsi="Calibri" w:cs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0219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021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0219"/>
    <w:rPr>
      <w:rFonts w:ascii="Calibri" w:hAnsi="Calibri" w:cs="Calibr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0219"/>
    <w:rPr>
      <w:rFonts w:ascii="Calibri Light" w:eastAsiaTheme="majorEastAsia" w:hAnsi="Calibri Light" w:cs="Calibri Light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21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219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021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0219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0219"/>
    <w:rPr>
      <w:rFonts w:ascii="Consolas" w:hAnsi="Consolas" w:cs="Calibri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021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0219"/>
    <w:rPr>
      <w:rFonts w:ascii="Consolas" w:hAnsi="Consolas" w:cs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50219"/>
  </w:style>
  <w:style w:type="character" w:customStyle="1" w:styleId="HeaderChar">
    <w:name w:val="Header Char"/>
    <w:basedOn w:val="DefaultParagraphFont"/>
    <w:link w:val="Header"/>
    <w:uiPriority w:val="99"/>
    <w:rsid w:val="0065021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50219"/>
  </w:style>
  <w:style w:type="character" w:customStyle="1" w:styleId="FooterChar">
    <w:name w:val="Footer Char"/>
    <w:basedOn w:val="DefaultParagraphFont"/>
    <w:link w:val="Footer"/>
    <w:uiPriority w:val="99"/>
    <w:rsid w:val="00650219"/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styleId="Mention">
    <w:name w:val="Mention"/>
    <w:basedOn w:val="DefaultParagraphFont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NoList"/>
    <w:uiPriority w:val="99"/>
    <w:semiHidden/>
    <w:unhideWhenUsed/>
    <w:rsid w:val="00650219"/>
    <w:pPr>
      <w:numPr>
        <w:numId w:val="25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5021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0219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650219"/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eProfessional">
    <w:name w:val="Table Professional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50219"/>
  </w:style>
  <w:style w:type="character" w:styleId="Hashtag">
    <w:name w:val="Hashtag"/>
    <w:basedOn w:val="DefaultParagraphFont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50219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50219"/>
  </w:style>
  <w:style w:type="character" w:styleId="EndnoteReference">
    <w:name w:val="endnote reference"/>
    <w:basedOn w:val="DefaultParagraphFont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ColorfulList">
    <w:name w:val="Colorful List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650219"/>
    <w:pPr>
      <w:numPr>
        <w:numId w:val="26"/>
      </w:numPr>
    </w:pPr>
  </w:style>
  <w:style w:type="table" w:styleId="PlainTable1">
    <w:name w:val="Plain Table 1"/>
    <w:basedOn w:val="Table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650219"/>
    <w:rPr>
      <w:rFonts w:ascii="Calibri" w:hAnsi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50219"/>
  </w:style>
  <w:style w:type="character" w:customStyle="1" w:styleId="DateChar">
    <w:name w:val="Date Char"/>
    <w:basedOn w:val="DefaultParagraphFont"/>
    <w:link w:val="Date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650219"/>
    <w:rPr>
      <w:rFonts w:ascii="Calibri" w:hAnsi="Calibri" w:cs="Calibr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6502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219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02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0219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021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0219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021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0219"/>
    <w:rPr>
      <w:rFonts w:ascii="Calibri" w:hAnsi="Calibri" w:cs="Calibr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5021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50219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5021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50219"/>
    <w:rPr>
      <w:rFonts w:ascii="Calibri" w:hAnsi="Calibri" w:cs="Calibri"/>
    </w:rPr>
  </w:style>
  <w:style w:type="paragraph" w:styleId="NormalIndent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5021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50219"/>
    <w:rPr>
      <w:rFonts w:ascii="Calibri" w:hAnsi="Calibri" w:cs="Calibri"/>
    </w:rPr>
  </w:style>
  <w:style w:type="table" w:styleId="TableContemporary">
    <w:name w:val="Table Contemporary"/>
    <w:basedOn w:val="Table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5021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50219"/>
    <w:rPr>
      <w:rFonts w:ascii="Calibri" w:hAnsi="Calibri" w:cs="Calibr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502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0219"/>
    <w:rPr>
      <w:rFonts w:ascii="Calibri" w:hAnsi="Calibri" w:cs="Calibri"/>
    </w:rPr>
  </w:style>
  <w:style w:type="table" w:styleId="TableColumns1">
    <w:name w:val="Table Columns 1"/>
    <w:basedOn w:val="Table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65021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50219"/>
    <w:rPr>
      <w:rFonts w:ascii="Calibri" w:hAnsi="Calibri" w:cs="Calibri"/>
    </w:rPr>
  </w:style>
  <w:style w:type="table" w:styleId="TableSimple1">
    <w:name w:val="Table Simple 1"/>
    <w:basedOn w:val="Table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50219"/>
    <w:rPr>
      <w:rFonts w:ascii="Calibri Light" w:eastAsiaTheme="majorEastAsia" w:hAnsi="Calibri Light" w:cs="Calibri Light"/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65021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50219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650219"/>
    <w:rPr>
      <w:rFonts w:ascii="Calibri" w:hAnsi="Calibri" w:cs="Calibri"/>
    </w:rPr>
  </w:style>
  <w:style w:type="table" w:styleId="Table3Deffects1">
    <w:name w:val="Table 3D effects 1"/>
    <w:basedOn w:val="Table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5021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esdoc.unesco.org/ark:/48223/pf0000375147.locale=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esdoc.unesco.org/ark:/48223/pf0000139345.locale=en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ioc.unesco.org/news/ioc-assembly-31-thematic-webina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tro\AppData\Local\Microsoft\Office\16.0\DTS\es-ES%7bBCF6CD4A-FEF7-4F03-853A-E19095C70378%7d\%7b180AE605-C469-440F-8C98-0A668541792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F6864887-B8DC-4D7B-909E-88D08BAE65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{180AE605-C469-440F-8C98-0A668541792E}tf02786999_win32.dotx</Template>
  <TotalTime>0</TotalTime>
  <Pages>4</Pages>
  <Words>1937</Words>
  <Characters>11047</Characters>
  <Application>Microsoft Office Word</Application>
  <DocSecurity>4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2021-06-23T07:25:00Z</dcterms:created>
  <dcterms:modified xsi:type="dcterms:W3CDTF">2021-06-23T07:25:00Z</dcterms:modified>
</cp:coreProperties>
</file>