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1B054" w14:textId="77777777" w:rsidR="00E75CF6" w:rsidRPr="006D3998" w:rsidRDefault="00E75C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5F33BC" w:rsidRPr="00897659" w14:paraId="749624B6" w14:textId="77777777">
        <w:trPr>
          <w:jc w:val="center"/>
        </w:trPr>
        <w:tc>
          <w:tcPr>
            <w:tcW w:w="7654" w:type="dxa"/>
            <w:tcMar>
              <w:top w:w="170" w:type="dxa"/>
              <w:left w:w="170" w:type="dxa"/>
              <w:bottom w:w="170" w:type="dxa"/>
              <w:right w:w="170" w:type="dxa"/>
            </w:tcMar>
          </w:tcPr>
          <w:p w14:paraId="7BF677CE" w14:textId="77777777" w:rsidR="00467E3F" w:rsidRPr="00897659" w:rsidRDefault="00897659" w:rsidP="00853565">
            <w:pPr>
              <w:pStyle w:val="Marge"/>
              <w:jc w:val="center"/>
              <w:rPr>
                <w:rFonts w:cs="Arial"/>
                <w:szCs w:val="22"/>
              </w:rPr>
            </w:pPr>
            <w:r w:rsidRPr="00897659">
              <w:rPr>
                <w:rFonts w:cs="Arial"/>
                <w:szCs w:val="22"/>
                <w:u w:val="single"/>
                <w:lang w:val="ru"/>
              </w:rPr>
              <w:t>Резюме</w:t>
            </w:r>
          </w:p>
          <w:p w14:paraId="395F0C41" w14:textId="77777777" w:rsidR="00737A18" w:rsidRPr="00897659" w:rsidRDefault="00897659" w:rsidP="0037249C">
            <w:pPr>
              <w:pStyle w:val="Marge"/>
              <w:rPr>
                <w:rFonts w:cs="Arial"/>
                <w:szCs w:val="22"/>
              </w:rPr>
            </w:pPr>
            <w:r w:rsidRPr="00897659">
              <w:rPr>
                <w:rFonts w:cs="Arial"/>
                <w:szCs w:val="22"/>
                <w:lang w:val="ru"/>
              </w:rPr>
              <w:t>В данном документе представлен краткий доклад Председателя Межсессионной финансовой консультативной группы (МФКГ) о работе, проделанной в межсессионный период с апреля по июнь 2021 года.</w:t>
            </w:r>
          </w:p>
          <w:p w14:paraId="0E65DB2E" w14:textId="77777777" w:rsidR="00515584" w:rsidRPr="00897659" w:rsidRDefault="00897659" w:rsidP="00980BE0">
            <w:pPr>
              <w:pStyle w:val="Marge"/>
              <w:rPr>
                <w:rFonts w:cs="Arial"/>
                <w:szCs w:val="22"/>
              </w:rPr>
            </w:pPr>
            <w:r w:rsidRPr="00897659">
              <w:rPr>
                <w:rFonts w:cs="Arial"/>
                <w:u w:val="single"/>
                <w:lang w:val="ru"/>
              </w:rPr>
              <w:t>Предлагаемое решение</w:t>
            </w:r>
            <w:r w:rsidRPr="00897659">
              <w:rPr>
                <w:rFonts w:cs="Arial"/>
                <w:lang w:val="ru"/>
              </w:rPr>
              <w:t xml:space="preserve"> представлено во Втором пересмотренном документе </w:t>
            </w:r>
            <w:r w:rsidRPr="00897659">
              <w:rPr>
                <w:rFonts w:cs="Arial"/>
                <w:lang w:val="ru"/>
              </w:rPr>
              <w:t>о принятых и предлагаемых мерах (</w:t>
            </w:r>
            <w:hyperlink r:id="rId8" w:history="1">
              <w:r w:rsidRPr="00897659">
                <w:rPr>
                  <w:rStyle w:val="Hyperlink"/>
                  <w:rFonts w:cs="Arial"/>
                  <w:lang w:val="ru"/>
                </w:rPr>
                <w:t>IOC/A-31/AP Rev.</w:t>
              </w:r>
            </w:hyperlink>
            <w:r w:rsidRPr="00897659">
              <w:rPr>
                <w:rStyle w:val="Hyperlink"/>
                <w:rFonts w:cs="Arial"/>
                <w:lang w:val="ru"/>
              </w:rPr>
              <w:t>2</w:t>
            </w:r>
            <w:r w:rsidRPr="00897659">
              <w:rPr>
                <w:rFonts w:cs="Arial"/>
                <w:lang w:val="ru"/>
              </w:rPr>
              <w:t xml:space="preserve">) 31-й сессии Ассамблеи МОК под номером </w:t>
            </w:r>
            <w:r w:rsidRPr="00897659">
              <w:rPr>
                <w:rFonts w:cs="Arial"/>
                <w:color w:val="000000"/>
                <w:lang w:val="ru"/>
              </w:rPr>
              <w:t>IOC/A-31/Реш.4.3</w:t>
            </w:r>
            <w:r w:rsidRPr="00897659">
              <w:rPr>
                <w:rFonts w:cs="Arial"/>
                <w:lang w:val="ru"/>
              </w:rPr>
              <w:t>.</w:t>
            </w:r>
          </w:p>
        </w:tc>
      </w:tr>
    </w:tbl>
    <w:p w14:paraId="3F0B5261" w14:textId="77777777" w:rsidR="00746B89" w:rsidRPr="00897659" w:rsidRDefault="00746B89" w:rsidP="005C7A36">
      <w:pPr>
        <w:pStyle w:val="Heading3"/>
        <w:sectPr w:rsidR="00746B89" w:rsidRPr="00897659" w:rsidSect="003F718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134" w:bottom="1134" w:left="1134" w:header="709" w:footer="680" w:gutter="0"/>
          <w:pgNumType w:start="1"/>
          <w:cols w:space="708"/>
          <w:titlePg/>
          <w:docGrid w:linePitch="360"/>
        </w:sectPr>
      </w:pPr>
    </w:p>
    <w:p w14:paraId="30641B3F" w14:textId="77777777" w:rsidR="0061723A" w:rsidRPr="00897659" w:rsidRDefault="00897659" w:rsidP="00897659">
      <w:pPr>
        <w:numPr>
          <w:ilvl w:val="0"/>
          <w:numId w:val="33"/>
        </w:numPr>
        <w:tabs>
          <w:tab w:val="clear" w:pos="567"/>
          <w:tab w:val="left" w:pos="709"/>
        </w:tabs>
        <w:spacing w:after="240"/>
        <w:ind w:left="0" w:firstLine="0"/>
        <w:jc w:val="both"/>
        <w:rPr>
          <w:rStyle w:val="Hyperlink"/>
          <w:rFonts w:asciiTheme="minorBidi" w:hAnsiTheme="minorBidi" w:cstheme="minorBidi"/>
          <w:snapToGrid/>
          <w:color w:val="auto"/>
          <w:szCs w:val="22"/>
          <w:u w:val="none"/>
        </w:rPr>
      </w:pPr>
      <w:r w:rsidRPr="00897659">
        <w:rPr>
          <w:rFonts w:asciiTheme="minorBidi" w:hAnsiTheme="minorBidi" w:cstheme="minorBidi"/>
          <w:snapToGrid/>
          <w:lang w:val="ru"/>
        </w:rPr>
        <w:lastRenderedPageBreak/>
        <w:t xml:space="preserve">В соответствии с Резолюцией </w:t>
      </w:r>
      <w:hyperlink r:id="rId15" w:history="1">
        <w:r w:rsidRPr="00897659">
          <w:rPr>
            <w:rStyle w:val="Hyperlink"/>
            <w:rFonts w:asciiTheme="minorBidi" w:hAnsiTheme="minorBidi" w:cstheme="minorBidi"/>
            <w:snapToGrid/>
            <w:lang w:val="ru"/>
          </w:rPr>
          <w:t>EC-53/2</w:t>
        </w:r>
      </w:hyperlink>
      <w:r w:rsidRPr="00897659">
        <w:rPr>
          <w:rFonts w:asciiTheme="minorBidi" w:hAnsiTheme="minorBidi" w:cstheme="minorBidi"/>
          <w:snapToGrid/>
          <w:lang w:val="ru"/>
        </w:rPr>
        <w:t xml:space="preserve"> Межсессионная финансовая консультативная группа (МФКГ) открытого состава была восстановлена путем обращенного к государствам-членам запроса о представлении кандидатур в соответствии с </w:t>
      </w:r>
      <w:hyperlink r:id="rId16" w:history="1">
        <w:r w:rsidRPr="00897659">
          <w:rPr>
            <w:rStyle w:val="Hyperlink"/>
            <w:rFonts w:asciiTheme="minorBidi" w:hAnsiTheme="minorBidi" w:cstheme="minorBidi"/>
            <w:snapToGrid/>
            <w:lang w:val="ru"/>
          </w:rPr>
          <w:t>Циркулярным пись</w:t>
        </w:r>
        <w:r w:rsidRPr="00897659">
          <w:rPr>
            <w:rStyle w:val="Hyperlink"/>
            <w:rFonts w:asciiTheme="minorBidi" w:hAnsiTheme="minorBidi" w:cstheme="minorBidi"/>
            <w:snapToGrid/>
            <w:lang w:val="ru"/>
          </w:rPr>
          <w:t>мом МОК № 2837</w:t>
        </w:r>
      </w:hyperlink>
      <w:r w:rsidRPr="00897659">
        <w:rPr>
          <w:rFonts w:asciiTheme="minorBidi" w:hAnsiTheme="minorBidi" w:cstheme="minorBidi"/>
          <w:snapToGrid/>
          <w:lang w:val="ru"/>
        </w:rPr>
        <w:t xml:space="preserve"> от 18 марта 2021 года. Двадцать два (22) государства-члена — </w:t>
      </w:r>
      <w:r w:rsidRPr="00897659">
        <w:rPr>
          <w:rStyle w:val="Hyperlink"/>
          <w:color w:val="auto"/>
          <w:u w:val="none"/>
          <w:lang w:val="ru"/>
        </w:rPr>
        <w:t>Австралия, Аргентина, Бангладеш, Бельгия, Бенин, Бразилия, Великобритания, Германия, Египет, Иордания, Канада, Китай, Кувейт, Мадагаскар, Норвегия, Португалия, Российская Федерация</w:t>
      </w:r>
      <w:r w:rsidRPr="00897659">
        <w:rPr>
          <w:rStyle w:val="Hyperlink"/>
          <w:color w:val="auto"/>
          <w:u w:val="none"/>
          <w:lang w:val="ru"/>
        </w:rPr>
        <w:t>, США, Турция, Филиппины, Франция и Япония — выдвинули представителей, которые вошли в основной состав Группы под председательством заместителя Председателя МОК Карима Хильми (Марокко).</w:t>
      </w:r>
    </w:p>
    <w:p w14:paraId="0B7608B8" w14:textId="77777777" w:rsidR="00927117" w:rsidRPr="00897659" w:rsidRDefault="00897659" w:rsidP="00897659">
      <w:pPr>
        <w:numPr>
          <w:ilvl w:val="0"/>
          <w:numId w:val="33"/>
        </w:numPr>
        <w:tabs>
          <w:tab w:val="clear" w:pos="567"/>
          <w:tab w:val="left" w:pos="709"/>
        </w:tabs>
        <w:spacing w:after="240"/>
        <w:ind w:left="0" w:firstLine="0"/>
        <w:jc w:val="both"/>
        <w:rPr>
          <w:rFonts w:asciiTheme="minorBidi" w:hAnsiTheme="minorBidi" w:cstheme="minorBidi"/>
          <w:snapToGrid/>
        </w:rPr>
      </w:pPr>
      <w:r w:rsidRPr="00897659">
        <w:rPr>
          <w:rFonts w:asciiTheme="minorBidi" w:hAnsiTheme="minorBidi" w:cstheme="minorBidi"/>
          <w:snapToGrid/>
          <w:lang w:val="ru"/>
        </w:rPr>
        <w:t>Как обычно, Группа начала работу по переписке и официально оформила св</w:t>
      </w:r>
      <w:r w:rsidRPr="00897659">
        <w:rPr>
          <w:rFonts w:asciiTheme="minorBidi" w:hAnsiTheme="minorBidi" w:cstheme="minorBidi"/>
          <w:snapToGrid/>
          <w:lang w:val="ru"/>
        </w:rPr>
        <w:t>ои выводы на совещании, состоявшемся в режиме онлайн 10 июня 2021 года.</w:t>
      </w:r>
    </w:p>
    <w:p w14:paraId="4A394399" w14:textId="77777777" w:rsidR="001A2189" w:rsidRPr="00897659" w:rsidRDefault="00897659" w:rsidP="00897659">
      <w:pPr>
        <w:numPr>
          <w:ilvl w:val="0"/>
          <w:numId w:val="33"/>
        </w:numPr>
        <w:tabs>
          <w:tab w:val="clear" w:pos="567"/>
          <w:tab w:val="left" w:pos="709"/>
        </w:tabs>
        <w:spacing w:after="240"/>
        <w:ind w:left="0" w:firstLine="0"/>
        <w:jc w:val="both"/>
        <w:rPr>
          <w:rFonts w:asciiTheme="minorBidi" w:hAnsiTheme="minorBidi" w:cstheme="minorBidi"/>
          <w:snapToGrid/>
        </w:rPr>
      </w:pPr>
      <w:r w:rsidRPr="00897659">
        <w:rPr>
          <w:rFonts w:asciiTheme="minorBidi" w:hAnsiTheme="minorBidi"/>
          <w:snapToGrid/>
          <w:lang w:val="ru"/>
        </w:rPr>
        <w:t xml:space="preserve">Сосредоточив свое внимание на вопросах, которые должны быть охвачены проектом резолюции </w:t>
      </w:r>
      <w:r w:rsidRPr="00897659">
        <w:rPr>
          <w:color w:val="000000"/>
          <w:szCs w:val="22"/>
          <w:u w:val="single"/>
          <w:lang w:val="ru"/>
        </w:rPr>
        <w:t>A-31/[4.4]</w:t>
      </w:r>
      <w:r w:rsidRPr="00897659">
        <w:rPr>
          <w:rFonts w:asciiTheme="minorBidi" w:hAnsiTheme="minorBidi"/>
          <w:snapToGrid/>
          <w:lang w:val="ru"/>
        </w:rPr>
        <w:t>, в соответствии с поручением Исполнительного совета, данным на его 53-й сессии, Групп</w:t>
      </w:r>
      <w:r w:rsidRPr="00897659">
        <w:rPr>
          <w:rFonts w:asciiTheme="minorBidi" w:hAnsiTheme="minorBidi"/>
          <w:snapToGrid/>
          <w:lang w:val="ru"/>
        </w:rPr>
        <w:t>а разделила свои обсуждения на следующие четыре основные части.</w:t>
      </w:r>
    </w:p>
    <w:p w14:paraId="11E32CBC" w14:textId="77777777" w:rsidR="005B34F3" w:rsidRPr="00897659" w:rsidRDefault="00897659" w:rsidP="00897659">
      <w:pPr>
        <w:pStyle w:val="ListParagraph"/>
        <w:numPr>
          <w:ilvl w:val="0"/>
          <w:numId w:val="30"/>
        </w:numPr>
        <w:tabs>
          <w:tab w:val="clear" w:pos="709"/>
          <w:tab w:val="left" w:pos="360"/>
        </w:tabs>
        <w:snapToGrid w:val="0"/>
        <w:spacing w:after="240"/>
        <w:contextualSpacing w:val="0"/>
        <w:jc w:val="center"/>
        <w:rPr>
          <w:rStyle w:val="Hyperlink"/>
          <w:rFonts w:asciiTheme="minorBidi" w:hAnsiTheme="minorBidi" w:cstheme="minorBidi"/>
          <w:b/>
          <w:iCs/>
          <w:color w:val="auto"/>
          <w:szCs w:val="22"/>
          <w:u w:val="none"/>
        </w:rPr>
      </w:pPr>
      <w:r w:rsidRPr="00897659">
        <w:rPr>
          <w:rFonts w:asciiTheme="minorBidi" w:eastAsia="Calibri" w:hAnsiTheme="minorBidi" w:cstheme="minorBidi"/>
          <w:b/>
          <w:bCs/>
          <w:sz w:val="22"/>
          <w:szCs w:val="22"/>
          <w:lang w:val="ru"/>
        </w:rPr>
        <w:t>Исполнение бюджета на 2020–2021 гг. по состоянию на 31 декабря 2020 г. и Финансовое положение Специального счета МОК по состоянию на конец 2020 г. и прогноз на 2021 г.</w:t>
      </w:r>
    </w:p>
    <w:p w14:paraId="5337EE34" w14:textId="77777777" w:rsidR="00927117" w:rsidRPr="00897659" w:rsidRDefault="00897659" w:rsidP="00897659">
      <w:pPr>
        <w:numPr>
          <w:ilvl w:val="0"/>
          <w:numId w:val="33"/>
        </w:numPr>
        <w:tabs>
          <w:tab w:val="clear" w:pos="567"/>
          <w:tab w:val="left" w:pos="709"/>
        </w:tabs>
        <w:spacing w:after="240"/>
        <w:ind w:left="0" w:firstLine="0"/>
        <w:jc w:val="both"/>
        <w:rPr>
          <w:rStyle w:val="Hyperlink"/>
          <w:color w:val="auto"/>
          <w:u w:val="none"/>
        </w:rPr>
      </w:pPr>
      <w:r w:rsidRPr="00897659">
        <w:rPr>
          <w:rStyle w:val="Hyperlink"/>
          <w:color w:val="auto"/>
          <w:u w:val="none"/>
          <w:lang w:val="ru"/>
        </w:rPr>
        <w:t>Группа приняла к сведению изменения в представлении, поскольку информация теперь предста</w:t>
      </w:r>
      <w:r w:rsidRPr="00897659">
        <w:rPr>
          <w:rStyle w:val="Hyperlink"/>
          <w:color w:val="auto"/>
          <w:u w:val="none"/>
          <w:lang w:val="ru"/>
        </w:rPr>
        <w:t xml:space="preserve">вляется в виде двух </w:t>
      </w:r>
      <w:r w:rsidRPr="00897659">
        <w:rPr>
          <w:rFonts w:asciiTheme="minorBidi" w:hAnsiTheme="minorBidi" w:cstheme="minorBidi"/>
          <w:snapToGrid/>
          <w:lang w:val="ru"/>
        </w:rPr>
        <w:t xml:space="preserve">документов — </w:t>
      </w:r>
      <w:hyperlink r:id="rId17" w:history="1">
        <w:r w:rsidRPr="00897659">
          <w:rPr>
            <w:rStyle w:val="Hyperlink"/>
            <w:rFonts w:asciiTheme="minorBidi" w:eastAsia="Calibri" w:hAnsiTheme="minorBidi" w:cstheme="minorBidi"/>
            <w:szCs w:val="22"/>
            <w:lang w:val="ru"/>
          </w:rPr>
          <w:t>IOC/A-31/3.2.Doc(2)</w:t>
        </w:r>
      </w:hyperlink>
      <w:r w:rsidRPr="00897659">
        <w:rPr>
          <w:rFonts w:asciiTheme="minorBidi" w:hAnsiTheme="minorBidi" w:cstheme="minorBidi"/>
          <w:szCs w:val="22"/>
          <w:lang w:val="ru"/>
        </w:rPr>
        <w:t xml:space="preserve"> и </w:t>
      </w:r>
      <w:hyperlink r:id="rId18" w:history="1">
        <w:r w:rsidRPr="00897659">
          <w:rPr>
            <w:rStyle w:val="Hyperlink"/>
            <w:rFonts w:asciiTheme="minorBidi" w:eastAsia="Calibri" w:hAnsiTheme="minorBidi" w:cstheme="minorBidi"/>
            <w:szCs w:val="22"/>
            <w:lang w:val="ru"/>
          </w:rPr>
          <w:t>IOC/A-31/3.2.Doc(3)</w:t>
        </w:r>
      </w:hyperlink>
      <w:r w:rsidRPr="00897659">
        <w:rPr>
          <w:rFonts w:asciiTheme="minorBidi" w:hAnsiTheme="minorBidi" w:cstheme="minorBidi"/>
          <w:szCs w:val="22"/>
          <w:lang w:val="ru"/>
        </w:rPr>
        <w:t xml:space="preserve"> — в</w:t>
      </w:r>
      <w:r w:rsidRPr="00897659">
        <w:rPr>
          <w:rStyle w:val="Hyperlink"/>
          <w:color w:val="auto"/>
          <w:u w:val="none"/>
          <w:lang w:val="ru"/>
        </w:rPr>
        <w:t xml:space="preserve"> целях лучшего соответствия подходу, принятому ЮНЕСКО в ее докладах по финансовому управлению. </w:t>
      </w:r>
    </w:p>
    <w:p w14:paraId="23BA2CCA" w14:textId="77777777" w:rsidR="00BA799E" w:rsidRPr="00897659" w:rsidRDefault="00897659" w:rsidP="00897659">
      <w:pPr>
        <w:numPr>
          <w:ilvl w:val="0"/>
          <w:numId w:val="33"/>
        </w:numPr>
        <w:tabs>
          <w:tab w:val="clear" w:pos="567"/>
          <w:tab w:val="left" w:pos="709"/>
        </w:tabs>
        <w:spacing w:after="240"/>
        <w:ind w:left="0" w:firstLine="0"/>
        <w:jc w:val="both"/>
        <w:rPr>
          <w:rFonts w:asciiTheme="minorBidi" w:eastAsia="Calibri" w:hAnsiTheme="minorBidi" w:cstheme="minorBidi"/>
          <w:b/>
          <w:szCs w:val="22"/>
        </w:rPr>
      </w:pPr>
      <w:r w:rsidRPr="00897659">
        <w:rPr>
          <w:rFonts w:asciiTheme="minorBidi" w:eastAsia="Calibri" w:hAnsiTheme="minorBidi" w:cstheme="minorBidi"/>
          <w:szCs w:val="22"/>
          <w:lang w:val="ru"/>
        </w:rPr>
        <w:t xml:space="preserve">Отметив несколько более низкие, чем обычно, темпы выполнения в первый год двухлетнего периода 2020–2021 гг. в связи с осуществлением работы в условиях пандемии </w:t>
      </w:r>
      <w:r w:rsidRPr="00897659">
        <w:rPr>
          <w:rFonts w:asciiTheme="minorBidi" w:eastAsia="Calibri" w:hAnsiTheme="minorBidi" w:cstheme="minorBidi"/>
          <w:szCs w:val="22"/>
          <w:lang w:val="ru"/>
        </w:rPr>
        <w:t>COVID-19, МФКГ сообщила, что Секретариат намерен полностью выполнить двухлетнюю программу работы к концу 2021 года.</w:t>
      </w:r>
    </w:p>
    <w:p w14:paraId="38550A70" w14:textId="77777777" w:rsidR="00BA799E" w:rsidRPr="00897659" w:rsidRDefault="00897659" w:rsidP="00897659">
      <w:pPr>
        <w:numPr>
          <w:ilvl w:val="0"/>
          <w:numId w:val="33"/>
        </w:numPr>
        <w:tabs>
          <w:tab w:val="clear" w:pos="567"/>
          <w:tab w:val="left" w:pos="709"/>
        </w:tabs>
        <w:spacing w:after="240"/>
        <w:ind w:left="0" w:firstLine="0"/>
        <w:jc w:val="both"/>
        <w:rPr>
          <w:rStyle w:val="Hyperlink"/>
          <w:i/>
          <w:color w:val="auto"/>
          <w:u w:val="none"/>
        </w:rPr>
      </w:pPr>
      <w:r w:rsidRPr="00897659">
        <w:rPr>
          <w:rFonts w:asciiTheme="minorBidi" w:hAnsiTheme="minorBidi" w:cstheme="minorBidi"/>
          <w:szCs w:val="22"/>
          <w:lang w:val="ru"/>
        </w:rPr>
        <w:t xml:space="preserve"> Группа высказала удовлетворение тем, что целевые показатели мобилизации внебюджетных ресурсов, принятые на двухлетний период 2020–2021 гг.,</w:t>
      </w:r>
      <w:r w:rsidRPr="00897659">
        <w:rPr>
          <w:rFonts w:asciiTheme="minorBidi" w:hAnsiTheme="minorBidi" w:cstheme="minorBidi"/>
          <w:szCs w:val="22"/>
          <w:lang w:val="ru"/>
        </w:rPr>
        <w:t xml:space="preserve"> были достигнуты в целом в объеме 76%, при этом отмечались значительные различия между функциональными областями деятельности Комиссии;</w:t>
      </w:r>
    </w:p>
    <w:p w14:paraId="317E4859" w14:textId="77777777" w:rsidR="005B34F3" w:rsidRPr="00897659" w:rsidRDefault="00897659" w:rsidP="00897659">
      <w:pPr>
        <w:pStyle w:val="ListParagraph"/>
        <w:numPr>
          <w:ilvl w:val="0"/>
          <w:numId w:val="30"/>
        </w:numPr>
        <w:tabs>
          <w:tab w:val="clear" w:pos="709"/>
          <w:tab w:val="left" w:pos="360"/>
        </w:tabs>
        <w:snapToGrid w:val="0"/>
        <w:spacing w:after="240"/>
        <w:contextualSpacing w:val="0"/>
        <w:jc w:val="center"/>
        <w:rPr>
          <w:rFonts w:asciiTheme="minorBidi" w:eastAsia="Calibri" w:hAnsiTheme="minorBidi" w:cstheme="minorBidi"/>
          <w:b/>
          <w:iCs/>
          <w:szCs w:val="22"/>
        </w:rPr>
      </w:pPr>
      <w:r w:rsidRPr="00897659">
        <w:rPr>
          <w:rFonts w:asciiTheme="minorBidi" w:eastAsia="Calibri" w:hAnsiTheme="minorBidi" w:cstheme="minorBidi"/>
          <w:b/>
          <w:bCs/>
          <w:sz w:val="22"/>
          <w:szCs w:val="22"/>
          <w:lang w:val="ru"/>
        </w:rPr>
        <w:t xml:space="preserve">Проект Среднесрочной стратегии на 2022–2029 гг. </w:t>
      </w:r>
    </w:p>
    <w:p w14:paraId="54AA5A1E" w14:textId="77777777" w:rsidR="009F394A" w:rsidRPr="00897659" w:rsidRDefault="00897659" w:rsidP="00897659">
      <w:pPr>
        <w:numPr>
          <w:ilvl w:val="0"/>
          <w:numId w:val="33"/>
        </w:numPr>
        <w:tabs>
          <w:tab w:val="clear" w:pos="567"/>
          <w:tab w:val="left" w:pos="709"/>
        </w:tabs>
        <w:spacing w:after="240"/>
        <w:ind w:left="0" w:firstLine="0"/>
        <w:jc w:val="both"/>
        <w:rPr>
          <w:rFonts w:asciiTheme="minorBidi" w:eastAsia="Calibri" w:hAnsiTheme="minorBidi" w:cstheme="minorBidi"/>
          <w:i/>
          <w:szCs w:val="22"/>
        </w:rPr>
      </w:pPr>
      <w:r w:rsidRPr="00897659">
        <w:rPr>
          <w:rFonts w:asciiTheme="minorBidi" w:hAnsiTheme="minorBidi" w:cstheme="minorBidi"/>
          <w:snapToGrid/>
          <w:lang w:val="ru"/>
        </w:rPr>
        <w:t>МФГК</w:t>
      </w:r>
      <w:r w:rsidRPr="00897659">
        <w:rPr>
          <w:rStyle w:val="Hyperlink"/>
          <w:color w:val="auto"/>
          <w:u w:val="none"/>
          <w:lang w:val="ru"/>
        </w:rPr>
        <w:t xml:space="preserve"> приветствовала пересмотренный вариант проекта Среднесрочной стратегии на 2022</w:t>
      </w:r>
      <w:r w:rsidRPr="00897659">
        <w:rPr>
          <w:rStyle w:val="Hyperlink"/>
          <w:b/>
          <w:bCs/>
          <w:color w:val="auto"/>
          <w:u w:val="none"/>
          <w:lang w:val="ru"/>
        </w:rPr>
        <w:t>–</w:t>
      </w:r>
      <w:r w:rsidRPr="00897659">
        <w:rPr>
          <w:rStyle w:val="Hyperlink"/>
          <w:color w:val="auto"/>
          <w:u w:val="none"/>
          <w:lang w:val="ru"/>
        </w:rPr>
        <w:t xml:space="preserve">2029 годы, представленный в документе </w:t>
      </w:r>
      <w:hyperlink r:id="rId19" w:history="1">
        <w:r w:rsidRPr="00897659">
          <w:rPr>
            <w:rStyle w:val="Hyperlink"/>
            <w:rFonts w:asciiTheme="minorBidi" w:eastAsia="Calibri" w:hAnsiTheme="minorBidi" w:cstheme="minorBidi"/>
            <w:szCs w:val="22"/>
            <w:lang w:val="ru"/>
          </w:rPr>
          <w:t>IOC/A-31/4.1.Doc(1)</w:t>
        </w:r>
      </w:hyperlink>
      <w:r w:rsidRPr="00897659">
        <w:rPr>
          <w:rFonts w:asciiTheme="minorBidi" w:hAnsiTheme="minorBidi" w:cstheme="minorBidi"/>
          <w:szCs w:val="22"/>
          <w:lang w:val="ru"/>
        </w:rPr>
        <w:t>, как соответствующий рекомендациям Исполнительного совета МОК, с</w:t>
      </w:r>
      <w:r w:rsidRPr="00897659">
        <w:rPr>
          <w:rFonts w:asciiTheme="minorBidi" w:hAnsiTheme="minorBidi" w:cstheme="minorBidi"/>
          <w:szCs w:val="22"/>
          <w:lang w:val="ru"/>
        </w:rPr>
        <w:t xml:space="preserve">одержащимся в </w:t>
      </w:r>
      <w:hyperlink r:id="rId20" w:history="1">
        <w:r w:rsidRPr="00897659">
          <w:rPr>
            <w:rStyle w:val="Hyperlink"/>
            <w:rFonts w:asciiTheme="minorBidi" w:eastAsia="Calibri" w:hAnsiTheme="minorBidi" w:cstheme="minorBidi"/>
            <w:szCs w:val="22"/>
            <w:lang w:val="ru"/>
          </w:rPr>
          <w:t>Резолюции EC-53/2</w:t>
        </w:r>
      </w:hyperlink>
      <w:r w:rsidRPr="00897659">
        <w:rPr>
          <w:rFonts w:asciiTheme="minorBidi" w:hAnsiTheme="minorBidi" w:cstheme="minorBidi"/>
          <w:szCs w:val="22"/>
          <w:lang w:val="ru"/>
        </w:rPr>
        <w:t>. При подготовке к обсуждению на Ассамблее члены МФГК сочли, что можно рассмотреть возможность внесения дальнейших изменений</w:t>
      </w:r>
      <w:r w:rsidRPr="00897659">
        <w:rPr>
          <w:rFonts w:asciiTheme="minorBidi" w:hAnsiTheme="minorBidi" w:cstheme="minorBidi"/>
          <w:szCs w:val="22"/>
          <w:lang w:val="ru"/>
        </w:rPr>
        <w:t>. Несколько государств-ч</w:t>
      </w:r>
      <w:r w:rsidRPr="00897659">
        <w:rPr>
          <w:rFonts w:asciiTheme="minorBidi" w:hAnsiTheme="minorBidi" w:cstheme="minorBidi"/>
          <w:szCs w:val="22"/>
          <w:lang w:val="ru"/>
        </w:rPr>
        <w:t xml:space="preserve">ленов обязались направить в Секретариат свои предлагаемые правки и комментарии с целью подготовки пересмотренного сводного документа для рассмотрения сессионным Комитетом по финансовым вопросам. </w:t>
      </w:r>
    </w:p>
    <w:p w14:paraId="26501E4C" w14:textId="77777777" w:rsidR="00927117" w:rsidRPr="00897659" w:rsidRDefault="00897659" w:rsidP="00897659">
      <w:pPr>
        <w:pStyle w:val="ListParagraph"/>
        <w:numPr>
          <w:ilvl w:val="0"/>
          <w:numId w:val="30"/>
        </w:numPr>
        <w:tabs>
          <w:tab w:val="clear" w:pos="709"/>
          <w:tab w:val="left" w:pos="360"/>
        </w:tabs>
        <w:snapToGrid w:val="0"/>
        <w:spacing w:after="240"/>
        <w:contextualSpacing w:val="0"/>
        <w:jc w:val="center"/>
        <w:rPr>
          <w:rFonts w:asciiTheme="minorBidi" w:eastAsia="Calibri" w:hAnsiTheme="minorBidi" w:cstheme="minorBidi"/>
          <w:b/>
          <w:iCs/>
          <w:sz w:val="22"/>
          <w:szCs w:val="22"/>
        </w:rPr>
      </w:pPr>
      <w:r w:rsidRPr="00897659">
        <w:rPr>
          <w:rFonts w:asciiTheme="minorBidi" w:eastAsia="Calibri" w:hAnsiTheme="minorBidi" w:cstheme="minorBidi"/>
          <w:b/>
          <w:bCs/>
          <w:sz w:val="22"/>
          <w:szCs w:val="22"/>
          <w:lang w:val="ru"/>
        </w:rPr>
        <w:t>Проект программы и бюджета на 2022–2025 гг.</w:t>
      </w:r>
    </w:p>
    <w:p w14:paraId="6AA70493" w14:textId="77777777" w:rsidR="005B34F3" w:rsidRPr="00897659" w:rsidRDefault="00897659" w:rsidP="00897659">
      <w:pPr>
        <w:numPr>
          <w:ilvl w:val="0"/>
          <w:numId w:val="33"/>
        </w:numPr>
        <w:tabs>
          <w:tab w:val="clear" w:pos="567"/>
          <w:tab w:val="left" w:pos="709"/>
        </w:tabs>
        <w:spacing w:after="240"/>
        <w:ind w:left="0" w:firstLine="0"/>
        <w:jc w:val="both"/>
        <w:rPr>
          <w:rFonts w:asciiTheme="minorBidi" w:eastAsia="Calibri" w:hAnsiTheme="minorBidi" w:cstheme="minorBidi"/>
          <w:szCs w:val="22"/>
        </w:rPr>
      </w:pPr>
      <w:r w:rsidRPr="00897659">
        <w:rPr>
          <w:rFonts w:asciiTheme="minorBidi" w:hAnsiTheme="minorBidi" w:cstheme="minorBidi"/>
          <w:szCs w:val="22"/>
          <w:lang w:val="ru"/>
        </w:rPr>
        <w:t>Что касается Про</w:t>
      </w:r>
      <w:r w:rsidRPr="00897659">
        <w:rPr>
          <w:rFonts w:asciiTheme="minorBidi" w:hAnsiTheme="minorBidi" w:cstheme="minorBidi"/>
          <w:szCs w:val="22"/>
          <w:lang w:val="ru"/>
        </w:rPr>
        <w:t xml:space="preserve">екта программы и бюджета на 2022–2025 годы и предложений по бюджету на первый </w:t>
      </w:r>
      <w:r w:rsidRPr="00897659">
        <w:rPr>
          <w:rFonts w:asciiTheme="minorBidi" w:hAnsiTheme="minorBidi" w:cstheme="minorBidi"/>
          <w:snapToGrid/>
          <w:lang w:val="ru"/>
        </w:rPr>
        <w:t>двухлетний период</w:t>
      </w:r>
      <w:r w:rsidRPr="00897659">
        <w:rPr>
          <w:rFonts w:asciiTheme="minorBidi" w:hAnsiTheme="minorBidi" w:cstheme="minorBidi"/>
          <w:szCs w:val="22"/>
          <w:lang w:val="ru"/>
        </w:rPr>
        <w:t xml:space="preserve"> 2022–2023 гг., представленных в документе </w:t>
      </w:r>
      <w:hyperlink r:id="rId21" w:history="1">
        <w:r w:rsidRPr="00897659">
          <w:rPr>
            <w:rStyle w:val="Hyperlink"/>
            <w:rFonts w:asciiTheme="minorBidi" w:eastAsia="Calibri" w:hAnsiTheme="minorBidi" w:cstheme="minorBidi"/>
            <w:szCs w:val="22"/>
            <w:lang w:val="ru"/>
          </w:rPr>
          <w:t>IOC/A-31/4.2.Doc</w:t>
        </w:r>
      </w:hyperlink>
      <w:r w:rsidRPr="00897659">
        <w:rPr>
          <w:rFonts w:asciiTheme="minorBidi" w:hAnsiTheme="minorBidi" w:cstheme="minorBidi"/>
          <w:szCs w:val="22"/>
          <w:lang w:val="ru"/>
        </w:rPr>
        <w:t>, Группа сочла, что они в целом соответствуют руководящим принципам, изложенным в резолюции EC-53/2, и целям высокого уровня, определенным в проекте Среднесрочной стратегии МОК на 2022–2029 гг. Помимо того, что Группа разделяет обеспокоенность по поводу со</w:t>
      </w:r>
      <w:r w:rsidRPr="00897659">
        <w:rPr>
          <w:rFonts w:asciiTheme="minorBidi" w:hAnsiTheme="minorBidi" w:cstheme="minorBidi"/>
          <w:szCs w:val="22"/>
          <w:lang w:val="ru"/>
        </w:rPr>
        <w:t xml:space="preserve">кращения бюджета регулярной программы, выделяемого на мероприятия, </w:t>
      </w:r>
      <w:r w:rsidRPr="00897659">
        <w:rPr>
          <w:rFonts w:asciiTheme="minorBidi" w:hAnsiTheme="minorBidi" w:cstheme="minorBidi"/>
          <w:szCs w:val="22"/>
          <w:lang w:val="ru"/>
        </w:rPr>
        <w:t xml:space="preserve">Группа выразила озабоченность по поводу амбициозности ресурсов, </w:t>
      </w:r>
      <w:r w:rsidRPr="00897659">
        <w:rPr>
          <w:rFonts w:asciiTheme="minorBidi" w:hAnsiTheme="minorBidi" w:cstheme="minorBidi"/>
          <w:szCs w:val="22"/>
          <w:lang w:val="ru"/>
        </w:rPr>
        <w:lastRenderedPageBreak/>
        <w:t xml:space="preserve">необходимых для достижения результатов, в частности, в отношении необходимости создания эффективной, действенной и устойчиво </w:t>
      </w:r>
      <w:r w:rsidRPr="00897659">
        <w:rPr>
          <w:rFonts w:asciiTheme="minorBidi" w:hAnsiTheme="minorBidi" w:cstheme="minorBidi"/>
          <w:szCs w:val="22"/>
          <w:lang w:val="ru"/>
        </w:rPr>
        <w:t>финансируемой Группы по координации Десятилетия.</w:t>
      </w:r>
    </w:p>
    <w:p w14:paraId="246779BC" w14:textId="77777777" w:rsidR="001A2189" w:rsidRPr="00897659" w:rsidRDefault="00897659" w:rsidP="00897659">
      <w:pPr>
        <w:pStyle w:val="ListParagraph"/>
        <w:numPr>
          <w:ilvl w:val="0"/>
          <w:numId w:val="30"/>
        </w:numPr>
        <w:tabs>
          <w:tab w:val="clear" w:pos="709"/>
          <w:tab w:val="left" w:pos="360"/>
        </w:tabs>
        <w:snapToGrid w:val="0"/>
        <w:spacing w:after="240"/>
        <w:contextualSpacing w:val="0"/>
        <w:jc w:val="center"/>
        <w:rPr>
          <w:rFonts w:asciiTheme="minorBidi" w:eastAsia="Calibri" w:hAnsiTheme="minorBidi" w:cstheme="minorBidi"/>
          <w:b/>
          <w:iCs/>
          <w:szCs w:val="22"/>
        </w:rPr>
      </w:pPr>
      <w:r w:rsidRPr="00897659">
        <w:rPr>
          <w:rFonts w:asciiTheme="minorBidi" w:eastAsia="Calibri" w:hAnsiTheme="minorBidi" w:cstheme="minorBidi"/>
          <w:b/>
          <w:bCs/>
          <w:sz w:val="22"/>
          <w:szCs w:val="22"/>
          <w:lang w:val="ru"/>
        </w:rPr>
        <w:t>Управление и методы работы</w:t>
      </w:r>
    </w:p>
    <w:p w14:paraId="30B5DE37" w14:textId="77777777" w:rsidR="00327B2F" w:rsidRPr="00897659" w:rsidRDefault="00897659" w:rsidP="00897659">
      <w:pPr>
        <w:numPr>
          <w:ilvl w:val="0"/>
          <w:numId w:val="33"/>
        </w:numPr>
        <w:tabs>
          <w:tab w:val="clear" w:pos="567"/>
          <w:tab w:val="left" w:pos="709"/>
        </w:tabs>
        <w:spacing w:after="240"/>
        <w:ind w:left="0" w:firstLine="0"/>
        <w:jc w:val="both"/>
        <w:rPr>
          <w:rFonts w:cstheme="minorHAnsi"/>
        </w:rPr>
      </w:pPr>
      <w:r w:rsidRPr="00897659">
        <w:rPr>
          <w:lang w:val="ru"/>
        </w:rPr>
        <w:t xml:space="preserve">В межсессионный период, предшествующий совещанию, проведенному в режиме онлайн 10 июня 2021 г., основное внимание </w:t>
      </w:r>
      <w:r w:rsidRPr="00897659">
        <w:rPr>
          <w:rFonts w:asciiTheme="minorBidi" w:hAnsiTheme="minorBidi"/>
          <w:snapToGrid/>
          <w:lang w:val="ru"/>
        </w:rPr>
        <w:t>Группы</w:t>
      </w:r>
      <w:r w:rsidRPr="00897659">
        <w:rPr>
          <w:lang w:val="ru"/>
        </w:rPr>
        <w:t xml:space="preserve"> было сосредоточено на вопросе обновления Правил процедуры с</w:t>
      </w:r>
      <w:r w:rsidRPr="00897659">
        <w:rPr>
          <w:lang w:val="ru"/>
        </w:rPr>
        <w:t xml:space="preserve"> целью </w:t>
      </w:r>
      <w:r w:rsidRPr="00897659">
        <w:rPr>
          <w:i/>
          <w:iCs/>
          <w:szCs w:val="22"/>
          <w:lang w:val="ru"/>
        </w:rPr>
        <w:t>«приведения их в соответствие с преобладающей передовой практикой Организации Объединенных Наций в отношении совещаний в режиме онлайн в целях упрощения процедуры информирования и обеспечения своевременного принятия решений государствами-членами»</w:t>
      </w:r>
      <w:r w:rsidRPr="00897659">
        <w:rPr>
          <w:lang w:val="ru"/>
        </w:rPr>
        <w:t>. В</w:t>
      </w:r>
      <w:r w:rsidRPr="00897659">
        <w:rPr>
          <w:lang w:val="ru"/>
        </w:rPr>
        <w:t xml:space="preserve"> этом контексте Секретариат в сотрудничестве с Юрисконсультом ЮНЕСКО предоставил следующую информацию.</w:t>
      </w:r>
    </w:p>
    <w:p w14:paraId="4C1AB14E" w14:textId="77777777" w:rsidR="00A3408F" w:rsidRPr="00897659" w:rsidRDefault="00897659" w:rsidP="00897659">
      <w:pPr>
        <w:numPr>
          <w:ilvl w:val="0"/>
          <w:numId w:val="33"/>
        </w:numPr>
        <w:tabs>
          <w:tab w:val="clear" w:pos="567"/>
          <w:tab w:val="left" w:pos="709"/>
        </w:tabs>
        <w:spacing w:after="240"/>
        <w:ind w:left="0" w:firstLine="0"/>
        <w:jc w:val="both"/>
        <w:rPr>
          <w:rFonts w:cstheme="minorHAnsi"/>
        </w:rPr>
      </w:pPr>
      <w:hyperlink r:id="rId22" w:history="1">
        <w:r w:rsidRPr="00897659">
          <w:rPr>
            <w:rStyle w:val="Hyperlink"/>
            <w:rFonts w:cstheme="minorHAnsi"/>
            <w:lang w:val="ru"/>
          </w:rPr>
          <w:t>Правила процедуры МОК</w:t>
        </w:r>
      </w:hyperlink>
      <w:r w:rsidRPr="00897659">
        <w:rPr>
          <w:rFonts w:cstheme="minorHAnsi"/>
          <w:lang w:val="ru"/>
        </w:rPr>
        <w:t xml:space="preserve"> не содержат положений, касающихся проведения совещаний</w:t>
      </w:r>
      <w:r w:rsidRPr="00897659">
        <w:rPr>
          <w:rFonts w:cstheme="minorHAnsi"/>
          <w:lang w:val="ru"/>
        </w:rPr>
        <w:t xml:space="preserve"> в режиме видеоконференции, но они также не требуют явного физического присутствия членов и поэтому не запрещают как таковое проведение совещания с использованием виртуальных средств. </w:t>
      </w:r>
    </w:p>
    <w:p w14:paraId="3710E88F" w14:textId="77777777" w:rsidR="00A3408F" w:rsidRPr="00897659" w:rsidRDefault="00897659" w:rsidP="00897659">
      <w:pPr>
        <w:numPr>
          <w:ilvl w:val="0"/>
          <w:numId w:val="33"/>
        </w:numPr>
        <w:tabs>
          <w:tab w:val="clear" w:pos="567"/>
          <w:tab w:val="left" w:pos="709"/>
        </w:tabs>
        <w:spacing w:after="240"/>
        <w:ind w:left="0" w:firstLine="0"/>
        <w:jc w:val="both"/>
        <w:rPr>
          <w:rFonts w:cstheme="minorHAnsi"/>
        </w:rPr>
      </w:pPr>
      <w:r w:rsidRPr="00897659">
        <w:rPr>
          <w:rFonts w:asciiTheme="minorBidi" w:hAnsiTheme="minorBidi"/>
          <w:snapToGrid/>
          <w:lang w:val="ru"/>
        </w:rPr>
        <w:t>Однако</w:t>
      </w:r>
      <w:r w:rsidRPr="00897659">
        <w:rPr>
          <w:lang w:val="ru"/>
        </w:rPr>
        <w:t xml:space="preserve"> некоторые правила составлены таким образом, что предполагают проведение сессии с физическим присутствием членов — например, тайное голосование при избрании членов Исполнительного совета и должностных лиц МОК, подходящей технологии для которого в настоящее</w:t>
      </w:r>
      <w:r w:rsidRPr="00897659">
        <w:rPr>
          <w:lang w:val="ru"/>
        </w:rPr>
        <w:t xml:space="preserve"> время не существует. </w:t>
      </w:r>
    </w:p>
    <w:p w14:paraId="1EB68D05" w14:textId="77777777" w:rsidR="00A3408F" w:rsidRPr="00897659" w:rsidRDefault="00897659" w:rsidP="00897659">
      <w:pPr>
        <w:numPr>
          <w:ilvl w:val="0"/>
          <w:numId w:val="33"/>
        </w:numPr>
        <w:tabs>
          <w:tab w:val="clear" w:pos="567"/>
          <w:tab w:val="left" w:pos="709"/>
        </w:tabs>
        <w:spacing w:after="240"/>
        <w:ind w:left="0" w:firstLine="0"/>
        <w:jc w:val="both"/>
        <w:rPr>
          <w:rFonts w:cstheme="minorHAnsi"/>
        </w:rPr>
      </w:pPr>
      <w:r w:rsidRPr="00897659">
        <w:rPr>
          <w:rFonts w:asciiTheme="minorBidi" w:hAnsiTheme="minorBidi"/>
          <w:snapToGrid/>
          <w:lang w:val="ru"/>
        </w:rPr>
        <w:t>Следует</w:t>
      </w:r>
      <w:r w:rsidRPr="00897659">
        <w:rPr>
          <w:lang w:val="ru"/>
        </w:rPr>
        <w:t xml:space="preserve"> отметить, что руководящие органы ЮНЕСКО не вносили изменения в свои Правила процедуры для их адаптации к проведению совещаний в режиме онлайн, хотя Исполнительный совет уже провел несколько таких совещаний. Однако Исполнитель</w:t>
      </w:r>
      <w:r w:rsidRPr="00897659">
        <w:rPr>
          <w:lang w:val="ru"/>
        </w:rPr>
        <w:t>ный совет на своей 209-й сессии утвердил рекомендации о методах работы виртуальной сессии (</w:t>
      </w:r>
      <w:hyperlink r:id="rId23" w:anchor="page=43" w:history="1">
        <w:r w:rsidRPr="00897659">
          <w:rPr>
            <w:rStyle w:val="Hyperlink"/>
            <w:rFonts w:cstheme="minorHAnsi"/>
            <w:lang w:val="ru"/>
          </w:rPr>
          <w:t>209 ЕХ/Решение 30</w:t>
        </w:r>
      </w:hyperlink>
      <w:r w:rsidRPr="00897659">
        <w:rPr>
          <w:lang w:val="ru"/>
        </w:rPr>
        <w:t>). Поэтому МОК могла бы рассмотреть аналогичный подход.</w:t>
      </w:r>
    </w:p>
    <w:p w14:paraId="5C4CAED7" w14:textId="77777777" w:rsidR="00A3408F" w:rsidRPr="00897659" w:rsidRDefault="00897659" w:rsidP="00897659">
      <w:pPr>
        <w:numPr>
          <w:ilvl w:val="0"/>
          <w:numId w:val="33"/>
        </w:numPr>
        <w:tabs>
          <w:tab w:val="clear" w:pos="567"/>
          <w:tab w:val="left" w:pos="709"/>
        </w:tabs>
        <w:spacing w:after="240"/>
        <w:ind w:left="0" w:firstLine="0"/>
        <w:jc w:val="both"/>
        <w:rPr>
          <w:rFonts w:cstheme="minorHAnsi"/>
        </w:rPr>
      </w:pPr>
      <w:r w:rsidRPr="00897659">
        <w:rPr>
          <w:rFonts w:cstheme="minorHAnsi"/>
          <w:lang w:val="ru"/>
        </w:rPr>
        <w:t>Кр</w:t>
      </w:r>
      <w:r w:rsidRPr="00897659">
        <w:rPr>
          <w:rFonts w:cstheme="minorHAnsi"/>
          <w:lang w:val="ru"/>
        </w:rPr>
        <w:t>оме того, первоначальный вариант проекта резолюции EC-53/2, предложенный в Документе о принятых и предлагаемых мерах EC-53 (</w:t>
      </w:r>
      <w:hyperlink r:id="rId24" w:history="1">
        <w:r w:rsidRPr="00897659">
          <w:rPr>
            <w:rStyle w:val="Hyperlink"/>
            <w:rFonts w:cstheme="minorHAnsi"/>
            <w:lang w:val="ru"/>
          </w:rPr>
          <w:t>Add. и Corr.</w:t>
        </w:r>
      </w:hyperlink>
      <w:r w:rsidRPr="00897659">
        <w:rPr>
          <w:rFonts w:cstheme="minorHAnsi"/>
          <w:lang w:val="ru"/>
        </w:rPr>
        <w:t>), гласил: «...</w:t>
      </w:r>
      <w:r w:rsidRPr="00897659">
        <w:rPr>
          <w:rFonts w:cstheme="minorHAnsi"/>
          <w:i/>
          <w:iCs/>
          <w:lang w:val="ru"/>
        </w:rPr>
        <w:t>пандемия Covid-19 привлекла внимание к необходимос</w:t>
      </w:r>
      <w:r w:rsidRPr="00897659">
        <w:rPr>
          <w:rFonts w:cstheme="minorHAnsi"/>
          <w:i/>
          <w:iCs/>
          <w:lang w:val="ru"/>
        </w:rPr>
        <w:t>ти пересмотра и, возможно, обновления правил и процедур Комиссии для приведения их в соответствие с преобладающей передовой практикой Организации Объединенных Наций в целях упрощения процедуры информирования и обеспечения своевременного принятия решений го</w:t>
      </w:r>
      <w:r w:rsidRPr="00897659">
        <w:rPr>
          <w:rFonts w:cstheme="minorHAnsi"/>
          <w:i/>
          <w:iCs/>
          <w:lang w:val="ru"/>
        </w:rPr>
        <w:t>сударствами-членами</w:t>
      </w:r>
      <w:r w:rsidRPr="00897659">
        <w:rPr>
          <w:rFonts w:cstheme="minorHAnsi"/>
          <w:lang w:val="ru"/>
        </w:rPr>
        <w:t>», а намерение заключалось в том, чтобы предложить более углубленный пересмотр Правил</w:t>
      </w:r>
      <w:r w:rsidRPr="00897659">
        <w:rPr>
          <w:rFonts w:cstheme="minorHAnsi"/>
          <w:i/>
          <w:iCs/>
          <w:lang w:val="ru"/>
        </w:rPr>
        <w:t xml:space="preserve">. </w:t>
      </w:r>
      <w:r w:rsidRPr="00897659">
        <w:rPr>
          <w:rFonts w:cstheme="minorHAnsi"/>
          <w:lang w:val="ru"/>
        </w:rPr>
        <w:t xml:space="preserve">Существует ряд вопросов, касающихся текущих </w:t>
      </w:r>
      <w:hyperlink r:id="rId25" w:history="1">
        <w:r w:rsidRPr="00897659">
          <w:rPr>
            <w:rStyle w:val="Hyperlink"/>
            <w:rFonts w:cstheme="minorHAnsi"/>
            <w:lang w:val="ru"/>
          </w:rPr>
          <w:t>Правил процедуры</w:t>
        </w:r>
      </w:hyperlink>
      <w:r w:rsidRPr="00897659">
        <w:rPr>
          <w:rFonts w:cstheme="minorHAnsi"/>
          <w:lang w:val="ru"/>
        </w:rPr>
        <w:t>, которые могли бы выиграть от перес</w:t>
      </w:r>
      <w:r w:rsidRPr="00897659">
        <w:rPr>
          <w:rFonts w:cstheme="minorHAnsi"/>
          <w:lang w:val="ru"/>
        </w:rPr>
        <w:t>мотра/уточнения, как объясняется ниже, и с учетом того, что приведенные примеры не являются исчерпывающими.</w:t>
      </w:r>
    </w:p>
    <w:p w14:paraId="04DC4686" w14:textId="77777777" w:rsidR="00A3408F" w:rsidRPr="00897659" w:rsidRDefault="00897659" w:rsidP="00897659">
      <w:pPr>
        <w:numPr>
          <w:ilvl w:val="0"/>
          <w:numId w:val="33"/>
        </w:numPr>
        <w:tabs>
          <w:tab w:val="clear" w:pos="567"/>
          <w:tab w:val="left" w:pos="709"/>
        </w:tabs>
        <w:spacing w:after="240"/>
        <w:ind w:left="0" w:firstLine="0"/>
        <w:jc w:val="both"/>
        <w:rPr>
          <w:rFonts w:cstheme="minorHAnsi"/>
        </w:rPr>
      </w:pPr>
      <w:r w:rsidRPr="00897659">
        <w:rPr>
          <w:rFonts w:cstheme="minorHAnsi"/>
          <w:lang w:val="ru"/>
        </w:rPr>
        <w:t>Во-первых, в отличие от других Правил процедуры, у МОК имеется один свод Правил процедуры, применяемый как к Ассамблее, так и к Исполнительному сове</w:t>
      </w:r>
      <w:r w:rsidRPr="00897659">
        <w:rPr>
          <w:rFonts w:cstheme="minorHAnsi"/>
          <w:lang w:val="ru"/>
        </w:rPr>
        <w:t xml:space="preserve">ту. Как следствие, Ассамблея и Исполнительный совет не имеют отдельных процедур, применяемых к каждому из них в отдельности, которые каждый из этих органов может изменить или приостановить. В частности, версия </w:t>
      </w:r>
      <w:hyperlink r:id="rId26" w:history="1">
        <w:r w:rsidRPr="00897659">
          <w:rPr>
            <w:rStyle w:val="Hyperlink"/>
            <w:rFonts w:cstheme="minorHAnsi"/>
            <w:lang w:val="ru"/>
          </w:rPr>
          <w:t>статьи 56</w:t>
        </w:r>
      </w:hyperlink>
      <w:r w:rsidRPr="00897659">
        <w:rPr>
          <w:rFonts w:cstheme="minorHAnsi"/>
          <w:lang w:val="ru"/>
        </w:rPr>
        <w:t xml:space="preserve"> Правил на английском языке предусматривает, что действие Правил «</w:t>
      </w:r>
      <w:r w:rsidRPr="00897659">
        <w:rPr>
          <w:rFonts w:cstheme="minorHAnsi"/>
          <w:i/>
          <w:iCs/>
          <w:lang w:val="ru"/>
        </w:rPr>
        <w:t>может быть приостановлено только по решению, принятому большинством всех государств-членов Комиссии, присутствующих и участвующих в голосовании</w:t>
      </w:r>
      <w:r w:rsidRPr="00897659">
        <w:rPr>
          <w:rFonts w:cstheme="minorHAnsi"/>
          <w:lang w:val="ru"/>
        </w:rPr>
        <w:t>»</w:t>
      </w:r>
      <w:r w:rsidRPr="00897659">
        <w:rPr>
          <w:rFonts w:cstheme="minorHAnsi"/>
          <w:i/>
          <w:iCs/>
          <w:lang w:val="ru"/>
        </w:rPr>
        <w:t>.</w:t>
      </w:r>
      <w:r w:rsidRPr="00897659">
        <w:rPr>
          <w:rFonts w:cstheme="minorHAnsi"/>
          <w:lang w:val="ru"/>
        </w:rPr>
        <w:t xml:space="preserve"> Единст</w:t>
      </w:r>
      <w:r w:rsidRPr="00897659">
        <w:rPr>
          <w:rFonts w:cstheme="minorHAnsi"/>
          <w:lang w:val="ru"/>
        </w:rPr>
        <w:t>венным органом, в который входят все государства-члены Комиссии, является Ассамблея, и, как следствие, хотя это и не указано прямо в Правилах процедуры, представляется, что только Ассамблея может приостановить действие Правил процедуры.</w:t>
      </w:r>
    </w:p>
    <w:p w14:paraId="118A430C" w14:textId="77777777" w:rsidR="00A3408F" w:rsidRPr="00897659" w:rsidRDefault="00897659" w:rsidP="00897659">
      <w:pPr>
        <w:numPr>
          <w:ilvl w:val="0"/>
          <w:numId w:val="33"/>
        </w:numPr>
        <w:tabs>
          <w:tab w:val="clear" w:pos="567"/>
          <w:tab w:val="left" w:pos="709"/>
        </w:tabs>
        <w:spacing w:after="240"/>
        <w:ind w:left="0" w:firstLine="0"/>
        <w:jc w:val="both"/>
        <w:rPr>
          <w:rFonts w:cstheme="minorHAnsi"/>
        </w:rPr>
      </w:pPr>
      <w:r w:rsidRPr="00897659">
        <w:rPr>
          <w:rFonts w:asciiTheme="minorBidi" w:hAnsiTheme="minorBidi"/>
          <w:snapToGrid/>
          <w:lang w:val="ru"/>
        </w:rPr>
        <w:t>Во-вторых</w:t>
      </w:r>
      <w:r w:rsidRPr="00897659">
        <w:rPr>
          <w:lang w:val="ru"/>
        </w:rPr>
        <w:t>, существу</w:t>
      </w:r>
      <w:r w:rsidRPr="00897659">
        <w:rPr>
          <w:lang w:val="ru"/>
        </w:rPr>
        <w:t>ет ряд расхождений между версиями Правил процедуры на разных языках. Например, в то время как версия статьи 56 Правил на английском языке предусматривает, что «</w:t>
      </w:r>
      <w:r w:rsidRPr="00897659">
        <w:rPr>
          <w:i/>
          <w:iCs/>
          <w:lang w:val="ru"/>
        </w:rPr>
        <w:t>действие любой статьи настоящих Правил может быть приостановлено только по решению, принятому бо</w:t>
      </w:r>
      <w:r w:rsidRPr="00897659">
        <w:rPr>
          <w:i/>
          <w:iCs/>
          <w:lang w:val="ru"/>
        </w:rPr>
        <w:t xml:space="preserve">льшинством всех государств-членов </w:t>
      </w:r>
      <w:r w:rsidRPr="00897659">
        <w:rPr>
          <w:i/>
          <w:iCs/>
          <w:lang w:val="ru"/>
        </w:rPr>
        <w:lastRenderedPageBreak/>
        <w:t>Комиссии, присутствующих и участвующих в голосовании»</w:t>
      </w:r>
      <w:r w:rsidRPr="00897659">
        <w:rPr>
          <w:lang w:val="ru"/>
        </w:rPr>
        <w:t xml:space="preserve">, в </w:t>
      </w:r>
      <w:hyperlink r:id="rId27" w:history="1">
        <w:r w:rsidRPr="00897659">
          <w:rPr>
            <w:rStyle w:val="Hyperlink"/>
            <w:rFonts w:cstheme="minorHAnsi"/>
            <w:lang w:val="ru"/>
          </w:rPr>
          <w:t>версии на французском языке</w:t>
        </w:r>
      </w:hyperlink>
      <w:r w:rsidRPr="00897659">
        <w:rPr>
          <w:lang w:val="ru"/>
        </w:rPr>
        <w:t xml:space="preserve"> прямо упоминается решение Ассамблеи («</w:t>
      </w:r>
      <w:r w:rsidRPr="00897659">
        <w:rPr>
          <w:i/>
          <w:iCs/>
          <w:lang w:val="ru"/>
        </w:rPr>
        <w:t>L'application de l'un qu</w:t>
      </w:r>
      <w:r w:rsidRPr="00897659">
        <w:rPr>
          <w:i/>
          <w:iCs/>
          <w:lang w:val="ru"/>
        </w:rPr>
        <w:t>elconque des articles du présent Règlement ne peut être suspendue que par décision de l'Assemblée, adoptée à la majorityité de tous les États membres de la Commission présents et votants</w:t>
      </w:r>
      <w:r w:rsidRPr="00897659">
        <w:rPr>
          <w:lang w:val="ru"/>
        </w:rPr>
        <w:t xml:space="preserve">» / </w:t>
      </w:r>
      <w:r w:rsidRPr="00897659">
        <w:rPr>
          <w:i/>
          <w:iCs/>
          <w:lang w:val="ru"/>
        </w:rPr>
        <w:t>Действие любой статьи настоящих Правил может быть приостановлено т</w:t>
      </w:r>
      <w:r w:rsidRPr="00897659">
        <w:rPr>
          <w:i/>
          <w:iCs/>
          <w:lang w:val="ru"/>
        </w:rPr>
        <w:t>олько по решению Ассамблеи, принятому большинством всех государств-членов Комиссии, присутствующих и участвующих в голосовании</w:t>
      </w:r>
      <w:r w:rsidRPr="00897659">
        <w:rPr>
          <w:lang w:val="ru"/>
        </w:rPr>
        <w:t xml:space="preserve">). Версии на испанском и русском языках в этом отношении соответствуют версии на английском языке. Другой пример касается </w:t>
      </w:r>
      <w:hyperlink r:id="rId28" w:history="1">
        <w:r w:rsidRPr="00897659">
          <w:rPr>
            <w:rStyle w:val="Hyperlink"/>
            <w:rFonts w:cstheme="minorHAnsi"/>
            <w:lang w:val="ru"/>
          </w:rPr>
          <w:t>Статьи 19.3</w:t>
        </w:r>
      </w:hyperlink>
      <w:r w:rsidRPr="00897659">
        <w:rPr>
          <w:lang w:val="ru"/>
        </w:rPr>
        <w:t xml:space="preserve"> о созыве внеочередных сессий Исполнительного совета. Хотя в версии на английском языке указано, что «</w:t>
      </w:r>
      <w:r w:rsidRPr="00897659">
        <w:rPr>
          <w:i/>
          <w:iCs/>
          <w:lang w:val="ru"/>
        </w:rPr>
        <w:t>внеочередные сессии могут созываться по решению Исполнительного совета, по требованию одной трети его членов или по просьбе должностных лиц Комиссии, которые представили такое требование Исполнительному секретарю по крайней мере за четыре месяца до предлаг</w:t>
      </w:r>
      <w:r w:rsidRPr="00897659">
        <w:rPr>
          <w:i/>
          <w:iCs/>
          <w:lang w:val="ru"/>
        </w:rPr>
        <w:t>аемой даты</w:t>
      </w:r>
      <w:r w:rsidRPr="00897659">
        <w:rPr>
          <w:lang w:val="ru"/>
        </w:rPr>
        <w:t xml:space="preserve">», в версии </w:t>
      </w:r>
      <w:hyperlink r:id="rId29" w:history="1">
        <w:r w:rsidRPr="00897659">
          <w:rPr>
            <w:rStyle w:val="Hyperlink"/>
            <w:rFonts w:cstheme="minorHAnsi"/>
            <w:lang w:val="ru"/>
          </w:rPr>
          <w:t>на французском языке</w:t>
        </w:r>
      </w:hyperlink>
      <w:r w:rsidRPr="00897659">
        <w:rPr>
          <w:lang w:val="ru"/>
        </w:rPr>
        <w:t xml:space="preserve"> не говорится о возможности созыва сессии по требованию одной трети членов Совета.</w:t>
      </w:r>
    </w:p>
    <w:p w14:paraId="003AD7F7" w14:textId="77777777" w:rsidR="00A3408F" w:rsidRPr="00897659" w:rsidRDefault="00897659" w:rsidP="00897659">
      <w:pPr>
        <w:numPr>
          <w:ilvl w:val="0"/>
          <w:numId w:val="33"/>
        </w:numPr>
        <w:tabs>
          <w:tab w:val="clear" w:pos="567"/>
          <w:tab w:val="left" w:pos="709"/>
        </w:tabs>
        <w:spacing w:after="240"/>
        <w:ind w:left="0" w:firstLine="0"/>
        <w:jc w:val="both"/>
      </w:pPr>
      <w:r w:rsidRPr="00897659">
        <w:rPr>
          <w:lang w:val="ru"/>
        </w:rPr>
        <w:t xml:space="preserve">В-третьих, </w:t>
      </w:r>
      <w:r w:rsidRPr="00897659">
        <w:rPr>
          <w:rFonts w:asciiTheme="minorBidi" w:hAnsiTheme="minorBidi"/>
          <w:snapToGrid/>
          <w:lang w:val="ru"/>
        </w:rPr>
        <w:t>существуют</w:t>
      </w:r>
      <w:r w:rsidRPr="00897659">
        <w:rPr>
          <w:lang w:val="ru"/>
        </w:rPr>
        <w:t xml:space="preserve"> определенные статьи Правил, которы</w:t>
      </w:r>
      <w:r w:rsidRPr="00897659">
        <w:rPr>
          <w:lang w:val="ru"/>
        </w:rPr>
        <w:t xml:space="preserve">е можно было бы уточнить или детализировать. Например, хотя </w:t>
      </w:r>
      <w:hyperlink r:id="rId30" w:history="1">
        <w:r w:rsidRPr="00897659">
          <w:rPr>
            <w:rStyle w:val="Hyperlink"/>
            <w:rFonts w:cstheme="minorHAnsi"/>
            <w:lang w:val="ru"/>
          </w:rPr>
          <w:t>статья 19.2</w:t>
        </w:r>
      </w:hyperlink>
      <w:r w:rsidRPr="00897659">
        <w:rPr>
          <w:lang w:val="ru"/>
        </w:rPr>
        <w:t xml:space="preserve"> предусматривает, что место и сроки проведения очередных сессий Исполнительного совета определяются Исполнител</w:t>
      </w:r>
      <w:r w:rsidRPr="00897659">
        <w:rPr>
          <w:lang w:val="ru"/>
        </w:rPr>
        <w:t>ьным советом, Правила процедуры не предусматривают особой и упрощенной процедуры изменения даты проведения сессии, в отличие от Правил процедуры Исполнительного совета ЮНЕСКО, которые позволяют председателю изменять дату в случае необходимости. Другой прим</w:t>
      </w:r>
      <w:r w:rsidRPr="00897659">
        <w:rPr>
          <w:lang w:val="ru"/>
        </w:rPr>
        <w:t xml:space="preserve">ер касается </w:t>
      </w:r>
      <w:hyperlink r:id="rId31" w:history="1">
        <w:r w:rsidRPr="00897659">
          <w:rPr>
            <w:rStyle w:val="Hyperlink"/>
            <w:rFonts w:cstheme="minorHAnsi"/>
            <w:lang w:val="ru"/>
          </w:rPr>
          <w:t>статьи 23</w:t>
        </w:r>
      </w:hyperlink>
      <w:r w:rsidRPr="00897659">
        <w:rPr>
          <w:lang w:val="ru"/>
        </w:rPr>
        <w:t xml:space="preserve"> Правил, которая предусматривает, что «</w:t>
      </w:r>
      <w:r w:rsidRPr="00897659">
        <w:rPr>
          <w:i/>
          <w:iCs/>
          <w:lang w:val="ru"/>
        </w:rPr>
        <w:t>по указанию Исполнительного совета Председатель или Исполнительный секретарь может консультироваться с государствами-член</w:t>
      </w:r>
      <w:r w:rsidRPr="00897659">
        <w:rPr>
          <w:i/>
          <w:iCs/>
          <w:lang w:val="ru"/>
        </w:rPr>
        <w:t>ами Комиссии путем переписки до принятия решений по вопросам, имеющим существенное значение, и может устанавливать разумный срок для получения ответов</w:t>
      </w:r>
      <w:r w:rsidRPr="00897659">
        <w:rPr>
          <w:lang w:val="ru"/>
        </w:rPr>
        <w:t xml:space="preserve">». Эта процедура переписки может быть расширена или уточнена. </w:t>
      </w:r>
    </w:p>
    <w:p w14:paraId="6C7BBF79" w14:textId="77777777" w:rsidR="00A3408F" w:rsidRPr="00897659" w:rsidRDefault="00897659" w:rsidP="00897659">
      <w:pPr>
        <w:numPr>
          <w:ilvl w:val="0"/>
          <w:numId w:val="33"/>
        </w:numPr>
        <w:tabs>
          <w:tab w:val="clear" w:pos="567"/>
          <w:tab w:val="left" w:pos="709"/>
        </w:tabs>
        <w:spacing w:after="240"/>
        <w:ind w:left="0" w:firstLine="0"/>
        <w:jc w:val="both"/>
        <w:rPr>
          <w:rFonts w:cstheme="minorHAnsi"/>
        </w:rPr>
      </w:pPr>
      <w:r w:rsidRPr="00897659">
        <w:rPr>
          <w:lang w:val="ru"/>
        </w:rPr>
        <w:t xml:space="preserve">В </w:t>
      </w:r>
      <w:r w:rsidRPr="00897659">
        <w:rPr>
          <w:rFonts w:asciiTheme="minorBidi" w:hAnsiTheme="minorBidi"/>
          <w:snapToGrid/>
          <w:lang w:val="ru"/>
        </w:rPr>
        <w:t>связи</w:t>
      </w:r>
      <w:r w:rsidRPr="00897659">
        <w:rPr>
          <w:lang w:val="ru"/>
        </w:rPr>
        <w:t xml:space="preserve"> с вышеизложенным, а также во избежание неоправданной спешки и для обеспечения тщательного пересмотра Правил процедуры и проведения широких и всесторонних консультаций со всеми государствами-членами по предложениям о внесении поправок, МФКГ в своей резолюц</w:t>
      </w:r>
      <w:r w:rsidRPr="00897659">
        <w:rPr>
          <w:lang w:val="ru"/>
        </w:rPr>
        <w:t>ии по аспектам деятельности Комиссии, касающимся управления и подготовки программы и бюджета, рекомендовала Ассамблее на ее 31-й сессии:</w:t>
      </w:r>
    </w:p>
    <w:p w14:paraId="626D6D42" w14:textId="77777777" w:rsidR="00A3408F" w:rsidRPr="00897659" w:rsidRDefault="00897659" w:rsidP="00897659">
      <w:pPr>
        <w:spacing w:after="240"/>
        <w:ind w:left="851" w:right="849"/>
        <w:jc w:val="both"/>
        <w:rPr>
          <w:rFonts w:cstheme="minorHAnsi"/>
        </w:rPr>
      </w:pPr>
      <w:r w:rsidRPr="00897659">
        <w:rPr>
          <w:rFonts w:cstheme="minorHAnsi"/>
          <w:lang w:val="ru"/>
        </w:rPr>
        <w:t xml:space="preserve">просить Исполнительного секретаря подготовить в консультации с </w:t>
      </w:r>
      <w:r w:rsidRPr="00897659">
        <w:rPr>
          <w:rFonts w:cstheme="minorHAnsi"/>
          <w:lang w:val="ru"/>
        </w:rPr>
        <w:t>Юрисконсультом ЮНЕСКО и МФКГ</w:t>
      </w:r>
      <w:r w:rsidRPr="00897659">
        <w:rPr>
          <w:rFonts w:cstheme="minorHAnsi"/>
          <w:lang w:val="ru"/>
        </w:rPr>
        <w:t xml:space="preserve"> предварительное предложение</w:t>
      </w:r>
      <w:r w:rsidRPr="00897659">
        <w:rPr>
          <w:rFonts w:cstheme="minorHAnsi"/>
          <w:lang w:val="ru"/>
        </w:rPr>
        <w:t xml:space="preserve"> по пересмотру Правил процедуры Ассамблеи и Правил процедуры Исполнительного совета, которое соответствовало бы преобладающей передовой практике, для рассмотрения и утверждения этими двумя органами.  </w:t>
      </w:r>
    </w:p>
    <w:p w14:paraId="1B055F36" w14:textId="77777777" w:rsidR="00A3408F" w:rsidRPr="00897659" w:rsidRDefault="00897659" w:rsidP="00897659">
      <w:pPr>
        <w:numPr>
          <w:ilvl w:val="0"/>
          <w:numId w:val="33"/>
        </w:numPr>
        <w:tabs>
          <w:tab w:val="clear" w:pos="567"/>
          <w:tab w:val="left" w:pos="709"/>
        </w:tabs>
        <w:spacing w:after="240"/>
        <w:ind w:left="0" w:firstLine="0"/>
        <w:jc w:val="both"/>
        <w:rPr>
          <w:rFonts w:cs="Arial"/>
          <w:szCs w:val="22"/>
        </w:rPr>
      </w:pPr>
      <w:r w:rsidRPr="00897659">
        <w:rPr>
          <w:rFonts w:asciiTheme="minorBidi" w:hAnsiTheme="minorBidi"/>
          <w:snapToGrid/>
          <w:lang w:val="ru"/>
        </w:rPr>
        <w:t>Предлагаются</w:t>
      </w:r>
      <w:r w:rsidRPr="00897659">
        <w:rPr>
          <w:lang w:val="ru"/>
        </w:rPr>
        <w:t xml:space="preserve"> следующие сроки:</w:t>
      </w:r>
    </w:p>
    <w:p w14:paraId="3822531D" w14:textId="77777777" w:rsidR="00A3408F" w:rsidRPr="00897659" w:rsidRDefault="00897659" w:rsidP="00897659">
      <w:pPr>
        <w:pStyle w:val="ListParagraph"/>
        <w:numPr>
          <w:ilvl w:val="0"/>
          <w:numId w:val="31"/>
        </w:numPr>
        <w:tabs>
          <w:tab w:val="clear" w:pos="709"/>
        </w:tabs>
        <w:snapToGrid w:val="0"/>
        <w:spacing w:after="240"/>
        <w:ind w:left="1316" w:hanging="566"/>
        <w:contextualSpacing w:val="0"/>
        <w:rPr>
          <w:rFonts w:ascii="Arial" w:hAnsi="Arial" w:cs="Arial"/>
          <w:sz w:val="22"/>
          <w:szCs w:val="22"/>
        </w:rPr>
      </w:pPr>
      <w:r w:rsidRPr="00897659">
        <w:rPr>
          <w:rFonts w:ascii="Arial" w:hAnsi="Arial" w:cs="Arial"/>
          <w:sz w:val="22"/>
          <w:szCs w:val="22"/>
          <w:lang w:val="ru"/>
        </w:rPr>
        <w:t>Первый проект Правил проц</w:t>
      </w:r>
      <w:r w:rsidRPr="00897659">
        <w:rPr>
          <w:rFonts w:ascii="Arial" w:hAnsi="Arial" w:cs="Arial"/>
          <w:sz w:val="22"/>
          <w:szCs w:val="22"/>
          <w:lang w:val="ru"/>
        </w:rPr>
        <w:t xml:space="preserve">едуры Исполнительного совета будет рассмотрен Исполнительным советом на его 55-й сессии в 2022 году. </w:t>
      </w:r>
    </w:p>
    <w:p w14:paraId="17DB57BB" w14:textId="77777777" w:rsidR="00A3408F" w:rsidRPr="00897659" w:rsidRDefault="00897659" w:rsidP="00897659">
      <w:pPr>
        <w:pStyle w:val="ListParagraph"/>
        <w:numPr>
          <w:ilvl w:val="0"/>
          <w:numId w:val="31"/>
        </w:numPr>
        <w:tabs>
          <w:tab w:val="clear" w:pos="709"/>
        </w:tabs>
        <w:snapToGrid w:val="0"/>
        <w:spacing w:after="240"/>
        <w:ind w:left="1316" w:hanging="566"/>
        <w:contextualSpacing w:val="0"/>
        <w:rPr>
          <w:rFonts w:ascii="Arial" w:hAnsi="Arial" w:cs="Arial"/>
          <w:sz w:val="22"/>
          <w:szCs w:val="22"/>
        </w:rPr>
      </w:pPr>
      <w:r w:rsidRPr="00897659">
        <w:rPr>
          <w:rFonts w:ascii="Arial" w:hAnsi="Arial" w:cs="Arial"/>
          <w:sz w:val="22"/>
          <w:szCs w:val="22"/>
          <w:lang w:val="ru"/>
        </w:rPr>
        <w:t>Проект Правил процедуры Ассамблеи будет представлен для рассмотрения и утверждения на ее 32-й сессии в 2023 году.</w:t>
      </w:r>
    </w:p>
    <w:p w14:paraId="54C14C64" w14:textId="77777777" w:rsidR="00A3408F" w:rsidRPr="00897659" w:rsidRDefault="00897659" w:rsidP="00897659">
      <w:pPr>
        <w:pStyle w:val="ListParagraph"/>
        <w:numPr>
          <w:ilvl w:val="0"/>
          <w:numId w:val="31"/>
        </w:numPr>
        <w:tabs>
          <w:tab w:val="clear" w:pos="709"/>
        </w:tabs>
        <w:snapToGrid w:val="0"/>
        <w:spacing w:after="240"/>
        <w:ind w:left="1316" w:hanging="566"/>
        <w:contextualSpacing w:val="0"/>
        <w:rPr>
          <w:rFonts w:ascii="Arial" w:hAnsi="Arial" w:cs="Arial"/>
          <w:sz w:val="22"/>
          <w:szCs w:val="22"/>
        </w:rPr>
      </w:pPr>
      <w:r w:rsidRPr="00897659">
        <w:rPr>
          <w:rFonts w:ascii="Arial" w:hAnsi="Arial" w:cs="Arial"/>
          <w:sz w:val="22"/>
          <w:szCs w:val="22"/>
          <w:lang w:val="ru"/>
        </w:rPr>
        <w:t xml:space="preserve">Исполнительный совет проведет внеочередную сессию для принятия своих Правил процедуры сразу после 32-й сессии Ассамблеи. </w:t>
      </w:r>
    </w:p>
    <w:p w14:paraId="169C7FA8" w14:textId="77777777" w:rsidR="00CC7192" w:rsidRPr="00897659" w:rsidRDefault="00897659" w:rsidP="00897659">
      <w:pPr>
        <w:pStyle w:val="ListParagraph"/>
        <w:numPr>
          <w:ilvl w:val="0"/>
          <w:numId w:val="31"/>
        </w:numPr>
        <w:tabs>
          <w:tab w:val="clear" w:pos="709"/>
        </w:tabs>
        <w:snapToGrid w:val="0"/>
        <w:spacing w:after="240"/>
        <w:ind w:left="1316" w:hanging="566"/>
        <w:contextualSpacing w:val="0"/>
        <w:rPr>
          <w:rFonts w:cs="Arial"/>
          <w:szCs w:val="22"/>
        </w:rPr>
      </w:pPr>
      <w:r w:rsidRPr="00897659">
        <w:rPr>
          <w:rFonts w:ascii="Arial" w:hAnsi="Arial" w:cs="Arial"/>
          <w:sz w:val="22"/>
          <w:szCs w:val="22"/>
          <w:lang w:val="ru"/>
        </w:rPr>
        <w:t>Оба руководящих орга</w:t>
      </w:r>
      <w:r w:rsidRPr="00897659">
        <w:rPr>
          <w:rFonts w:ascii="Arial" w:hAnsi="Arial" w:cs="Arial"/>
          <w:sz w:val="22"/>
          <w:szCs w:val="22"/>
          <w:lang w:val="ru"/>
        </w:rPr>
        <w:t>на утвердят рекомендации по методам работы виртуальной сессии одновременно с Правилами процедуры, следуя практике Исполнительного совета ЮНЕСКО.</w:t>
      </w:r>
    </w:p>
    <w:p w14:paraId="0CDA1605" w14:textId="77777777" w:rsidR="00CC7192" w:rsidRPr="00897659" w:rsidRDefault="00897659" w:rsidP="00897659">
      <w:pPr>
        <w:pStyle w:val="ListParagraph"/>
        <w:tabs>
          <w:tab w:val="clear" w:pos="709"/>
        </w:tabs>
        <w:snapToGrid w:val="0"/>
        <w:spacing w:after="240"/>
        <w:ind w:left="1316"/>
        <w:contextualSpacing w:val="0"/>
        <w:rPr>
          <w:rFonts w:cs="Arial"/>
          <w:szCs w:val="22"/>
        </w:rPr>
      </w:pPr>
      <w:r w:rsidRPr="00897659">
        <w:rPr>
          <w:rFonts w:ascii="Arial" w:hAnsi="Arial" w:cs="Arial"/>
          <w:sz w:val="22"/>
          <w:szCs w:val="22"/>
          <w:lang w:val="ru"/>
        </w:rPr>
        <w:lastRenderedPageBreak/>
        <w:t>Приветствуя предложение о создании двух отдельных сводов Правил, одного для Ассамблеи и одного для Исполнительн</w:t>
      </w:r>
      <w:r w:rsidRPr="00897659">
        <w:rPr>
          <w:rFonts w:ascii="Arial" w:hAnsi="Arial" w:cs="Arial"/>
          <w:sz w:val="22"/>
          <w:szCs w:val="22"/>
          <w:lang w:val="ru"/>
        </w:rPr>
        <w:t>ого совета, как описано выше, государства-члены согласились, что обзор должен быть сосредоточен на пунктах, которые могут выиграть от более четкой формулировки, и на согласовании версий на разных языках, без внесения каких-либо существенных изменений в дей</w:t>
      </w:r>
      <w:r w:rsidRPr="00897659">
        <w:rPr>
          <w:rFonts w:ascii="Arial" w:hAnsi="Arial" w:cs="Arial"/>
          <w:sz w:val="22"/>
          <w:szCs w:val="22"/>
          <w:lang w:val="ru"/>
        </w:rPr>
        <w:t>ствующие Правила.</w:t>
      </w:r>
    </w:p>
    <w:p w14:paraId="258B63F5" w14:textId="77777777" w:rsidR="006805F7" w:rsidRPr="00897659" w:rsidRDefault="00897659" w:rsidP="00897659">
      <w:pPr>
        <w:numPr>
          <w:ilvl w:val="0"/>
          <w:numId w:val="33"/>
        </w:numPr>
        <w:tabs>
          <w:tab w:val="clear" w:pos="567"/>
          <w:tab w:val="left" w:pos="709"/>
        </w:tabs>
        <w:spacing w:after="240"/>
        <w:ind w:left="0" w:firstLine="0"/>
        <w:jc w:val="both"/>
        <w:rPr>
          <w:rFonts w:cstheme="minorHAnsi"/>
        </w:rPr>
      </w:pPr>
      <w:r w:rsidRPr="00897659">
        <w:rPr>
          <w:rFonts w:cstheme="minorHAnsi"/>
          <w:lang w:val="ru"/>
        </w:rPr>
        <w:t xml:space="preserve">Наконец, </w:t>
      </w:r>
      <w:r w:rsidRPr="00897659">
        <w:rPr>
          <w:rFonts w:cstheme="minorHAnsi"/>
          <w:lang w:val="ru"/>
        </w:rPr>
        <w:t>что</w:t>
      </w:r>
      <w:r w:rsidRPr="00897659">
        <w:rPr>
          <w:rFonts w:cstheme="minorHAnsi"/>
          <w:lang w:val="ru"/>
        </w:rPr>
        <w:t xml:space="preserve"> касается решения Ассамблеи начать рассмотрение путей улучшения отчетности государств-членов по взносам в натуральной форме, </w:t>
      </w:r>
      <w:r w:rsidRPr="00897659">
        <w:rPr>
          <w:rFonts w:cstheme="minorHAnsi"/>
          <w:lang w:val="ru"/>
        </w:rPr>
        <w:t xml:space="preserve">обсуждения исходили из проекта записки, представленного Соединенными Штатами Америки и содержащегося </w:t>
      </w:r>
      <w:r w:rsidRPr="00897659">
        <w:rPr>
          <w:rFonts w:cstheme="minorHAnsi"/>
          <w:lang w:val="ru"/>
        </w:rPr>
        <w:t xml:space="preserve">в Приложении I к настоящему документу. Государства-члены согласились с тем, что это предложение является весьма своевременным и что действительно нынешняя отчетность по взносам в натуральной форме, представленная в таблице 5 документа IOC/A-31/3.2.Doc(2), </w:t>
      </w:r>
      <w:r w:rsidRPr="00897659">
        <w:rPr>
          <w:rFonts w:cstheme="minorHAnsi"/>
          <w:lang w:val="ru"/>
        </w:rPr>
        <w:t>не обеспечивает всеобъемлющий обзор и не основана на подходе, коллективно согласованном государствами-членами. Они приветствовали попытку, предпринятую в проекте записки, установить как критерии для более полной отчетности, так и более систематический подх</w:t>
      </w:r>
      <w:r w:rsidRPr="00897659">
        <w:rPr>
          <w:rFonts w:cstheme="minorHAnsi"/>
          <w:lang w:val="ru"/>
        </w:rPr>
        <w:t>од к сбору информации от государств-членов посредством циркулярных писем. Государства-члены согласились, что это является отправной точкой для обсуждения в сессионном Комитете по финансовым вопросам, также учитывая необходимость избежать существенного увел</w:t>
      </w:r>
      <w:r w:rsidRPr="00897659">
        <w:rPr>
          <w:rFonts w:cstheme="minorHAnsi"/>
          <w:lang w:val="ru"/>
        </w:rPr>
        <w:t>ичения нагрузки на Секретариат.</w:t>
      </w:r>
      <w:r w:rsidRPr="00897659">
        <w:rPr>
          <w:rFonts w:cstheme="minorHAnsi"/>
          <w:lang w:val="ru"/>
        </w:rPr>
        <w:br w:type="page"/>
      </w:r>
    </w:p>
    <w:p w14:paraId="6F8672EF" w14:textId="77777777" w:rsidR="009F394A" w:rsidRPr="00897659" w:rsidRDefault="00897659">
      <w:pPr>
        <w:spacing w:after="240"/>
        <w:jc w:val="center"/>
        <w:rPr>
          <w:rFonts w:eastAsiaTheme="minorHAnsi"/>
          <w:snapToGrid/>
          <w:color w:val="000000"/>
          <w:sz w:val="24"/>
        </w:rPr>
      </w:pPr>
      <w:r w:rsidRPr="00897659">
        <w:rPr>
          <w:rFonts w:cs="Arial"/>
          <w:b/>
          <w:bCs/>
          <w:szCs w:val="22"/>
          <w:lang w:val="ru"/>
        </w:rPr>
        <w:lastRenderedPageBreak/>
        <w:t>Приложение I</w:t>
      </w:r>
    </w:p>
    <w:p w14:paraId="13F43F3A" w14:textId="77777777" w:rsidR="009F394A" w:rsidRPr="00897659" w:rsidRDefault="00897659">
      <w:pPr>
        <w:pStyle w:val="Default"/>
        <w:snapToGrid w:val="0"/>
        <w:spacing w:after="240"/>
        <w:jc w:val="center"/>
        <w:rPr>
          <w:rFonts w:eastAsia="Times New Roman" w:cs="Times New Roman"/>
          <w:bCs/>
          <w:szCs w:val="22"/>
          <w:u w:val="single"/>
        </w:rPr>
      </w:pPr>
      <w:r w:rsidRPr="00897659">
        <w:rPr>
          <w:rFonts w:cs="Times New Roman"/>
          <w:color w:val="auto"/>
          <w:szCs w:val="22"/>
          <w:u w:val="single"/>
          <w:lang w:val="ru"/>
        </w:rPr>
        <w:t>Отчетность о взносах, вносимых государствами-членами в МОК в натуральной форме</w:t>
      </w:r>
    </w:p>
    <w:p w14:paraId="1C2A460D" w14:textId="77777777" w:rsidR="009F394A" w:rsidRPr="00897659" w:rsidRDefault="00897659">
      <w:pPr>
        <w:spacing w:after="240"/>
        <w:jc w:val="both"/>
        <w:rPr>
          <w:rFonts w:eastAsia="Calibri" w:cs="Arial"/>
        </w:rPr>
      </w:pPr>
      <w:r w:rsidRPr="00897659">
        <w:rPr>
          <w:rFonts w:eastAsia="Calibri" w:cs="Arial"/>
          <w:lang w:val="ru"/>
        </w:rPr>
        <w:t>Исполнительный совет МОК на своей 53-й сессии в феврале 2021 года в Резолюции EC-53/2 пересмотрел «Руководящие принципы составления программы и бюджета» с целью поощрения внебюджетных взносов и взносов в натуральной форме в период растущих финансовых огран</w:t>
      </w:r>
      <w:r w:rsidRPr="00897659">
        <w:rPr>
          <w:rFonts w:eastAsia="Calibri" w:cs="Arial"/>
          <w:lang w:val="ru"/>
        </w:rPr>
        <w:t>ичений для бюджета регулярной программы. Данные руководящие принципы призывают:</w:t>
      </w:r>
    </w:p>
    <w:p w14:paraId="1CCE1A1F" w14:textId="77777777" w:rsidR="009F394A" w:rsidRPr="00897659" w:rsidRDefault="00897659">
      <w:pPr>
        <w:numPr>
          <w:ilvl w:val="0"/>
          <w:numId w:val="36"/>
        </w:numPr>
        <w:pBdr>
          <w:top w:val="nil"/>
          <w:left w:val="nil"/>
          <w:bottom w:val="nil"/>
          <w:right w:val="nil"/>
          <w:between w:val="nil"/>
        </w:pBdr>
        <w:tabs>
          <w:tab w:val="clear" w:pos="567"/>
        </w:tabs>
        <w:spacing w:after="240"/>
        <w:ind w:hanging="720"/>
        <w:jc w:val="both"/>
        <w:rPr>
          <w:rFonts w:eastAsia="Arial" w:cs="Arial"/>
          <w:i/>
          <w:color w:val="000000"/>
        </w:rPr>
      </w:pPr>
      <w:r w:rsidRPr="00897659">
        <w:rPr>
          <w:rFonts w:eastAsia="Arial" w:cs="Arial"/>
          <w:i/>
          <w:iCs/>
          <w:color w:val="000000"/>
          <w:lang w:val="ru"/>
        </w:rPr>
        <w:t>«Программы должны развивать прочные партнерские отношения, которые повысят финансовую устойчивость в случае проблем с финансированием, позволяя партнерам принимать более значит</w:t>
      </w:r>
      <w:r w:rsidRPr="00897659">
        <w:rPr>
          <w:rFonts w:eastAsia="Arial" w:cs="Arial"/>
          <w:i/>
          <w:iCs/>
          <w:color w:val="000000"/>
          <w:lang w:val="ru"/>
        </w:rPr>
        <w:t>ельное участие в поддержке этих программ, при условии, что эти партнеры будут соблюдать цели и руководящие принципы, установленные руководящими органами МОК, и сотрудничать с Секретариатом МОК в этом отношении;</w:t>
      </w:r>
    </w:p>
    <w:p w14:paraId="29CCCFFC" w14:textId="77777777" w:rsidR="009F394A" w:rsidRPr="00897659" w:rsidRDefault="00897659">
      <w:pPr>
        <w:numPr>
          <w:ilvl w:val="0"/>
          <w:numId w:val="36"/>
        </w:numPr>
        <w:pBdr>
          <w:top w:val="nil"/>
          <w:left w:val="nil"/>
          <w:bottom w:val="nil"/>
          <w:right w:val="nil"/>
          <w:between w:val="nil"/>
        </w:pBdr>
        <w:tabs>
          <w:tab w:val="clear" w:pos="567"/>
        </w:tabs>
        <w:spacing w:after="240"/>
        <w:ind w:hanging="720"/>
        <w:jc w:val="both"/>
        <w:rPr>
          <w:rFonts w:eastAsia="Arial" w:cs="Arial"/>
          <w:i/>
          <w:color w:val="000000"/>
        </w:rPr>
      </w:pPr>
      <w:r w:rsidRPr="00897659">
        <w:rPr>
          <w:rFonts w:eastAsia="Arial" w:cs="Arial"/>
          <w:i/>
          <w:iCs/>
          <w:color w:val="000000"/>
          <w:lang w:val="ru"/>
        </w:rPr>
        <w:t>Определить государства-члены, готовые создать</w:t>
      </w:r>
      <w:r w:rsidRPr="00897659">
        <w:rPr>
          <w:rFonts w:eastAsia="Arial" w:cs="Arial"/>
          <w:i/>
          <w:iCs/>
          <w:color w:val="000000"/>
          <w:lang w:val="ru"/>
        </w:rPr>
        <w:t xml:space="preserve"> финансируемые и укомплектованные персоналом бюро для большего участия в программе МОК на основе существующей передовой практики, при условии, что эти государства-члены будут соблюдать цели и руководящие принципы, установленные руководящими органами МОК, и</w:t>
      </w:r>
      <w:r w:rsidRPr="00897659">
        <w:rPr>
          <w:rFonts w:eastAsia="Arial" w:cs="Arial"/>
          <w:i/>
          <w:iCs/>
          <w:color w:val="000000"/>
          <w:lang w:val="ru"/>
        </w:rPr>
        <w:t xml:space="preserve"> сотрудничать с Секретариатом МОК в этом отношении;</w:t>
      </w:r>
    </w:p>
    <w:p w14:paraId="3153BD48" w14:textId="77777777" w:rsidR="009F394A" w:rsidRPr="00897659" w:rsidRDefault="00897659">
      <w:pPr>
        <w:numPr>
          <w:ilvl w:val="0"/>
          <w:numId w:val="36"/>
        </w:numPr>
        <w:pBdr>
          <w:top w:val="nil"/>
          <w:left w:val="nil"/>
          <w:bottom w:val="nil"/>
          <w:right w:val="nil"/>
          <w:between w:val="nil"/>
        </w:pBdr>
        <w:tabs>
          <w:tab w:val="clear" w:pos="567"/>
        </w:tabs>
        <w:spacing w:after="240"/>
        <w:ind w:hanging="720"/>
        <w:jc w:val="both"/>
        <w:rPr>
          <w:rFonts w:eastAsia="Arial" w:cs="Arial"/>
          <w:i/>
          <w:color w:val="000000"/>
        </w:rPr>
      </w:pPr>
      <w:r w:rsidRPr="00897659">
        <w:rPr>
          <w:rFonts w:eastAsia="Arial" w:cs="Arial"/>
          <w:i/>
          <w:iCs/>
          <w:color w:val="000000"/>
          <w:lang w:val="ru"/>
        </w:rPr>
        <w:t>Определить мероприятия, которые можно поддержать за счет внебюджетного финансирования и взносов в натуральной форме, и в соответствии с этим определить приоритетность выделения средств из регулярного бюдж</w:t>
      </w:r>
      <w:r w:rsidRPr="00897659">
        <w:rPr>
          <w:rFonts w:eastAsia="Arial" w:cs="Arial"/>
          <w:i/>
          <w:iCs/>
          <w:color w:val="000000"/>
          <w:lang w:val="ru"/>
        </w:rPr>
        <w:t>ета на мероприятия и функциональные области МОК, которые невозможно поддержать за счет внебюджетного финансирования, с тем чтобы обеспечить расходование средств как из регулярного бюджета, так и из внебюджетных источников таким образом, который позволяет а</w:t>
      </w:r>
      <w:r w:rsidRPr="00897659">
        <w:rPr>
          <w:rFonts w:eastAsia="Arial" w:cs="Arial"/>
          <w:i/>
          <w:iCs/>
          <w:color w:val="000000"/>
          <w:lang w:val="ru"/>
        </w:rPr>
        <w:t>декватно и сбалансированно осуществлять все функции МОК».</w:t>
      </w:r>
    </w:p>
    <w:p w14:paraId="7491389D" w14:textId="77777777" w:rsidR="009F394A" w:rsidRPr="00897659" w:rsidRDefault="00897659">
      <w:pPr>
        <w:spacing w:after="240"/>
        <w:rPr>
          <w:rFonts w:eastAsia="Calibri" w:cs="Arial"/>
        </w:rPr>
      </w:pPr>
      <w:r w:rsidRPr="00897659">
        <w:rPr>
          <w:rFonts w:eastAsia="Calibri" w:cs="Arial"/>
          <w:b/>
          <w:bCs/>
          <w:lang w:val="ru"/>
        </w:rPr>
        <w:t>Таким образом, о взносах можно отчитываться, если они</w:t>
      </w:r>
      <w:r w:rsidRPr="00897659">
        <w:rPr>
          <w:rFonts w:eastAsia="Calibri" w:cs="Arial"/>
          <w:lang w:val="ru"/>
        </w:rPr>
        <w:t xml:space="preserve">: </w:t>
      </w:r>
    </w:p>
    <w:p w14:paraId="0235C77D" w14:textId="77777777" w:rsidR="009F394A" w:rsidRPr="00897659" w:rsidRDefault="00897659">
      <w:pPr>
        <w:numPr>
          <w:ilvl w:val="0"/>
          <w:numId w:val="35"/>
        </w:numPr>
        <w:pBdr>
          <w:top w:val="nil"/>
          <w:left w:val="nil"/>
          <w:bottom w:val="nil"/>
          <w:right w:val="nil"/>
          <w:between w:val="nil"/>
        </w:pBdr>
        <w:tabs>
          <w:tab w:val="clear" w:pos="567"/>
        </w:tabs>
        <w:spacing w:after="240"/>
        <w:ind w:hanging="720"/>
        <w:jc w:val="both"/>
        <w:rPr>
          <w:rFonts w:eastAsia="Calibri" w:cs="Arial"/>
        </w:rPr>
      </w:pPr>
      <w:r w:rsidRPr="00897659">
        <w:rPr>
          <w:rFonts w:eastAsia="Calibri" w:cs="Arial"/>
          <w:color w:val="000000"/>
          <w:lang w:val="ru"/>
        </w:rPr>
        <w:t xml:space="preserve">усиливают координацию программ МОК, а также национальных и региональных мероприятий, включая укрепление региональных вспомогательных органов, </w:t>
      </w:r>
      <w:r w:rsidRPr="00897659">
        <w:rPr>
          <w:rFonts w:eastAsia="Calibri" w:cs="Arial"/>
          <w:color w:val="000000"/>
          <w:lang w:val="ru"/>
        </w:rPr>
        <w:t>децентрализованных офисов, в том числе бюро по координации проведения Десятилетия, центров координации проведения Десятилетия и С2С;</w:t>
      </w:r>
    </w:p>
    <w:p w14:paraId="6432C1FA" w14:textId="77777777" w:rsidR="009F394A" w:rsidRPr="00897659" w:rsidRDefault="00897659">
      <w:pPr>
        <w:numPr>
          <w:ilvl w:val="0"/>
          <w:numId w:val="35"/>
        </w:numPr>
        <w:pBdr>
          <w:top w:val="nil"/>
          <w:left w:val="nil"/>
          <w:bottom w:val="nil"/>
          <w:right w:val="nil"/>
          <w:between w:val="nil"/>
        </w:pBdr>
        <w:tabs>
          <w:tab w:val="clear" w:pos="567"/>
        </w:tabs>
        <w:spacing w:after="240"/>
        <w:ind w:hanging="720"/>
        <w:jc w:val="both"/>
        <w:rPr>
          <w:rFonts w:eastAsia="Calibri" w:cs="Arial"/>
        </w:rPr>
      </w:pPr>
      <w:r w:rsidRPr="00897659">
        <w:rPr>
          <w:rFonts w:eastAsia="Calibri" w:cs="Arial"/>
          <w:color w:val="000000"/>
          <w:lang w:val="ru"/>
        </w:rPr>
        <w:t>руководствуются руководящими принципами международных руководящих органов МОК и поддерживают их;</w:t>
      </w:r>
    </w:p>
    <w:p w14:paraId="0A487D2D" w14:textId="77777777" w:rsidR="009F394A" w:rsidRPr="00897659" w:rsidRDefault="00897659">
      <w:pPr>
        <w:numPr>
          <w:ilvl w:val="0"/>
          <w:numId w:val="35"/>
        </w:numPr>
        <w:pBdr>
          <w:top w:val="nil"/>
          <w:left w:val="nil"/>
          <w:bottom w:val="nil"/>
          <w:right w:val="nil"/>
          <w:between w:val="nil"/>
        </w:pBdr>
        <w:tabs>
          <w:tab w:val="clear" w:pos="567"/>
        </w:tabs>
        <w:spacing w:after="240"/>
        <w:ind w:hanging="720"/>
        <w:jc w:val="both"/>
        <w:rPr>
          <w:rFonts w:eastAsia="Calibri" w:cs="Arial"/>
        </w:rPr>
      </w:pPr>
      <w:r w:rsidRPr="00897659">
        <w:rPr>
          <w:rFonts w:eastAsia="Calibri" w:cs="Arial"/>
          <w:color w:val="000000"/>
          <w:lang w:val="ru"/>
        </w:rPr>
        <w:t xml:space="preserve">содействуют </w:t>
      </w:r>
      <w:r w:rsidRPr="00897659">
        <w:rPr>
          <w:rFonts w:eastAsia="Calibri" w:cs="Arial"/>
          <w:lang w:val="ru"/>
        </w:rPr>
        <w:t>скоординирован</w:t>
      </w:r>
      <w:r w:rsidRPr="00897659">
        <w:rPr>
          <w:rFonts w:eastAsia="Calibri" w:cs="Arial"/>
          <w:lang w:val="ru"/>
        </w:rPr>
        <w:t>ному международному участию в программах МОК.</w:t>
      </w:r>
    </w:p>
    <w:p w14:paraId="19F6DA4D" w14:textId="77777777" w:rsidR="009F394A" w:rsidRPr="00897659" w:rsidRDefault="00897659">
      <w:pPr>
        <w:spacing w:after="240"/>
        <w:jc w:val="both"/>
        <w:rPr>
          <w:rFonts w:eastAsia="Calibri" w:cs="Arial"/>
        </w:rPr>
      </w:pPr>
      <w:r w:rsidRPr="00897659">
        <w:rPr>
          <w:rFonts w:eastAsia="Calibri" w:cs="Arial"/>
          <w:lang w:val="ru"/>
        </w:rPr>
        <w:t>Натуральная форма включает вклад координационного потенциала в соответствии с руководящими принципами руководящих органов МОК, включая услуги, предоставляемые косвенно через третью сторону (например, подрядчика</w:t>
      </w:r>
      <w:r w:rsidRPr="00897659">
        <w:rPr>
          <w:rFonts w:eastAsia="Calibri" w:cs="Arial"/>
          <w:lang w:val="ru"/>
        </w:rPr>
        <w:t xml:space="preserve"> или партнера).</w:t>
      </w:r>
    </w:p>
    <w:p w14:paraId="2E21833B" w14:textId="77777777" w:rsidR="009F394A" w:rsidRPr="00897659" w:rsidRDefault="00897659">
      <w:pPr>
        <w:spacing w:after="240"/>
        <w:rPr>
          <w:rFonts w:eastAsia="Calibri" w:cs="Arial"/>
          <w:b/>
        </w:rPr>
      </w:pPr>
      <w:r w:rsidRPr="00897659">
        <w:rPr>
          <w:rFonts w:eastAsia="Calibri" w:cs="Arial"/>
          <w:b/>
          <w:bCs/>
          <w:lang w:val="ru"/>
        </w:rPr>
        <w:br w:type="page"/>
      </w:r>
    </w:p>
    <w:tbl>
      <w:tblPr>
        <w:tblStyle w:val="TableGrid"/>
        <w:tblW w:w="0" w:type="auto"/>
        <w:tblLook w:val="04A0" w:firstRow="1" w:lastRow="0" w:firstColumn="1" w:lastColumn="0" w:noHBand="0" w:noVBand="1"/>
      </w:tblPr>
      <w:tblGrid>
        <w:gridCol w:w="9062"/>
      </w:tblGrid>
      <w:tr w:rsidR="005F33BC" w:rsidRPr="00897659" w14:paraId="0261F661" w14:textId="77777777" w:rsidTr="00F5598E">
        <w:tc>
          <w:tcPr>
            <w:tcW w:w="9062" w:type="dxa"/>
          </w:tcPr>
          <w:p w14:paraId="56B43E4E" w14:textId="77777777" w:rsidR="009F394A" w:rsidRPr="00897659" w:rsidRDefault="00897659" w:rsidP="00F5598E">
            <w:pPr>
              <w:rPr>
                <w:rFonts w:cstheme="minorHAnsi"/>
                <w:b/>
              </w:rPr>
            </w:pPr>
            <w:r w:rsidRPr="00897659">
              <w:rPr>
                <w:rFonts w:cstheme="minorHAnsi"/>
                <w:b/>
                <w:bCs/>
                <w:lang w:val="ru"/>
              </w:rPr>
              <w:lastRenderedPageBreak/>
              <w:t>1. Подотчетные взносы в натуральной форме на координационную функцию Секретариата МОК</w:t>
            </w:r>
          </w:p>
          <w:p w14:paraId="5BC7284D" w14:textId="77777777" w:rsidR="009F394A" w:rsidRPr="00897659" w:rsidRDefault="009F394A" w:rsidP="00F5598E">
            <w:pPr>
              <w:rPr>
                <w:rFonts w:cstheme="minorHAnsi"/>
                <w:b/>
              </w:rPr>
            </w:pPr>
          </w:p>
        </w:tc>
      </w:tr>
    </w:tbl>
    <w:p w14:paraId="0335AA01" w14:textId="77777777" w:rsidR="009F394A" w:rsidRPr="00897659" w:rsidRDefault="009F394A" w:rsidP="009F394A">
      <w:pPr>
        <w:rPr>
          <w:rFonts w:eastAsia="Calibri" w:cstheme="minorHAnsi"/>
          <w:b/>
        </w:rPr>
      </w:pPr>
    </w:p>
    <w:p w14:paraId="3CC795C6" w14:textId="77777777" w:rsidR="009F394A" w:rsidRPr="00897659" w:rsidRDefault="009F394A" w:rsidP="009F394A">
      <w:pPr>
        <w:rPr>
          <w:rFonts w:eastAsia="Calibri" w:cstheme="minorHAnsi"/>
          <w:b/>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5F33BC" w:rsidRPr="00897659" w14:paraId="2A6EEA37" w14:textId="77777777" w:rsidTr="00F5598E">
        <w:tc>
          <w:tcPr>
            <w:tcW w:w="4675" w:type="dxa"/>
          </w:tcPr>
          <w:p w14:paraId="4FC99A40" w14:textId="77777777" w:rsidR="009F394A" w:rsidRPr="00897659" w:rsidRDefault="00897659" w:rsidP="00F5598E">
            <w:pPr>
              <w:rPr>
                <w:rFonts w:eastAsia="Calibri" w:cstheme="minorHAnsi"/>
                <w:b/>
              </w:rPr>
            </w:pPr>
            <w:r w:rsidRPr="00897659">
              <w:rPr>
                <w:rFonts w:eastAsia="Calibri" w:cstheme="minorHAnsi"/>
                <w:b/>
                <w:bCs/>
                <w:lang w:val="ru"/>
              </w:rPr>
              <w:t>Отчет для своей страны или организации</w:t>
            </w:r>
          </w:p>
        </w:tc>
        <w:tc>
          <w:tcPr>
            <w:tcW w:w="4675" w:type="dxa"/>
          </w:tcPr>
          <w:p w14:paraId="042F6CD5" w14:textId="77777777" w:rsidR="009F394A" w:rsidRPr="00897659" w:rsidRDefault="00897659" w:rsidP="00F5598E">
            <w:pPr>
              <w:rPr>
                <w:rFonts w:eastAsia="Calibri" w:cstheme="minorHAnsi"/>
                <w:b/>
              </w:rPr>
            </w:pPr>
            <w:r w:rsidRPr="00897659">
              <w:rPr>
                <w:rFonts w:eastAsia="Calibri" w:cstheme="minorHAnsi"/>
                <w:b/>
                <w:bCs/>
                <w:lang w:val="ru"/>
              </w:rPr>
              <w:t>Отчет не требуется</w:t>
            </w:r>
          </w:p>
        </w:tc>
      </w:tr>
      <w:tr w:rsidR="005F33BC" w:rsidRPr="00897659" w14:paraId="77894121" w14:textId="77777777" w:rsidTr="00F5598E">
        <w:trPr>
          <w:trHeight w:val="1952"/>
        </w:trPr>
        <w:tc>
          <w:tcPr>
            <w:tcW w:w="4675" w:type="dxa"/>
          </w:tcPr>
          <w:p w14:paraId="7C1C1AB7" w14:textId="77777777" w:rsidR="009F394A" w:rsidRPr="00897659" w:rsidRDefault="009F394A" w:rsidP="00F5598E">
            <w:pPr>
              <w:rPr>
                <w:rFonts w:eastAsia="Calibri" w:cstheme="minorHAnsi"/>
                <w:b/>
              </w:rPr>
            </w:pPr>
          </w:p>
          <w:p w14:paraId="5D39DD68" w14:textId="77777777" w:rsidR="009F394A" w:rsidRPr="00897659" w:rsidRDefault="00897659" w:rsidP="00F5598E">
            <w:pPr>
              <w:rPr>
                <w:rFonts w:eastAsia="Calibri" w:cstheme="minorHAnsi"/>
              </w:rPr>
            </w:pPr>
            <w:r w:rsidRPr="00897659">
              <w:rPr>
                <w:rFonts w:eastAsia="Calibri" w:cstheme="minorHAnsi"/>
                <w:lang w:val="ru"/>
              </w:rPr>
              <w:t>Размещение бюро МОК в рамках официального партнерского соглашения и под руководством МОК (расходы на персонал, офис и здание), например, размещение региональных комитетов или подкомиссий МОК, присоединившихся к МОК учебных центров (поддержка международного</w:t>
            </w:r>
            <w:r w:rsidRPr="00897659">
              <w:rPr>
                <w:rFonts w:eastAsia="Calibri" w:cstheme="minorHAnsi"/>
                <w:lang w:val="ru"/>
              </w:rPr>
              <w:t xml:space="preserve"> участия), размещение секретариата (МООД и ВЦВ), или размещение служб МОК (ОБИС, региональные службы предупреждения о цунами, которые санкционированы МОК). </w:t>
            </w:r>
          </w:p>
          <w:p w14:paraId="0FEFD399" w14:textId="77777777" w:rsidR="009F394A" w:rsidRPr="00897659" w:rsidRDefault="009F394A" w:rsidP="00F5598E">
            <w:pPr>
              <w:rPr>
                <w:rFonts w:eastAsia="Calibri" w:cstheme="minorHAnsi"/>
              </w:rPr>
            </w:pPr>
          </w:p>
          <w:p w14:paraId="7E954EDF" w14:textId="77777777" w:rsidR="009F394A" w:rsidRPr="00897659" w:rsidRDefault="009F394A" w:rsidP="00F5598E">
            <w:pPr>
              <w:rPr>
                <w:rFonts w:eastAsia="Calibri" w:cstheme="minorHAnsi"/>
              </w:rPr>
            </w:pPr>
          </w:p>
          <w:p w14:paraId="40FFCD5A" w14:textId="77777777" w:rsidR="009F394A" w:rsidRPr="00897659" w:rsidRDefault="009F394A" w:rsidP="00F5598E">
            <w:pPr>
              <w:rPr>
                <w:rFonts w:eastAsia="Calibri" w:cstheme="minorHAnsi"/>
              </w:rPr>
            </w:pPr>
          </w:p>
          <w:p w14:paraId="3075D7C7" w14:textId="77777777" w:rsidR="009F394A" w:rsidRPr="00897659" w:rsidRDefault="009F394A" w:rsidP="00F5598E">
            <w:pPr>
              <w:rPr>
                <w:rFonts w:eastAsia="Calibri" w:cstheme="minorHAnsi"/>
              </w:rPr>
            </w:pPr>
          </w:p>
          <w:p w14:paraId="33E3BE37" w14:textId="77777777" w:rsidR="009F394A" w:rsidRPr="00897659" w:rsidRDefault="009F394A" w:rsidP="00F5598E">
            <w:pPr>
              <w:rPr>
                <w:rFonts w:eastAsia="Calibri" w:cstheme="minorHAnsi"/>
              </w:rPr>
            </w:pPr>
          </w:p>
          <w:p w14:paraId="4305246A" w14:textId="77777777" w:rsidR="009F394A" w:rsidRPr="00897659" w:rsidRDefault="009F394A" w:rsidP="00F5598E">
            <w:pPr>
              <w:rPr>
                <w:rFonts w:eastAsia="Calibri" w:cstheme="minorHAnsi"/>
              </w:rPr>
            </w:pPr>
          </w:p>
          <w:p w14:paraId="3752C795" w14:textId="77777777" w:rsidR="009F394A" w:rsidRPr="00897659" w:rsidRDefault="009F394A" w:rsidP="00F5598E">
            <w:pPr>
              <w:rPr>
                <w:rFonts w:eastAsia="Calibri" w:cstheme="minorHAnsi"/>
              </w:rPr>
            </w:pPr>
          </w:p>
          <w:p w14:paraId="7DBF6722" w14:textId="77777777" w:rsidR="009F394A" w:rsidRPr="00897659" w:rsidRDefault="009F394A" w:rsidP="00F5598E">
            <w:pPr>
              <w:rPr>
                <w:rFonts w:eastAsia="Calibri" w:cstheme="minorHAnsi"/>
              </w:rPr>
            </w:pPr>
          </w:p>
          <w:p w14:paraId="32E4728C" w14:textId="77777777" w:rsidR="009F394A" w:rsidRPr="00897659" w:rsidRDefault="00897659" w:rsidP="00F5598E">
            <w:pPr>
              <w:rPr>
                <w:rFonts w:eastAsia="Calibri" w:cstheme="minorHAnsi"/>
              </w:rPr>
            </w:pPr>
            <w:r w:rsidRPr="00897659">
              <w:rPr>
                <w:rFonts w:eastAsia="Calibri" w:cstheme="minorHAnsi"/>
                <w:lang w:val="ru"/>
              </w:rPr>
              <w:t>Ориентированная на выполнение задач работа персонала, как очно, так и удаленно, для непосредственной поддержки координации программы МОК.</w:t>
            </w:r>
          </w:p>
          <w:p w14:paraId="010B2D9E" w14:textId="77777777" w:rsidR="009F394A" w:rsidRPr="00897659" w:rsidRDefault="009F394A" w:rsidP="00F5598E">
            <w:pPr>
              <w:rPr>
                <w:rFonts w:eastAsia="Calibri" w:cstheme="minorHAnsi"/>
              </w:rPr>
            </w:pPr>
          </w:p>
          <w:p w14:paraId="24E1C830" w14:textId="77777777" w:rsidR="009F394A" w:rsidRPr="00897659" w:rsidRDefault="009F394A" w:rsidP="00F5598E">
            <w:pPr>
              <w:rPr>
                <w:rFonts w:eastAsia="Calibri" w:cstheme="minorHAnsi"/>
              </w:rPr>
            </w:pPr>
          </w:p>
          <w:p w14:paraId="04C99F5A" w14:textId="77777777" w:rsidR="009F394A" w:rsidRPr="00897659" w:rsidRDefault="00897659" w:rsidP="00F5598E">
            <w:pPr>
              <w:rPr>
                <w:rFonts w:eastAsia="Calibri" w:cstheme="minorHAnsi"/>
              </w:rPr>
            </w:pPr>
            <w:r w:rsidRPr="00897659">
              <w:rPr>
                <w:rFonts w:eastAsia="Calibri" w:cstheme="minorHAnsi"/>
                <w:lang w:val="ru"/>
              </w:rPr>
              <w:t>Время сотрудников, посвященное международной координации международных программ и проектов МОК и вспомогательных орг</w:t>
            </w:r>
            <w:r w:rsidRPr="00897659">
              <w:rPr>
                <w:rFonts w:eastAsia="Calibri" w:cstheme="minorHAnsi"/>
                <w:lang w:val="ru"/>
              </w:rPr>
              <w:t>анов, например, международная координация МЭИО-2, OceanOPS, МЦИЦ и СНТТО в качестве координационной функции Секретариата.</w:t>
            </w:r>
          </w:p>
          <w:p w14:paraId="45F2EA5E" w14:textId="77777777" w:rsidR="009F394A" w:rsidRPr="00897659" w:rsidRDefault="009F394A" w:rsidP="00F5598E">
            <w:pPr>
              <w:rPr>
                <w:rFonts w:eastAsia="Calibri" w:cstheme="minorHAnsi"/>
              </w:rPr>
            </w:pPr>
          </w:p>
          <w:p w14:paraId="1315EFDB" w14:textId="77777777" w:rsidR="009F394A" w:rsidRPr="00897659" w:rsidRDefault="00897659" w:rsidP="00F5598E">
            <w:pPr>
              <w:rPr>
                <w:rFonts w:eastAsia="Calibri" w:cstheme="minorHAnsi"/>
              </w:rPr>
            </w:pPr>
            <w:r w:rsidRPr="00897659">
              <w:rPr>
                <w:rFonts w:eastAsia="Calibri" w:cstheme="minorHAnsi"/>
                <w:lang w:val="ru"/>
              </w:rPr>
              <w:t>Проведение программных совещаний МОК, включая расходы на спонсирование участников из других стран.</w:t>
            </w:r>
          </w:p>
        </w:tc>
        <w:tc>
          <w:tcPr>
            <w:tcW w:w="4675" w:type="dxa"/>
          </w:tcPr>
          <w:p w14:paraId="4B9F5C4E" w14:textId="77777777" w:rsidR="009F394A" w:rsidRPr="00897659" w:rsidRDefault="009F394A" w:rsidP="00F5598E">
            <w:pPr>
              <w:rPr>
                <w:rFonts w:eastAsia="Calibri" w:cstheme="minorHAnsi"/>
                <w:b/>
              </w:rPr>
            </w:pPr>
          </w:p>
          <w:p w14:paraId="3BA4FB92" w14:textId="77777777" w:rsidR="009F394A" w:rsidRPr="00897659" w:rsidRDefault="00897659" w:rsidP="00F5598E">
            <w:pPr>
              <w:rPr>
                <w:rFonts w:eastAsia="Calibri" w:cstheme="minorHAnsi"/>
              </w:rPr>
            </w:pPr>
            <w:r w:rsidRPr="00897659">
              <w:rPr>
                <w:rFonts w:eastAsia="Calibri" w:cstheme="minorHAnsi"/>
                <w:lang w:val="ru"/>
              </w:rPr>
              <w:t>Расходы на здания, офисы или перс</w:t>
            </w:r>
            <w:r w:rsidRPr="00897659">
              <w:rPr>
                <w:rFonts w:eastAsia="Calibri" w:cstheme="minorHAnsi"/>
                <w:lang w:val="ru"/>
              </w:rPr>
              <w:t>онал или любая часть рабочего времени, не связанная с программной деятельностью МОК, например учреждения двойного назначения могут сообщать только о деятельности, связанной с МОК, или о рабочем времени персонала.</w:t>
            </w:r>
          </w:p>
          <w:p w14:paraId="4353E4B5" w14:textId="77777777" w:rsidR="009F394A" w:rsidRPr="00897659" w:rsidRDefault="009F394A" w:rsidP="00F5598E">
            <w:pPr>
              <w:rPr>
                <w:rFonts w:eastAsia="Calibri" w:cstheme="minorHAnsi"/>
                <w:b/>
              </w:rPr>
            </w:pPr>
          </w:p>
          <w:p w14:paraId="0479D756" w14:textId="77777777" w:rsidR="009F394A" w:rsidRPr="00897659" w:rsidRDefault="00897659" w:rsidP="00F5598E">
            <w:pPr>
              <w:rPr>
                <w:rFonts w:eastAsia="Calibri" w:cstheme="minorHAnsi"/>
              </w:rPr>
            </w:pPr>
            <w:r w:rsidRPr="00897659">
              <w:rPr>
                <w:rFonts w:eastAsia="Calibri" w:cstheme="minorHAnsi"/>
                <w:lang w:val="ru"/>
              </w:rPr>
              <w:t>Национальные координаторы, ученые или техн</w:t>
            </w:r>
            <w:r w:rsidRPr="00897659">
              <w:rPr>
                <w:rFonts w:eastAsia="Calibri" w:cstheme="minorHAnsi"/>
                <w:lang w:val="ru"/>
              </w:rPr>
              <w:t>ический персонал, работающий над национальным компонентом постоянной программы МОК.</w:t>
            </w:r>
          </w:p>
          <w:p w14:paraId="5146C114" w14:textId="77777777" w:rsidR="009F394A" w:rsidRPr="00897659" w:rsidRDefault="00897659" w:rsidP="00F5598E">
            <w:pPr>
              <w:rPr>
                <w:rFonts w:eastAsia="Calibri" w:cstheme="minorHAnsi"/>
              </w:rPr>
            </w:pPr>
            <w:r w:rsidRPr="00897659">
              <w:rPr>
                <w:rFonts w:eastAsia="Calibri" w:cstheme="minorHAnsi"/>
                <w:lang w:val="ru"/>
              </w:rPr>
              <w:t>Национальные ученые или технические сотрудники, работающие в постоянных технических органах МОК или являющиеся должностными лицами этих органов, например, член или руководи</w:t>
            </w:r>
            <w:r w:rsidRPr="00897659">
              <w:rPr>
                <w:rFonts w:eastAsia="Calibri" w:cstheme="minorHAnsi"/>
                <w:lang w:val="ru"/>
              </w:rPr>
              <w:t>тель Группа экспертов по сотрудничеству в области буев для сбора данных.</w:t>
            </w:r>
          </w:p>
          <w:p w14:paraId="2269F702" w14:textId="77777777" w:rsidR="009F394A" w:rsidRPr="00897659" w:rsidRDefault="009F394A" w:rsidP="00F5598E">
            <w:pPr>
              <w:rPr>
                <w:rFonts w:eastAsia="Calibri" w:cstheme="minorHAnsi"/>
              </w:rPr>
            </w:pPr>
          </w:p>
          <w:p w14:paraId="5635B9ED" w14:textId="77777777" w:rsidR="009F394A" w:rsidRPr="00897659" w:rsidRDefault="00897659" w:rsidP="00F5598E">
            <w:pPr>
              <w:rPr>
                <w:rFonts w:eastAsia="Calibri" w:cstheme="minorHAnsi"/>
              </w:rPr>
            </w:pPr>
            <w:r w:rsidRPr="00897659">
              <w:rPr>
                <w:rFonts w:eastAsia="Calibri" w:cstheme="minorHAnsi"/>
                <w:lang w:val="ru"/>
              </w:rPr>
              <w:t>Расходы на физическую инфраструктуру (суда, буи, поплавки и т. д.) в международных научных программах, поддержка судов для обучения на море.</w:t>
            </w:r>
          </w:p>
          <w:p w14:paraId="662AADC2" w14:textId="77777777" w:rsidR="009F394A" w:rsidRPr="00897659" w:rsidRDefault="009F394A" w:rsidP="00F5598E">
            <w:pPr>
              <w:rPr>
                <w:rFonts w:eastAsia="Calibri" w:cstheme="minorHAnsi"/>
              </w:rPr>
            </w:pPr>
          </w:p>
          <w:p w14:paraId="0E58E490" w14:textId="77777777" w:rsidR="009F394A" w:rsidRPr="00897659" w:rsidRDefault="009F394A" w:rsidP="00F5598E">
            <w:pPr>
              <w:rPr>
                <w:rFonts w:eastAsia="Calibri" w:cstheme="minorHAnsi"/>
              </w:rPr>
            </w:pPr>
          </w:p>
          <w:p w14:paraId="0345302C" w14:textId="77777777" w:rsidR="009F394A" w:rsidRPr="00897659" w:rsidRDefault="009F394A" w:rsidP="00F5598E">
            <w:pPr>
              <w:rPr>
                <w:rFonts w:eastAsia="Calibri" w:cstheme="minorHAnsi"/>
              </w:rPr>
            </w:pPr>
          </w:p>
          <w:p w14:paraId="1055C2E2" w14:textId="77777777" w:rsidR="009F394A" w:rsidRPr="00897659" w:rsidRDefault="009F394A" w:rsidP="00F5598E">
            <w:pPr>
              <w:rPr>
                <w:rFonts w:eastAsia="Calibri" w:cstheme="minorHAnsi"/>
              </w:rPr>
            </w:pPr>
          </w:p>
          <w:p w14:paraId="452202BD" w14:textId="77777777" w:rsidR="009F394A" w:rsidRPr="00897659" w:rsidRDefault="009F394A" w:rsidP="00F5598E">
            <w:pPr>
              <w:rPr>
                <w:rFonts w:eastAsia="Calibri" w:cstheme="minorHAnsi"/>
              </w:rPr>
            </w:pPr>
          </w:p>
          <w:p w14:paraId="44CFE4B3" w14:textId="77777777" w:rsidR="009F394A" w:rsidRPr="00897659" w:rsidRDefault="009F394A" w:rsidP="00F5598E">
            <w:pPr>
              <w:rPr>
                <w:rFonts w:eastAsia="Calibri" w:cstheme="minorHAnsi"/>
              </w:rPr>
            </w:pPr>
          </w:p>
          <w:p w14:paraId="76859146" w14:textId="77777777" w:rsidR="009F394A" w:rsidRPr="00897659" w:rsidRDefault="00897659" w:rsidP="00F5598E">
            <w:pPr>
              <w:rPr>
                <w:rFonts w:eastAsia="Calibri" w:cstheme="minorHAnsi"/>
              </w:rPr>
            </w:pPr>
            <w:r w:rsidRPr="00897659">
              <w:rPr>
                <w:rFonts w:eastAsia="Calibri" w:cstheme="minorHAnsi"/>
                <w:lang w:val="ru"/>
              </w:rPr>
              <w:t>Эксперты государств-членов, участву</w:t>
            </w:r>
            <w:r w:rsidRPr="00897659">
              <w:rPr>
                <w:rFonts w:eastAsia="Calibri" w:cstheme="minorHAnsi"/>
                <w:lang w:val="ru"/>
              </w:rPr>
              <w:t>ющие в экспертных комитетах/целевых группах.</w:t>
            </w:r>
          </w:p>
          <w:p w14:paraId="7D2319FF" w14:textId="77777777" w:rsidR="009F394A" w:rsidRPr="00897659" w:rsidRDefault="009F394A" w:rsidP="00F5598E">
            <w:pPr>
              <w:rPr>
                <w:rFonts w:eastAsia="Calibri" w:cstheme="minorHAnsi"/>
              </w:rPr>
            </w:pPr>
          </w:p>
          <w:p w14:paraId="46A9374F" w14:textId="77777777" w:rsidR="009F394A" w:rsidRPr="00897659" w:rsidRDefault="009F394A" w:rsidP="00F5598E">
            <w:pPr>
              <w:rPr>
                <w:rFonts w:eastAsia="Calibri" w:cstheme="minorHAnsi"/>
              </w:rPr>
            </w:pPr>
          </w:p>
          <w:p w14:paraId="64BBAC49" w14:textId="77777777" w:rsidR="009F394A" w:rsidRPr="00897659" w:rsidRDefault="009F394A" w:rsidP="00F5598E">
            <w:pPr>
              <w:rPr>
                <w:rFonts w:eastAsia="Calibri" w:cstheme="minorHAnsi"/>
              </w:rPr>
            </w:pPr>
          </w:p>
          <w:p w14:paraId="0ECD5D84" w14:textId="77777777" w:rsidR="009F394A" w:rsidRPr="00897659" w:rsidRDefault="00897659" w:rsidP="00F5598E">
            <w:pPr>
              <w:rPr>
                <w:rFonts w:eastAsia="Calibri" w:cstheme="minorHAnsi"/>
              </w:rPr>
            </w:pPr>
            <w:r w:rsidRPr="00897659">
              <w:rPr>
                <w:rFonts w:eastAsia="Calibri" w:cstheme="minorHAnsi"/>
                <w:lang w:val="ru"/>
              </w:rPr>
              <w:t>Расходы на национальное участие в совещании МОК.</w:t>
            </w:r>
          </w:p>
        </w:tc>
      </w:tr>
    </w:tbl>
    <w:p w14:paraId="67948752" w14:textId="77777777" w:rsidR="009F394A" w:rsidRPr="00897659" w:rsidRDefault="009F394A" w:rsidP="009F394A">
      <w:pPr>
        <w:rPr>
          <w:rFonts w:eastAsia="Calibri" w:cstheme="minorHAnsi"/>
          <w:b/>
        </w:rPr>
      </w:pPr>
    </w:p>
    <w:p w14:paraId="48184A34" w14:textId="77777777" w:rsidR="009F394A" w:rsidRPr="00897659" w:rsidRDefault="009F394A" w:rsidP="009F394A">
      <w:pPr>
        <w:rPr>
          <w:rFonts w:eastAsia="Calibri" w:cstheme="minorHAnsi"/>
          <w:b/>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F33BC" w:rsidRPr="00897659" w14:paraId="3F953E0C" w14:textId="77777777" w:rsidTr="00F5598E">
        <w:tc>
          <w:tcPr>
            <w:tcW w:w="9360" w:type="dxa"/>
            <w:shd w:val="clear" w:color="auto" w:fill="auto"/>
            <w:tcMar>
              <w:top w:w="100" w:type="dxa"/>
              <w:left w:w="100" w:type="dxa"/>
              <w:bottom w:w="100" w:type="dxa"/>
              <w:right w:w="100" w:type="dxa"/>
            </w:tcMar>
          </w:tcPr>
          <w:p w14:paraId="66E37891" w14:textId="77777777" w:rsidR="009F394A" w:rsidRPr="00897659" w:rsidRDefault="00897659" w:rsidP="00F5598E">
            <w:pPr>
              <w:widowControl w:val="0"/>
              <w:pBdr>
                <w:top w:val="nil"/>
                <w:left w:val="nil"/>
                <w:bottom w:val="nil"/>
                <w:right w:val="nil"/>
                <w:between w:val="nil"/>
              </w:pBdr>
              <w:rPr>
                <w:rFonts w:eastAsia="Calibri" w:cstheme="minorHAnsi"/>
                <w:b/>
              </w:rPr>
            </w:pPr>
            <w:r w:rsidRPr="00897659">
              <w:rPr>
                <w:rFonts w:eastAsia="Calibri" w:cstheme="minorHAnsi"/>
                <w:b/>
                <w:bCs/>
                <w:lang w:val="ru"/>
              </w:rPr>
              <w:t xml:space="preserve">2. </w:t>
            </w:r>
            <w:r w:rsidRPr="00897659">
              <w:rPr>
                <w:rFonts w:eastAsia="Calibri" w:cstheme="minorHAnsi"/>
                <w:b/>
                <w:bCs/>
                <w:lang w:val="ru"/>
              </w:rPr>
              <w:t>Подотчетные МОК официальные механизмы управления программой за счет взносов в натуральной форме</w:t>
            </w:r>
          </w:p>
        </w:tc>
      </w:tr>
    </w:tbl>
    <w:p w14:paraId="5B7A375D" w14:textId="77777777" w:rsidR="009F394A" w:rsidRPr="00897659" w:rsidRDefault="009F394A" w:rsidP="009F394A">
      <w:pPr>
        <w:rPr>
          <w:rFonts w:eastAsia="Calibri" w:cstheme="minorHAnsi"/>
          <w:b/>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5F33BC" w:rsidRPr="00897659" w14:paraId="4F8B9EF5" w14:textId="77777777" w:rsidTr="00F5598E">
        <w:trPr>
          <w:trHeight w:val="447"/>
        </w:trPr>
        <w:tc>
          <w:tcPr>
            <w:tcW w:w="4680" w:type="dxa"/>
          </w:tcPr>
          <w:p w14:paraId="7AAABEED" w14:textId="77777777" w:rsidR="009F394A" w:rsidRPr="00897659" w:rsidRDefault="00897659" w:rsidP="00F5598E">
            <w:pPr>
              <w:rPr>
                <w:rFonts w:eastAsia="Calibri" w:cstheme="minorHAnsi"/>
                <w:b/>
              </w:rPr>
            </w:pPr>
            <w:r w:rsidRPr="00897659">
              <w:rPr>
                <w:rFonts w:eastAsia="Calibri" w:cstheme="minorHAnsi"/>
                <w:b/>
                <w:bCs/>
                <w:lang w:val="ru"/>
              </w:rPr>
              <w:t>Отчет для своей страны или организации</w:t>
            </w:r>
          </w:p>
        </w:tc>
        <w:tc>
          <w:tcPr>
            <w:tcW w:w="4680" w:type="dxa"/>
          </w:tcPr>
          <w:p w14:paraId="036B89A1" w14:textId="77777777" w:rsidR="009F394A" w:rsidRPr="00897659" w:rsidRDefault="00897659" w:rsidP="00F5598E">
            <w:pPr>
              <w:rPr>
                <w:rFonts w:eastAsia="Calibri" w:cstheme="minorHAnsi"/>
                <w:b/>
              </w:rPr>
            </w:pPr>
            <w:r w:rsidRPr="00897659">
              <w:rPr>
                <w:rFonts w:eastAsia="Calibri" w:cstheme="minorHAnsi"/>
                <w:b/>
                <w:bCs/>
                <w:lang w:val="ru"/>
              </w:rPr>
              <w:t>Отчет не требуется</w:t>
            </w:r>
          </w:p>
        </w:tc>
      </w:tr>
      <w:tr w:rsidR="005F33BC" w:rsidRPr="00897659" w14:paraId="1F8CB4BA" w14:textId="77777777" w:rsidTr="00F5598E">
        <w:tc>
          <w:tcPr>
            <w:tcW w:w="4680" w:type="dxa"/>
            <w:shd w:val="clear" w:color="auto" w:fill="auto"/>
            <w:tcMar>
              <w:top w:w="100" w:type="dxa"/>
              <w:left w:w="100" w:type="dxa"/>
              <w:bottom w:w="100" w:type="dxa"/>
              <w:right w:w="100" w:type="dxa"/>
            </w:tcMar>
          </w:tcPr>
          <w:p w14:paraId="3A5E030F" w14:textId="77777777" w:rsidR="009F394A" w:rsidRPr="00897659" w:rsidRDefault="00897659" w:rsidP="00F5598E">
            <w:pPr>
              <w:rPr>
                <w:rFonts w:eastAsia="Calibri" w:cstheme="minorHAnsi"/>
                <w:b/>
              </w:rPr>
            </w:pPr>
            <w:r w:rsidRPr="00897659">
              <w:rPr>
                <w:rFonts w:eastAsia="Calibri" w:cstheme="minorHAnsi"/>
                <w:lang w:val="ru"/>
              </w:rPr>
              <w:lastRenderedPageBreak/>
              <w:t>Деятельность, которая непосредственно поддерживает потребности оперативной миссии МОК посредством официальных договоренностей или назначения провайдера данных слежения за цунами.</w:t>
            </w:r>
          </w:p>
        </w:tc>
        <w:tc>
          <w:tcPr>
            <w:tcW w:w="4680" w:type="dxa"/>
            <w:shd w:val="clear" w:color="auto" w:fill="auto"/>
            <w:tcMar>
              <w:top w:w="100" w:type="dxa"/>
              <w:left w:w="100" w:type="dxa"/>
              <w:bottom w:w="100" w:type="dxa"/>
              <w:right w:w="100" w:type="dxa"/>
            </w:tcMar>
          </w:tcPr>
          <w:p w14:paraId="43A81910" w14:textId="77777777" w:rsidR="009F394A" w:rsidRPr="00897659" w:rsidRDefault="00897659" w:rsidP="00F5598E">
            <w:pPr>
              <w:rPr>
                <w:rFonts w:eastAsia="Calibri" w:cstheme="minorHAnsi"/>
              </w:rPr>
            </w:pPr>
            <w:r w:rsidRPr="00897659">
              <w:rPr>
                <w:rFonts w:eastAsia="Calibri" w:cstheme="minorHAnsi"/>
                <w:lang w:val="ru"/>
              </w:rPr>
              <w:t>Деятельность, включая системы наблюдения за океаном и раннего предупреждения,</w:t>
            </w:r>
            <w:r w:rsidRPr="00897659">
              <w:rPr>
                <w:rFonts w:eastAsia="Calibri" w:cstheme="minorHAnsi"/>
                <w:lang w:val="ru"/>
              </w:rPr>
              <w:t xml:space="preserve"> которая в первую очередь поддерживает только национальные интересы.</w:t>
            </w:r>
          </w:p>
          <w:p w14:paraId="22D640A6" w14:textId="77777777" w:rsidR="009F394A" w:rsidRPr="00897659" w:rsidRDefault="009F394A" w:rsidP="00F5598E">
            <w:pPr>
              <w:rPr>
                <w:rFonts w:eastAsia="Calibri" w:cstheme="minorHAnsi"/>
              </w:rPr>
            </w:pPr>
          </w:p>
          <w:p w14:paraId="107ADEDF" w14:textId="77777777" w:rsidR="009F394A" w:rsidRPr="00897659" w:rsidRDefault="00897659" w:rsidP="00F5598E">
            <w:pPr>
              <w:rPr>
                <w:rFonts w:eastAsia="Calibri" w:cstheme="minorHAnsi"/>
              </w:rPr>
            </w:pPr>
            <w:r w:rsidRPr="00897659">
              <w:rPr>
                <w:rFonts w:eastAsia="Calibri" w:cstheme="minorHAnsi"/>
                <w:lang w:val="ru"/>
              </w:rPr>
              <w:t>Расходы на физическую инфраструктуру (суда, буи, поплавки и т. д.) в международных научных программах, поддержка судов для обучения на море.</w:t>
            </w:r>
          </w:p>
          <w:p w14:paraId="54C4DE30" w14:textId="77777777" w:rsidR="009F394A" w:rsidRPr="00897659" w:rsidRDefault="009F394A" w:rsidP="00F5598E">
            <w:pPr>
              <w:rPr>
                <w:rFonts w:eastAsia="Calibri" w:cstheme="minorHAnsi"/>
              </w:rPr>
            </w:pPr>
          </w:p>
        </w:tc>
      </w:tr>
    </w:tbl>
    <w:p w14:paraId="73FDFC83" w14:textId="77777777" w:rsidR="009F394A" w:rsidRPr="00897659" w:rsidRDefault="009F394A" w:rsidP="009F394A">
      <w:pPr>
        <w:rPr>
          <w:rFonts w:eastAsia="Calibri" w:cstheme="minorHAnsi"/>
          <w:b/>
        </w:rPr>
      </w:pPr>
    </w:p>
    <w:p w14:paraId="71CD2F96" w14:textId="77777777" w:rsidR="009F394A" w:rsidRPr="00897659" w:rsidRDefault="00897659">
      <w:pPr>
        <w:shd w:val="clear" w:color="auto" w:fill="D9D9D9" w:themeFill="background1" w:themeFillShade="D9"/>
        <w:spacing w:after="240"/>
        <w:jc w:val="both"/>
        <w:rPr>
          <w:rFonts w:eastAsia="Calibri" w:cstheme="minorHAnsi"/>
          <w:b/>
        </w:rPr>
      </w:pPr>
      <w:r w:rsidRPr="00897659">
        <w:rPr>
          <w:rFonts w:eastAsia="Calibri" w:cstheme="minorHAnsi"/>
          <w:b/>
          <w:bCs/>
          <w:lang w:val="ru"/>
        </w:rPr>
        <w:t>ШАБЛОН ДЛЯ ВЗНОСОВ В НАТУРАЛЬНОЙ ФОРМЕ</w:t>
      </w:r>
    </w:p>
    <w:p w14:paraId="67A79363" w14:textId="77777777" w:rsidR="009F394A" w:rsidRPr="00897659" w:rsidRDefault="00897659">
      <w:pPr>
        <w:spacing w:after="240"/>
        <w:jc w:val="both"/>
        <w:rPr>
          <w:rFonts w:eastAsia="Calibri" w:cstheme="minorHAnsi"/>
          <w:color w:val="1F497D"/>
        </w:rPr>
      </w:pPr>
      <w:r w:rsidRPr="00897659">
        <w:rPr>
          <w:rFonts w:eastAsia="Roboto" w:cstheme="minorHAnsi"/>
          <w:color w:val="3C4043"/>
          <w:lang w:val="ru"/>
        </w:rPr>
        <w:t>Секретариат циркулярными письмами в июне/июле направит государствам-членам запросы на предоставление обновленной информации о взносах в натуральной форме за календарный год. Ответ должен быть дан до 31 января следующе</w:t>
      </w:r>
      <w:r w:rsidRPr="00897659">
        <w:rPr>
          <w:rFonts w:eastAsia="Roboto" w:cstheme="minorHAnsi"/>
          <w:color w:val="3C4043"/>
          <w:lang w:val="ru"/>
        </w:rPr>
        <w:t xml:space="preserve">го года.  </w:t>
      </w:r>
    </w:p>
    <w:tbl>
      <w:tblPr>
        <w:tblW w:w="8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1350"/>
        <w:gridCol w:w="3240"/>
        <w:gridCol w:w="1710"/>
      </w:tblGrid>
      <w:tr w:rsidR="005F33BC" w:rsidRPr="00897659" w14:paraId="5AB78731" w14:textId="77777777" w:rsidTr="009F394A">
        <w:trPr>
          <w:jc w:val="center"/>
        </w:trPr>
        <w:tc>
          <w:tcPr>
            <w:tcW w:w="8005" w:type="dxa"/>
            <w:gridSpan w:val="4"/>
          </w:tcPr>
          <w:p w14:paraId="22CE2D96" w14:textId="77777777" w:rsidR="009F394A" w:rsidRPr="00897659" w:rsidRDefault="00897659">
            <w:pPr>
              <w:spacing w:after="240"/>
              <w:jc w:val="both"/>
              <w:rPr>
                <w:rFonts w:eastAsia="Calibri" w:cstheme="minorHAnsi"/>
                <w:b/>
              </w:rPr>
            </w:pPr>
            <w:r w:rsidRPr="00897659">
              <w:rPr>
                <w:rFonts w:eastAsia="Calibri" w:cstheme="minorHAnsi"/>
                <w:b/>
                <w:bCs/>
                <w:lang w:val="ru"/>
              </w:rPr>
              <w:t>МЕЖПРАВИТЕЛЬСТВЕННАЯ ОКЕАНОГРАФИЧЕСКАЯ КОМИССИЯ</w:t>
            </w:r>
          </w:p>
        </w:tc>
      </w:tr>
      <w:tr w:rsidR="005F33BC" w:rsidRPr="00897659" w14:paraId="646DDB43" w14:textId="77777777" w:rsidTr="009F394A">
        <w:trPr>
          <w:jc w:val="center"/>
        </w:trPr>
        <w:tc>
          <w:tcPr>
            <w:tcW w:w="8005" w:type="dxa"/>
            <w:gridSpan w:val="4"/>
          </w:tcPr>
          <w:p w14:paraId="4DCA4961" w14:textId="77777777" w:rsidR="009F394A" w:rsidRPr="00897659" w:rsidRDefault="00897659">
            <w:pPr>
              <w:spacing w:after="240"/>
              <w:jc w:val="both"/>
              <w:rPr>
                <w:rFonts w:eastAsia="Calibri" w:cstheme="minorHAnsi"/>
                <w:b/>
              </w:rPr>
            </w:pPr>
            <w:r w:rsidRPr="00897659">
              <w:rPr>
                <w:rFonts w:eastAsia="Calibri" w:cstheme="minorHAnsi"/>
                <w:b/>
                <w:bCs/>
                <w:lang w:val="ru"/>
              </w:rPr>
              <w:t>Взносы в натуральной форме, предоставленные в календарном 2xxx году</w:t>
            </w:r>
          </w:p>
        </w:tc>
      </w:tr>
      <w:tr w:rsidR="005F33BC" w:rsidRPr="00897659" w14:paraId="02D3CE86" w14:textId="77777777" w:rsidTr="009F394A">
        <w:trPr>
          <w:jc w:val="center"/>
        </w:trPr>
        <w:tc>
          <w:tcPr>
            <w:tcW w:w="1705" w:type="dxa"/>
          </w:tcPr>
          <w:p w14:paraId="65818F0D" w14:textId="77777777" w:rsidR="009F394A" w:rsidRPr="00897659" w:rsidRDefault="00897659">
            <w:pPr>
              <w:spacing w:after="240"/>
              <w:jc w:val="both"/>
              <w:rPr>
                <w:rFonts w:eastAsia="Calibri" w:cstheme="minorHAnsi"/>
                <w:b/>
              </w:rPr>
            </w:pPr>
            <w:r w:rsidRPr="00897659">
              <w:rPr>
                <w:rFonts w:eastAsia="Calibri" w:cstheme="minorHAnsi"/>
                <w:b/>
                <w:bCs/>
                <w:lang w:val="ru"/>
              </w:rPr>
              <w:t>Источник финансирования</w:t>
            </w:r>
          </w:p>
        </w:tc>
        <w:tc>
          <w:tcPr>
            <w:tcW w:w="1350" w:type="dxa"/>
          </w:tcPr>
          <w:p w14:paraId="3659CD46" w14:textId="77777777" w:rsidR="009F394A" w:rsidRPr="00897659" w:rsidRDefault="00897659">
            <w:pPr>
              <w:spacing w:after="240"/>
              <w:jc w:val="both"/>
              <w:rPr>
                <w:rFonts w:eastAsia="Calibri" w:cstheme="minorHAnsi"/>
                <w:b/>
              </w:rPr>
            </w:pPr>
            <w:r w:rsidRPr="00897659">
              <w:rPr>
                <w:rFonts w:eastAsia="Calibri" w:cstheme="minorHAnsi"/>
                <w:b/>
                <w:bCs/>
                <w:lang w:val="ru"/>
              </w:rPr>
              <w:t>долл. США</w:t>
            </w:r>
          </w:p>
        </w:tc>
        <w:tc>
          <w:tcPr>
            <w:tcW w:w="3240" w:type="dxa"/>
          </w:tcPr>
          <w:p w14:paraId="2E24D152" w14:textId="77777777" w:rsidR="009F394A" w:rsidRPr="00897659" w:rsidRDefault="00897659">
            <w:pPr>
              <w:spacing w:after="240"/>
              <w:jc w:val="both"/>
              <w:rPr>
                <w:rFonts w:eastAsia="Calibri" w:cstheme="minorHAnsi"/>
                <w:b/>
              </w:rPr>
            </w:pPr>
            <w:r w:rsidRPr="00897659">
              <w:rPr>
                <w:rFonts w:eastAsia="Calibri" w:cstheme="minorHAnsi"/>
                <w:b/>
                <w:bCs/>
                <w:lang w:val="ru"/>
              </w:rPr>
              <w:t>Назначение</w:t>
            </w:r>
          </w:p>
        </w:tc>
        <w:tc>
          <w:tcPr>
            <w:tcW w:w="1710" w:type="dxa"/>
          </w:tcPr>
          <w:p w14:paraId="557EF6ED" w14:textId="77777777" w:rsidR="009F394A" w:rsidRPr="00897659" w:rsidRDefault="00897659">
            <w:pPr>
              <w:spacing w:after="240"/>
              <w:jc w:val="both"/>
              <w:rPr>
                <w:rFonts w:eastAsia="Calibri" w:cstheme="minorHAnsi"/>
                <w:b/>
              </w:rPr>
            </w:pPr>
            <w:r w:rsidRPr="00897659">
              <w:rPr>
                <w:rFonts w:eastAsia="Calibri" w:cstheme="minorHAnsi"/>
                <w:b/>
                <w:bCs/>
                <w:lang w:val="ru"/>
              </w:rPr>
              <w:t>Функция МОК</w:t>
            </w:r>
          </w:p>
        </w:tc>
      </w:tr>
      <w:tr w:rsidR="005F33BC" w:rsidRPr="00897659" w14:paraId="0806FF6D" w14:textId="77777777" w:rsidTr="009F394A">
        <w:trPr>
          <w:jc w:val="center"/>
        </w:trPr>
        <w:tc>
          <w:tcPr>
            <w:tcW w:w="1705" w:type="dxa"/>
          </w:tcPr>
          <w:p w14:paraId="12A697CA" w14:textId="77777777" w:rsidR="009F394A" w:rsidRPr="00897659" w:rsidRDefault="009F394A">
            <w:pPr>
              <w:spacing w:after="240"/>
              <w:jc w:val="both"/>
              <w:rPr>
                <w:rFonts w:eastAsia="Calibri" w:cstheme="minorHAnsi"/>
                <w:b/>
              </w:rPr>
            </w:pPr>
          </w:p>
        </w:tc>
        <w:tc>
          <w:tcPr>
            <w:tcW w:w="1350" w:type="dxa"/>
          </w:tcPr>
          <w:p w14:paraId="1C19E133" w14:textId="77777777" w:rsidR="009F394A" w:rsidRPr="00897659" w:rsidRDefault="009F394A">
            <w:pPr>
              <w:spacing w:after="240"/>
              <w:jc w:val="both"/>
              <w:rPr>
                <w:rFonts w:eastAsia="Calibri" w:cstheme="minorHAnsi"/>
                <w:b/>
              </w:rPr>
            </w:pPr>
          </w:p>
        </w:tc>
        <w:tc>
          <w:tcPr>
            <w:tcW w:w="3240" w:type="dxa"/>
          </w:tcPr>
          <w:p w14:paraId="27E13094" w14:textId="77777777" w:rsidR="009F394A" w:rsidRPr="00897659" w:rsidRDefault="009F394A">
            <w:pPr>
              <w:spacing w:after="240"/>
              <w:jc w:val="both"/>
              <w:rPr>
                <w:rFonts w:eastAsia="Calibri" w:cstheme="minorHAnsi"/>
                <w:b/>
              </w:rPr>
            </w:pPr>
          </w:p>
        </w:tc>
        <w:tc>
          <w:tcPr>
            <w:tcW w:w="1710" w:type="dxa"/>
          </w:tcPr>
          <w:p w14:paraId="05116972" w14:textId="77777777" w:rsidR="009F394A" w:rsidRPr="00897659" w:rsidRDefault="009F394A">
            <w:pPr>
              <w:spacing w:after="240"/>
              <w:jc w:val="both"/>
              <w:rPr>
                <w:rFonts w:eastAsia="Calibri" w:cstheme="minorHAnsi"/>
                <w:b/>
              </w:rPr>
            </w:pPr>
          </w:p>
        </w:tc>
      </w:tr>
      <w:tr w:rsidR="005F33BC" w:rsidRPr="00897659" w14:paraId="24F088EF" w14:textId="77777777" w:rsidTr="009F394A">
        <w:trPr>
          <w:jc w:val="center"/>
        </w:trPr>
        <w:tc>
          <w:tcPr>
            <w:tcW w:w="1705" w:type="dxa"/>
          </w:tcPr>
          <w:p w14:paraId="0F81B73E" w14:textId="77777777" w:rsidR="009F394A" w:rsidRPr="00897659" w:rsidRDefault="009F394A">
            <w:pPr>
              <w:spacing w:after="240"/>
              <w:jc w:val="both"/>
              <w:rPr>
                <w:rFonts w:eastAsia="Calibri" w:cstheme="minorHAnsi"/>
                <w:b/>
              </w:rPr>
            </w:pPr>
          </w:p>
        </w:tc>
        <w:tc>
          <w:tcPr>
            <w:tcW w:w="1350" w:type="dxa"/>
          </w:tcPr>
          <w:p w14:paraId="7E5F734D" w14:textId="77777777" w:rsidR="009F394A" w:rsidRPr="00897659" w:rsidRDefault="009F394A">
            <w:pPr>
              <w:spacing w:after="240"/>
              <w:jc w:val="both"/>
              <w:rPr>
                <w:rFonts w:eastAsia="Calibri" w:cstheme="minorHAnsi"/>
                <w:b/>
              </w:rPr>
            </w:pPr>
          </w:p>
        </w:tc>
        <w:tc>
          <w:tcPr>
            <w:tcW w:w="3240" w:type="dxa"/>
          </w:tcPr>
          <w:p w14:paraId="2ED75081" w14:textId="77777777" w:rsidR="009F394A" w:rsidRPr="00897659" w:rsidRDefault="009F394A">
            <w:pPr>
              <w:spacing w:after="240"/>
              <w:jc w:val="both"/>
              <w:rPr>
                <w:rFonts w:eastAsia="Calibri" w:cstheme="minorHAnsi"/>
                <w:b/>
              </w:rPr>
            </w:pPr>
          </w:p>
        </w:tc>
        <w:tc>
          <w:tcPr>
            <w:tcW w:w="1710" w:type="dxa"/>
          </w:tcPr>
          <w:p w14:paraId="15381E56" w14:textId="77777777" w:rsidR="009F394A" w:rsidRPr="00897659" w:rsidRDefault="009F394A">
            <w:pPr>
              <w:spacing w:after="240"/>
              <w:jc w:val="both"/>
              <w:rPr>
                <w:rFonts w:eastAsia="Calibri" w:cstheme="minorHAnsi"/>
                <w:b/>
              </w:rPr>
            </w:pPr>
          </w:p>
        </w:tc>
      </w:tr>
    </w:tbl>
    <w:p w14:paraId="3AC1FB70" w14:textId="77777777" w:rsidR="009F394A" w:rsidRPr="00897659" w:rsidRDefault="009F394A">
      <w:pPr>
        <w:spacing w:after="240"/>
        <w:jc w:val="both"/>
        <w:rPr>
          <w:rFonts w:eastAsia="Calibri" w:cstheme="minorHAnsi"/>
          <w:color w:val="1F497D"/>
        </w:rPr>
      </w:pPr>
    </w:p>
    <w:p w14:paraId="3ED7BD85" w14:textId="77777777" w:rsidR="009F394A" w:rsidRPr="00897659" w:rsidRDefault="00897659">
      <w:pPr>
        <w:spacing w:after="240"/>
        <w:jc w:val="both"/>
        <w:rPr>
          <w:rFonts w:eastAsia="Calibri" w:cstheme="minorHAnsi"/>
          <w:color w:val="1F497D"/>
        </w:rPr>
      </w:pPr>
      <w:r w:rsidRPr="00897659">
        <w:rPr>
          <w:rFonts w:eastAsia="Calibri" w:cstheme="minorHAnsi"/>
          <w:color w:val="1F497D"/>
          <w:lang w:val="ru"/>
        </w:rPr>
        <w:t>Крайний срок предоставления ответов — 31 января следующего года.</w:t>
      </w:r>
    </w:p>
    <w:p w14:paraId="758E7C3E" w14:textId="77777777" w:rsidR="009F394A" w:rsidRPr="00F02A0F" w:rsidRDefault="00897659">
      <w:pPr>
        <w:spacing w:after="240"/>
        <w:jc w:val="both"/>
        <w:rPr>
          <w:rFonts w:eastAsia="Calibri" w:cstheme="minorHAnsi"/>
        </w:rPr>
      </w:pPr>
      <w:r w:rsidRPr="00897659">
        <w:rPr>
          <w:rFonts w:eastAsia="Calibri" w:cstheme="minorHAnsi"/>
          <w:u w:val="single"/>
          <w:lang w:val="ru"/>
        </w:rPr>
        <w:t>Примечание</w:t>
      </w:r>
      <w:r w:rsidRPr="00897659">
        <w:rPr>
          <w:rFonts w:eastAsia="Calibri" w:cstheme="minorHAnsi"/>
          <w:lang w:val="ru"/>
        </w:rPr>
        <w:t xml:space="preserve">:  Проведение различия между двумя отдельными категориями взносов в натуральной форме может потребовать дальнейшего обсуждения.  Между этими двумя категориями может быть лишь очень </w:t>
      </w:r>
      <w:r w:rsidRPr="00897659">
        <w:rPr>
          <w:rFonts w:eastAsia="Calibri" w:cstheme="minorHAnsi"/>
          <w:lang w:val="ru"/>
        </w:rPr>
        <w:t>тонкая грань, за исключением неофициальных вкладов в натуральной форме, таких как организация поездки или семинара.</w:t>
      </w:r>
    </w:p>
    <w:p w14:paraId="76414A0F" w14:textId="77777777" w:rsidR="009F394A" w:rsidRPr="000102B7" w:rsidRDefault="009F394A">
      <w:pPr>
        <w:pStyle w:val="Default"/>
        <w:snapToGrid w:val="0"/>
        <w:spacing w:after="240"/>
        <w:jc w:val="both"/>
        <w:rPr>
          <w:rFonts w:asciiTheme="minorHAnsi" w:hAnsiTheme="minorHAnsi" w:cstheme="minorHAnsi"/>
          <w:b/>
          <w:color w:val="000000" w:themeColor="text1"/>
          <w:sz w:val="22"/>
          <w:szCs w:val="22"/>
        </w:rPr>
      </w:pPr>
    </w:p>
    <w:p w14:paraId="41C32540" w14:textId="77777777" w:rsidR="006805F7" w:rsidRPr="00A3408F" w:rsidRDefault="006805F7">
      <w:pPr>
        <w:spacing w:after="240"/>
        <w:jc w:val="both"/>
        <w:rPr>
          <w:rFonts w:cs="Arial"/>
          <w:szCs w:val="22"/>
        </w:rPr>
      </w:pPr>
    </w:p>
    <w:sectPr w:rsidR="006805F7" w:rsidRPr="00A3408F" w:rsidSect="003F7186">
      <w:headerReference w:type="even" r:id="rId32"/>
      <w:headerReference w:type="default" r:id="rId33"/>
      <w:headerReference w:type="first" r:id="rId34"/>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4F745" w14:textId="77777777" w:rsidR="00000000" w:rsidRDefault="00897659">
      <w:r>
        <w:separator/>
      </w:r>
    </w:p>
  </w:endnote>
  <w:endnote w:type="continuationSeparator" w:id="0">
    <w:p w14:paraId="241B544F" w14:textId="77777777" w:rsidR="00000000" w:rsidRDefault="0089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D2999" w14:textId="77777777" w:rsidR="0031156B" w:rsidRDefault="00311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425C7" w14:textId="77777777" w:rsidR="0031156B" w:rsidRDefault="003115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126FD" w14:textId="77777777" w:rsidR="0031156B" w:rsidRDefault="00311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8CF34" w14:textId="77777777" w:rsidR="00000000" w:rsidRDefault="00897659">
      <w:r>
        <w:separator/>
      </w:r>
    </w:p>
  </w:footnote>
  <w:footnote w:type="continuationSeparator" w:id="0">
    <w:p w14:paraId="2E81CFA3" w14:textId="77777777" w:rsidR="00000000" w:rsidRDefault="0089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AA825" w14:textId="77777777" w:rsidR="00441140" w:rsidRPr="00C962F0" w:rsidRDefault="00897659">
    <w:pPr>
      <w:pStyle w:val="Header"/>
      <w:rPr>
        <w:szCs w:val="22"/>
      </w:rPr>
    </w:pPr>
    <w:r>
      <w:rPr>
        <w:szCs w:val="22"/>
        <w:lang w:val="ru"/>
      </w:rPr>
      <w:t xml:space="preserve">ICG/CARIBE-EWS II/WD </w:t>
    </w:r>
    <w:r>
      <w:rPr>
        <w:szCs w:val="22"/>
        <w:highlight w:val="cyan"/>
        <w:lang w:val="ru"/>
      </w:rPr>
      <w:t>__</w:t>
    </w:r>
  </w:p>
  <w:p w14:paraId="7E6173F2" w14:textId="77777777" w:rsidR="00441140" w:rsidRPr="00C962F0" w:rsidRDefault="00897659">
    <w:pPr>
      <w:pStyle w:val="Header"/>
      <w:rPr>
        <w:szCs w:val="22"/>
      </w:rPr>
    </w:pPr>
    <w:r>
      <w:rPr>
        <w:szCs w:val="22"/>
        <w:lang w:val="ru"/>
      </w:rPr>
      <w:t>Страница </w:t>
    </w:r>
    <w:r>
      <w:rPr>
        <w:rStyle w:val="PageNumber"/>
        <w:szCs w:val="22"/>
        <w:lang w:val="ru"/>
      </w:rPr>
      <w:fldChar w:fldCharType="begin"/>
    </w:r>
    <w:r>
      <w:rPr>
        <w:rStyle w:val="PageNumber"/>
        <w:szCs w:val="22"/>
        <w:lang w:val="ru"/>
      </w:rPr>
      <w:instrText xml:space="preserve"> PAGE </w:instrText>
    </w:r>
    <w:r>
      <w:rPr>
        <w:rStyle w:val="PageNumber"/>
        <w:szCs w:val="22"/>
        <w:lang w:val="ru"/>
      </w:rPr>
      <w:fldChar w:fldCharType="separate"/>
    </w:r>
    <w:r>
      <w:rPr>
        <w:rStyle w:val="PageNumber"/>
        <w:noProof/>
        <w:szCs w:val="22"/>
        <w:lang w:val="ru"/>
      </w:rPr>
      <w:t>2</w:t>
    </w:r>
    <w:r>
      <w:rPr>
        <w:rStyle w:val="PageNumber"/>
        <w:szCs w:val="22"/>
        <w:lang w:val="r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452C0" w14:textId="77777777" w:rsidR="00441140" w:rsidRPr="00746B89" w:rsidRDefault="00897659" w:rsidP="00DF2FB9">
    <w:pPr>
      <w:pStyle w:val="Header"/>
      <w:tabs>
        <w:tab w:val="clear" w:pos="8306"/>
      </w:tabs>
      <w:rPr>
        <w:szCs w:val="22"/>
      </w:rPr>
    </w:pPr>
    <w:r>
      <w:rPr>
        <w:szCs w:val="22"/>
        <w:lang w:val="ru"/>
      </w:rPr>
      <w:t xml:space="preserve">IOC-XXIV/2 Annex </w:t>
    </w:r>
    <w:r>
      <w:rPr>
        <w:szCs w:val="22"/>
        <w:highlight w:val="yellow"/>
        <w:lang w:val="ru"/>
      </w:rPr>
      <w:t>__</w:t>
    </w:r>
  </w:p>
  <w:p w14:paraId="03576001" w14:textId="77777777" w:rsidR="00441140" w:rsidRPr="00746B89" w:rsidRDefault="00897659" w:rsidP="00DF2FB9">
    <w:pPr>
      <w:pStyle w:val="Header"/>
      <w:tabs>
        <w:tab w:val="clear" w:pos="8306"/>
      </w:tabs>
      <w:rPr>
        <w:szCs w:val="22"/>
      </w:rPr>
    </w:pPr>
    <w:r>
      <w:rPr>
        <w:szCs w:val="22"/>
        <w:lang w:val="ru"/>
      </w:rPr>
      <w:t>Страница </w:t>
    </w:r>
    <w:r>
      <w:rPr>
        <w:rStyle w:val="PageNumber"/>
        <w:szCs w:val="22"/>
        <w:lang w:val="ru"/>
      </w:rPr>
      <w:fldChar w:fldCharType="begin"/>
    </w:r>
    <w:r>
      <w:rPr>
        <w:rStyle w:val="PageNumber"/>
        <w:szCs w:val="22"/>
        <w:lang w:val="ru"/>
      </w:rPr>
      <w:instrText xml:space="preserve"> PAGE </w:instrText>
    </w:r>
    <w:r>
      <w:rPr>
        <w:rStyle w:val="PageNumber"/>
        <w:szCs w:val="22"/>
        <w:lang w:val="ru"/>
      </w:rPr>
      <w:fldChar w:fldCharType="separate"/>
    </w:r>
    <w:r>
      <w:rPr>
        <w:rStyle w:val="PageNumber"/>
        <w:noProof/>
        <w:szCs w:val="22"/>
        <w:lang w:val="ru"/>
      </w:rPr>
      <w:t>3</w:t>
    </w:r>
    <w:r>
      <w:rPr>
        <w:rStyle w:val="PageNumber"/>
        <w:szCs w:val="22"/>
        <w:lang w:val="ru"/>
      </w:rPr>
      <w:fldChar w:fldCharType="end"/>
    </w:r>
  </w:p>
  <w:p w14:paraId="4A0AA815" w14:textId="77777777" w:rsidR="00441140" w:rsidRPr="00DF2FB9" w:rsidRDefault="00441140"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AF9A4" w14:textId="77777777" w:rsidR="00441140" w:rsidRPr="005E544C" w:rsidRDefault="00897659" w:rsidP="00980BE0">
    <w:pPr>
      <w:pStyle w:val="Marge"/>
      <w:tabs>
        <w:tab w:val="left" w:pos="7230"/>
        <w:tab w:val="left" w:pos="8080"/>
      </w:tabs>
      <w:spacing w:after="0"/>
      <w:rPr>
        <w:rFonts w:cs="Arial"/>
        <w:b/>
        <w:szCs w:val="22"/>
      </w:rPr>
    </w:pPr>
    <w:r>
      <w:rPr>
        <w:lang w:val="ru"/>
      </w:rPr>
      <w:tab/>
    </w:r>
  </w:p>
  <w:p w14:paraId="1927AE45" w14:textId="77777777" w:rsidR="000156E0" w:rsidRPr="007D1933" w:rsidRDefault="00897659" w:rsidP="007D1933">
    <w:pPr>
      <w:pStyle w:val="Marge"/>
      <w:tabs>
        <w:tab w:val="left" w:pos="6663"/>
        <w:tab w:val="left" w:pos="8080"/>
      </w:tabs>
      <w:spacing w:after="0"/>
      <w:rPr>
        <w:rFonts w:cs="Arial"/>
        <w:b/>
        <w:sz w:val="36"/>
        <w:szCs w:val="36"/>
      </w:rPr>
    </w:pPr>
    <w:r>
      <w:rPr>
        <w:rFonts w:cs="Arial"/>
        <w:szCs w:val="22"/>
        <w:lang w:val="ru"/>
      </w:rPr>
      <w:t>Рассылается по списку</w:t>
    </w:r>
    <w:r>
      <w:rPr>
        <w:rFonts w:cs="Arial"/>
        <w:szCs w:val="22"/>
        <w:lang w:val="ru"/>
      </w:rPr>
      <w:tab/>
    </w:r>
    <w:r>
      <w:rPr>
        <w:rFonts w:cs="Arial"/>
        <w:b/>
        <w:bCs/>
        <w:sz w:val="36"/>
        <w:szCs w:val="36"/>
        <w:lang w:val="ru"/>
      </w:rPr>
      <w:t>IOC/A-31/4.3.Doc</w:t>
    </w:r>
  </w:p>
  <w:p w14:paraId="22554E8E" w14:textId="77777777" w:rsidR="000156E0" w:rsidRPr="005E544C" w:rsidRDefault="00897659" w:rsidP="007D1933">
    <w:pPr>
      <w:tabs>
        <w:tab w:val="clear" w:pos="567"/>
        <w:tab w:val="left" w:pos="6663"/>
        <w:tab w:val="left" w:pos="8080"/>
      </w:tabs>
      <w:rPr>
        <w:rFonts w:cs="Arial"/>
        <w:szCs w:val="22"/>
      </w:rPr>
    </w:pPr>
    <w:r>
      <w:rPr>
        <w:rFonts w:cs="Arial"/>
        <w:szCs w:val="22"/>
        <w:lang w:val="ru"/>
      </w:rPr>
      <w:tab/>
      <w:t xml:space="preserve">Париж, 11 июня 2021 года </w:t>
    </w:r>
  </w:p>
  <w:p w14:paraId="3DB36DFC" w14:textId="77777777" w:rsidR="000156E0" w:rsidRPr="005E544C" w:rsidRDefault="00897659" w:rsidP="007D1933">
    <w:pPr>
      <w:tabs>
        <w:tab w:val="clear" w:pos="567"/>
        <w:tab w:val="left" w:pos="6663"/>
        <w:tab w:val="left" w:pos="8080"/>
      </w:tabs>
      <w:rPr>
        <w:rFonts w:cs="Arial"/>
        <w:szCs w:val="22"/>
      </w:rPr>
    </w:pPr>
    <w:r>
      <w:rPr>
        <w:rFonts w:cs="Arial"/>
        <w:szCs w:val="22"/>
        <w:lang w:val="ru"/>
      </w:rPr>
      <w:tab/>
      <w:t>Язык оригинала:</w:t>
    </w:r>
    <w:r>
      <w:rPr>
        <w:rFonts w:cs="Arial"/>
        <w:b/>
        <w:bCs/>
        <w:szCs w:val="22"/>
        <w:lang w:val="ru"/>
      </w:rPr>
      <w:t xml:space="preserve"> </w:t>
    </w:r>
    <w:r>
      <w:rPr>
        <w:rFonts w:cs="Arial"/>
        <w:szCs w:val="22"/>
        <w:lang w:val="ru"/>
      </w:rPr>
      <w:t xml:space="preserve">английский </w:t>
    </w:r>
  </w:p>
  <w:p w14:paraId="278F3291" w14:textId="77777777" w:rsidR="000156E0" w:rsidRPr="005E544C" w:rsidRDefault="000156E0" w:rsidP="00980BE0">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6804"/>
        <w:tab w:val="left" w:pos="7020"/>
        <w:tab w:val="left" w:pos="8080"/>
      </w:tabs>
      <w:rPr>
        <w:rFonts w:cs="Arial"/>
        <w:b/>
        <w:szCs w:val="22"/>
      </w:rPr>
    </w:pPr>
  </w:p>
  <w:p w14:paraId="3B93AC3C" w14:textId="77777777" w:rsidR="000156E0" w:rsidRPr="005E544C" w:rsidRDefault="00897659" w:rsidP="000156E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rPr>
        <w:rFonts w:cs="Arial"/>
        <w:b/>
        <w:szCs w:val="22"/>
      </w:rPr>
    </w:pPr>
    <w:r>
      <w:rPr>
        <w:noProof/>
        <w:lang w:val="ru"/>
      </w:rPr>
      <w:drawing>
        <wp:anchor distT="0" distB="0" distL="114300" distR="114300" simplePos="0" relativeHeight="251658240" behindDoc="1" locked="0" layoutInCell="1" allowOverlap="1" wp14:anchorId="6FFB79DE" wp14:editId="1D7F374E">
          <wp:simplePos x="0" y="0"/>
          <wp:positionH relativeFrom="column">
            <wp:posOffset>-102135</wp:posOffset>
          </wp:positionH>
          <wp:positionV relativeFrom="paragraph">
            <wp:posOffset>161925</wp:posOffset>
          </wp:positionV>
          <wp:extent cx="1714500" cy="881380"/>
          <wp:effectExtent l="0" t="0" r="0" b="0"/>
          <wp:wrapSquare wrapText="bothSides"/>
          <wp:docPr id="1"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93004"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433F2F" w14:textId="77777777" w:rsidR="000156E0" w:rsidRPr="00010BBB" w:rsidRDefault="00897659" w:rsidP="000156E0">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rFonts w:cs="Arial"/>
        <w:b/>
        <w:bCs/>
        <w:sz w:val="24"/>
        <w:lang w:val="ru"/>
      </w:rPr>
      <w:t>МЕЖПРАВИТЕЛЬСТВЕННАЯ ОКЕАНОГРАФИЧЕСКАЯ КОМИССИЯ</w:t>
    </w:r>
  </w:p>
  <w:p w14:paraId="4DDBA931" w14:textId="77777777" w:rsidR="000156E0" w:rsidRPr="003561BE" w:rsidRDefault="00897659" w:rsidP="000156E0">
    <w:pPr>
      <w:tabs>
        <w:tab w:val="left" w:pos="-1440"/>
        <w:tab w:val="left" w:pos="-720"/>
        <w:tab w:val="left" w:pos="720"/>
        <w:tab w:val="left" w:pos="2160"/>
        <w:tab w:val="left" w:pos="3600"/>
        <w:tab w:val="left" w:pos="4320"/>
        <w:tab w:val="left" w:pos="5040"/>
        <w:tab w:val="left" w:pos="5523"/>
        <w:tab w:val="left" w:pos="6480"/>
      </w:tabs>
      <w:ind w:left="2772"/>
      <w:rPr>
        <w:rFonts w:cs="Arial"/>
        <w:b/>
        <w:bCs/>
        <w:sz w:val="24"/>
      </w:rPr>
    </w:pPr>
    <w:r>
      <w:rPr>
        <w:rFonts w:cs="Arial"/>
        <w:b/>
        <w:bCs/>
        <w:sz w:val="24"/>
        <w:lang w:val="ru"/>
      </w:rPr>
      <w:t>(ЮНЕСКО)</w:t>
    </w:r>
  </w:p>
  <w:p w14:paraId="7EF6A2B3" w14:textId="77777777" w:rsidR="000156E0" w:rsidRPr="005E544C" w:rsidRDefault="000156E0" w:rsidP="000156E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Cs w:val="22"/>
      </w:rPr>
    </w:pPr>
  </w:p>
  <w:p w14:paraId="56CCAE6D" w14:textId="77777777" w:rsidR="000156E0" w:rsidRPr="00010BBB" w:rsidRDefault="000156E0" w:rsidP="000156E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054C801D" w14:textId="77777777" w:rsidR="000156E0" w:rsidRPr="00BF254D" w:rsidRDefault="00897659" w:rsidP="000156E0">
    <w:pPr>
      <w:tabs>
        <w:tab w:val="left" w:pos="-1440"/>
        <w:tab w:val="left" w:pos="-720"/>
        <w:tab w:val="left" w:pos="720"/>
        <w:tab w:val="left" w:pos="1420"/>
        <w:tab w:val="left" w:pos="2160"/>
        <w:tab w:val="left" w:pos="3600"/>
        <w:tab w:val="left" w:pos="4320"/>
        <w:tab w:val="center" w:pos="4677"/>
        <w:tab w:val="left" w:pos="5040"/>
        <w:tab w:val="left" w:pos="5523"/>
        <w:tab w:val="left" w:pos="6480"/>
      </w:tabs>
      <w:ind w:left="2772"/>
      <w:rPr>
        <w:rFonts w:cs="Arial"/>
        <w:b/>
      </w:rPr>
    </w:pPr>
    <w:r>
      <w:rPr>
        <w:rFonts w:cs="Arial"/>
        <w:b/>
        <w:bCs/>
        <w:lang w:val="ru"/>
      </w:rPr>
      <w:t>Тридцать первая сессия Ассамблеи</w:t>
    </w:r>
  </w:p>
  <w:p w14:paraId="62DB9D51" w14:textId="77777777" w:rsidR="000156E0" w:rsidRDefault="00897659" w:rsidP="000156E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Cs/>
      </w:rPr>
    </w:pPr>
    <w:r>
      <w:rPr>
        <w:rFonts w:cs="Arial"/>
        <w:lang w:val="ru"/>
      </w:rPr>
      <w:t>ЮНЕСКО, 14–25 июня 2021 года (в режиме онлайн)</w:t>
    </w:r>
  </w:p>
  <w:p w14:paraId="1E2F22E4" w14:textId="77777777" w:rsidR="000156E0" w:rsidRPr="005E544C" w:rsidRDefault="000156E0" w:rsidP="000156E0">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115A3EFA" w14:textId="77777777" w:rsidR="000156E0" w:rsidRPr="005E544C" w:rsidRDefault="000156E0" w:rsidP="000156E0">
    <w:pPr>
      <w:jc w:val="center"/>
      <w:rPr>
        <w:rFonts w:cs="Arial"/>
        <w:szCs w:val="22"/>
      </w:rPr>
    </w:pPr>
  </w:p>
  <w:p w14:paraId="4E2EAE7F" w14:textId="77777777" w:rsidR="000156E0" w:rsidRDefault="000156E0" w:rsidP="000156E0">
    <w:pPr>
      <w:jc w:val="center"/>
      <w:rPr>
        <w:rFonts w:cs="Arial"/>
        <w:szCs w:val="22"/>
      </w:rPr>
    </w:pPr>
  </w:p>
  <w:p w14:paraId="6FE92862" w14:textId="77777777" w:rsidR="000156E0" w:rsidRDefault="000156E0" w:rsidP="000156E0">
    <w:pPr>
      <w:jc w:val="center"/>
      <w:rPr>
        <w:rFonts w:cs="Arial"/>
        <w:szCs w:val="22"/>
      </w:rPr>
    </w:pPr>
  </w:p>
  <w:p w14:paraId="5EBF272B" w14:textId="77777777" w:rsidR="000156E0" w:rsidRDefault="000156E0" w:rsidP="000156E0">
    <w:pPr>
      <w:jc w:val="center"/>
      <w:rPr>
        <w:rFonts w:cs="Arial"/>
        <w:szCs w:val="22"/>
      </w:rPr>
    </w:pPr>
  </w:p>
  <w:p w14:paraId="664E884B" w14:textId="77777777" w:rsidR="000156E0" w:rsidRPr="005E544C" w:rsidRDefault="000156E0" w:rsidP="000156E0">
    <w:pPr>
      <w:jc w:val="center"/>
      <w:rPr>
        <w:rFonts w:cs="Arial"/>
        <w:szCs w:val="22"/>
      </w:rPr>
    </w:pPr>
  </w:p>
  <w:p w14:paraId="6DCF7FC2" w14:textId="77777777" w:rsidR="000156E0" w:rsidRPr="005E544C" w:rsidRDefault="000156E0" w:rsidP="000156E0">
    <w:pPr>
      <w:jc w:val="center"/>
      <w:rPr>
        <w:rFonts w:cs="Arial"/>
        <w:szCs w:val="22"/>
      </w:rPr>
    </w:pPr>
  </w:p>
  <w:p w14:paraId="4C651F80" w14:textId="77777777" w:rsidR="000156E0" w:rsidRPr="008D2398" w:rsidRDefault="00897659" w:rsidP="001370E4">
    <w:pPr>
      <w:pStyle w:val="Heading7"/>
      <w:tabs>
        <w:tab w:val="left" w:pos="6915"/>
      </w:tabs>
      <w:spacing w:line="240" w:lineRule="auto"/>
      <w:rPr>
        <w:rFonts w:cs="Arial"/>
        <w:sz w:val="24"/>
        <w:u w:val="none"/>
      </w:rPr>
    </w:pPr>
    <w:r>
      <w:rPr>
        <w:rFonts w:cs="Arial"/>
        <w:sz w:val="24"/>
        <w:lang w:val="ru"/>
      </w:rPr>
      <w:t xml:space="preserve">Пункт </w:t>
    </w:r>
    <w:r>
      <w:rPr>
        <w:rFonts w:cs="Arial"/>
        <w:b/>
        <w:bCs/>
        <w:sz w:val="24"/>
        <w:lang w:val="ru"/>
      </w:rPr>
      <w:t>4.3</w:t>
    </w:r>
    <w:r>
      <w:rPr>
        <w:rFonts w:cs="Arial"/>
        <w:sz w:val="24"/>
        <w:lang w:val="ru"/>
      </w:rPr>
      <w:t xml:space="preserve"> предварительной повестки дня</w:t>
    </w:r>
  </w:p>
  <w:p w14:paraId="5E764C3D" w14:textId="77777777" w:rsidR="000156E0" w:rsidRPr="005E544C" w:rsidRDefault="000156E0" w:rsidP="000156E0">
    <w:pPr>
      <w:rPr>
        <w:rFonts w:cs="Arial"/>
        <w:szCs w:val="22"/>
      </w:rPr>
    </w:pPr>
  </w:p>
  <w:p w14:paraId="7B5798B9" w14:textId="77777777" w:rsidR="00441140" w:rsidRPr="005E544C" w:rsidRDefault="00441140" w:rsidP="00DF2FB9">
    <w:pPr>
      <w:rPr>
        <w:rFonts w:cs="Arial"/>
        <w:szCs w:val="22"/>
      </w:rPr>
    </w:pPr>
  </w:p>
  <w:p w14:paraId="6A8AE5DE" w14:textId="77777777" w:rsidR="00980BE0" w:rsidRPr="007D1933" w:rsidRDefault="00897659" w:rsidP="00515584">
    <w:pPr>
      <w:pStyle w:val="Docheading"/>
      <w:spacing w:after="0"/>
    </w:pPr>
    <w:r>
      <w:rPr>
        <w:lang w:val="ru"/>
      </w:rPr>
      <w:t>Доклад ПРЕДСЕДАТЕЛЯ</w:t>
    </w:r>
  </w:p>
  <w:p w14:paraId="6DA16ECE" w14:textId="77777777" w:rsidR="00441140" w:rsidRPr="007D1933" w:rsidRDefault="00897659" w:rsidP="00515584">
    <w:pPr>
      <w:pStyle w:val="Docheading"/>
      <w:spacing w:after="0"/>
    </w:pPr>
    <w:r>
      <w:rPr>
        <w:lang w:val="ru"/>
      </w:rPr>
      <w:t xml:space="preserve"> МЕЖСЕССИОННОЙ ФИНАНСОВОЙ КОНСУЛЬТАТИВНОЙ ГРУППЫ </w:t>
    </w:r>
    <w:r>
      <w:rPr>
        <w:b w:val="0"/>
        <w:bCs w:val="0"/>
        <w:lang w:val="ru"/>
      </w:rPr>
      <w:br/>
    </w:r>
  </w:p>
  <w:p w14:paraId="6524CA06" w14:textId="77777777" w:rsidR="00441140" w:rsidRPr="00515584" w:rsidRDefault="00441140" w:rsidP="00DF2FB9">
    <w:pPr>
      <w:pStyle w:val="Header"/>
      <w:rPr>
        <w:rFonts w:cs="Arial"/>
        <w:b/>
        <w:szCs w:val="22"/>
      </w:rPr>
    </w:pPr>
  </w:p>
  <w:p w14:paraId="4F672551" w14:textId="77777777" w:rsidR="00441140" w:rsidRPr="005E544C" w:rsidRDefault="00441140">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C1C04" w14:textId="77777777" w:rsidR="00441140" w:rsidRPr="006842FA" w:rsidRDefault="00897659" w:rsidP="00746B89">
    <w:pPr>
      <w:pStyle w:val="Header"/>
      <w:tabs>
        <w:tab w:val="clear" w:pos="8306"/>
      </w:tabs>
      <w:rPr>
        <w:rFonts w:cs="Arial"/>
        <w:sz w:val="20"/>
        <w:szCs w:val="20"/>
      </w:rPr>
    </w:pPr>
    <w:r>
      <w:rPr>
        <w:rFonts w:cs="Arial"/>
        <w:sz w:val="20"/>
        <w:szCs w:val="20"/>
        <w:lang w:val="ru"/>
      </w:rPr>
      <w:t>IOC/A-31/4.3.Doc</w:t>
    </w:r>
  </w:p>
  <w:p w14:paraId="72CB9F84" w14:textId="77777777" w:rsidR="00441140" w:rsidRPr="006842FA" w:rsidRDefault="00897659" w:rsidP="00746B89">
    <w:pPr>
      <w:pStyle w:val="Header"/>
      <w:tabs>
        <w:tab w:val="clear" w:pos="8306"/>
      </w:tabs>
      <w:rPr>
        <w:rFonts w:cs="Arial"/>
        <w:sz w:val="20"/>
        <w:szCs w:val="20"/>
      </w:rPr>
    </w:pPr>
    <w:r>
      <w:rPr>
        <w:rFonts w:cs="Arial"/>
        <w:sz w:val="20"/>
        <w:szCs w:val="20"/>
        <w:lang w:val="ru"/>
      </w:rPr>
      <w:t>страница </w:t>
    </w:r>
    <w:r>
      <w:rPr>
        <w:rStyle w:val="PageNumber"/>
        <w:rFonts w:cs="Arial"/>
        <w:sz w:val="20"/>
        <w:szCs w:val="20"/>
        <w:lang w:val="ru"/>
      </w:rPr>
      <w:fldChar w:fldCharType="begin"/>
    </w:r>
    <w:r>
      <w:rPr>
        <w:rStyle w:val="PageNumber"/>
        <w:rFonts w:cs="Arial"/>
        <w:sz w:val="20"/>
        <w:szCs w:val="20"/>
        <w:lang w:val="ru"/>
      </w:rPr>
      <w:instrText xml:space="preserve"> PAGE </w:instrText>
    </w:r>
    <w:r>
      <w:rPr>
        <w:rStyle w:val="PageNumber"/>
        <w:rFonts w:cs="Arial"/>
        <w:sz w:val="20"/>
        <w:szCs w:val="20"/>
        <w:lang w:val="ru"/>
      </w:rPr>
      <w:fldChar w:fldCharType="separate"/>
    </w:r>
    <w:r>
      <w:rPr>
        <w:rStyle w:val="PageNumber"/>
        <w:rFonts w:cs="Arial"/>
        <w:noProof/>
        <w:sz w:val="20"/>
        <w:szCs w:val="20"/>
        <w:lang w:val="ru"/>
      </w:rPr>
      <w:t>2</w:t>
    </w:r>
    <w:r>
      <w:rPr>
        <w:rStyle w:val="PageNumber"/>
        <w:rFonts w:cs="Arial"/>
        <w:sz w:val="20"/>
        <w:szCs w:val="20"/>
        <w:lang w:val="r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73B81" w14:textId="77777777" w:rsidR="0037249C" w:rsidRPr="006842FA" w:rsidRDefault="00897659" w:rsidP="00980BE0">
    <w:pPr>
      <w:pStyle w:val="Header"/>
      <w:tabs>
        <w:tab w:val="clear" w:pos="8306"/>
      </w:tabs>
      <w:ind w:firstLine="7797"/>
      <w:rPr>
        <w:rFonts w:cs="Arial"/>
        <w:sz w:val="20"/>
        <w:szCs w:val="20"/>
      </w:rPr>
    </w:pPr>
    <w:r>
      <w:rPr>
        <w:rFonts w:cs="Arial"/>
        <w:sz w:val="20"/>
        <w:szCs w:val="20"/>
        <w:lang w:val="ru"/>
      </w:rPr>
      <w:t>IOC/A-31/4.3.Doc</w:t>
    </w:r>
  </w:p>
  <w:p w14:paraId="0152C08C" w14:textId="77777777" w:rsidR="0037249C" w:rsidRPr="006842FA" w:rsidRDefault="00897659" w:rsidP="00980BE0">
    <w:pPr>
      <w:pStyle w:val="Header"/>
      <w:tabs>
        <w:tab w:val="clear" w:pos="8306"/>
      </w:tabs>
      <w:ind w:firstLine="7797"/>
      <w:rPr>
        <w:rFonts w:cs="Arial"/>
        <w:sz w:val="20"/>
        <w:szCs w:val="20"/>
      </w:rPr>
    </w:pPr>
    <w:r>
      <w:rPr>
        <w:rFonts w:cs="Arial"/>
        <w:sz w:val="20"/>
        <w:szCs w:val="20"/>
        <w:lang w:val="ru"/>
      </w:rPr>
      <w:t>страница </w:t>
    </w:r>
    <w:r>
      <w:rPr>
        <w:rStyle w:val="PageNumber"/>
        <w:rFonts w:cs="Arial"/>
        <w:sz w:val="20"/>
        <w:szCs w:val="20"/>
        <w:lang w:val="ru"/>
      </w:rPr>
      <w:fldChar w:fldCharType="begin"/>
    </w:r>
    <w:r>
      <w:rPr>
        <w:rStyle w:val="PageNumber"/>
        <w:rFonts w:cs="Arial"/>
        <w:sz w:val="20"/>
        <w:szCs w:val="20"/>
        <w:lang w:val="ru"/>
      </w:rPr>
      <w:instrText xml:space="preserve"> PAGE </w:instrText>
    </w:r>
    <w:r>
      <w:rPr>
        <w:rStyle w:val="PageNumber"/>
        <w:rFonts w:cs="Arial"/>
        <w:sz w:val="20"/>
        <w:szCs w:val="20"/>
        <w:lang w:val="ru"/>
      </w:rPr>
      <w:fldChar w:fldCharType="separate"/>
    </w:r>
    <w:r>
      <w:rPr>
        <w:rStyle w:val="PageNumber"/>
        <w:rFonts w:cs="Arial"/>
        <w:noProof/>
        <w:sz w:val="20"/>
        <w:szCs w:val="20"/>
        <w:lang w:val="ru"/>
      </w:rPr>
      <w:t>5</w:t>
    </w:r>
    <w:r>
      <w:rPr>
        <w:rStyle w:val="PageNumber"/>
        <w:rFonts w:cs="Arial"/>
        <w:sz w:val="20"/>
        <w:szCs w:val="20"/>
        <w:lang w:val="ru"/>
      </w:rPr>
      <w:fldChar w:fldCharType="end"/>
    </w:r>
  </w:p>
  <w:p w14:paraId="5EB177ED" w14:textId="77777777" w:rsidR="00441140" w:rsidRPr="00424DE6" w:rsidRDefault="00441140" w:rsidP="00637672">
    <w:pPr>
      <w:pStyle w:val="Header"/>
      <w:ind w:left="8364"/>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8A9DE" w14:textId="77777777" w:rsidR="00441140" w:rsidRDefault="00897659" w:rsidP="00980BE0">
    <w:pPr>
      <w:pStyle w:val="Header"/>
      <w:tabs>
        <w:tab w:val="clear" w:pos="8306"/>
      </w:tabs>
      <w:ind w:right="400"/>
      <w:jc w:val="right"/>
      <w:rPr>
        <w:rFonts w:cs="Arial"/>
        <w:sz w:val="20"/>
        <w:szCs w:val="20"/>
      </w:rPr>
    </w:pPr>
    <w:r>
      <w:rPr>
        <w:rFonts w:cs="Arial"/>
        <w:sz w:val="20"/>
        <w:szCs w:val="20"/>
        <w:lang w:val="ru"/>
      </w:rPr>
      <w:t>IOC/A-31/4.3.Doc</w:t>
    </w:r>
  </w:p>
  <w:p w14:paraId="6E997972" w14:textId="77777777" w:rsidR="00307660" w:rsidRPr="006842FA" w:rsidRDefault="00897659" w:rsidP="00980BE0">
    <w:pPr>
      <w:pStyle w:val="Header"/>
      <w:ind w:left="7655"/>
      <w:rPr>
        <w:rFonts w:cs="Arial"/>
        <w:sz w:val="20"/>
        <w:szCs w:val="20"/>
      </w:rPr>
    </w:pPr>
    <w:r>
      <w:rPr>
        <w:rFonts w:cs="Arial"/>
        <w:sz w:val="20"/>
        <w:szCs w:val="20"/>
        <w:lang w:val="ru"/>
      </w:rPr>
      <w:t>страница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33D5A33"/>
    <w:multiLevelType w:val="hybridMultilevel"/>
    <w:tmpl w:val="F2F2E444"/>
    <w:lvl w:ilvl="0" w:tplc="8594116C">
      <w:start w:val="1"/>
      <w:numFmt w:val="upperRoman"/>
      <w:lvlText w:val="%1."/>
      <w:lvlJc w:val="left"/>
      <w:pPr>
        <w:ind w:left="1080" w:hanging="720"/>
      </w:pPr>
      <w:rPr>
        <w:rFonts w:hint="default"/>
        <w:i w:val="0"/>
        <w:iCs/>
      </w:rPr>
    </w:lvl>
    <w:lvl w:ilvl="1" w:tplc="C7CEB992" w:tentative="1">
      <w:start w:val="1"/>
      <w:numFmt w:val="lowerLetter"/>
      <w:lvlText w:val="%2."/>
      <w:lvlJc w:val="left"/>
      <w:pPr>
        <w:ind w:left="1440" w:hanging="360"/>
      </w:pPr>
    </w:lvl>
    <w:lvl w:ilvl="2" w:tplc="C988DBA0" w:tentative="1">
      <w:start w:val="1"/>
      <w:numFmt w:val="lowerRoman"/>
      <w:lvlText w:val="%3."/>
      <w:lvlJc w:val="right"/>
      <w:pPr>
        <w:ind w:left="2160" w:hanging="180"/>
      </w:pPr>
    </w:lvl>
    <w:lvl w:ilvl="3" w:tplc="2FDA386E" w:tentative="1">
      <w:start w:val="1"/>
      <w:numFmt w:val="decimal"/>
      <w:lvlText w:val="%4."/>
      <w:lvlJc w:val="left"/>
      <w:pPr>
        <w:ind w:left="2880" w:hanging="360"/>
      </w:pPr>
    </w:lvl>
    <w:lvl w:ilvl="4" w:tplc="275E8E24" w:tentative="1">
      <w:start w:val="1"/>
      <w:numFmt w:val="lowerLetter"/>
      <w:lvlText w:val="%5."/>
      <w:lvlJc w:val="left"/>
      <w:pPr>
        <w:ind w:left="3600" w:hanging="360"/>
      </w:pPr>
    </w:lvl>
    <w:lvl w:ilvl="5" w:tplc="922E5F76" w:tentative="1">
      <w:start w:val="1"/>
      <w:numFmt w:val="lowerRoman"/>
      <w:lvlText w:val="%6."/>
      <w:lvlJc w:val="right"/>
      <w:pPr>
        <w:ind w:left="4320" w:hanging="180"/>
      </w:pPr>
    </w:lvl>
    <w:lvl w:ilvl="6" w:tplc="8B4EB3C4" w:tentative="1">
      <w:start w:val="1"/>
      <w:numFmt w:val="decimal"/>
      <w:lvlText w:val="%7."/>
      <w:lvlJc w:val="left"/>
      <w:pPr>
        <w:ind w:left="5040" w:hanging="360"/>
      </w:pPr>
    </w:lvl>
    <w:lvl w:ilvl="7" w:tplc="ECC6E8B6" w:tentative="1">
      <w:start w:val="1"/>
      <w:numFmt w:val="lowerLetter"/>
      <w:lvlText w:val="%8."/>
      <w:lvlJc w:val="left"/>
      <w:pPr>
        <w:ind w:left="5760" w:hanging="360"/>
      </w:pPr>
    </w:lvl>
    <w:lvl w:ilvl="8" w:tplc="4EC65B18" w:tentative="1">
      <w:start w:val="1"/>
      <w:numFmt w:val="lowerRoman"/>
      <w:lvlText w:val="%9."/>
      <w:lvlJc w:val="right"/>
      <w:pPr>
        <w:ind w:left="6480" w:hanging="180"/>
      </w:pPr>
    </w:lvl>
  </w:abstractNum>
  <w:abstractNum w:abstractNumId="2" w15:restartNumberingAfterBreak="0">
    <w:nsid w:val="040B4842"/>
    <w:multiLevelType w:val="multilevel"/>
    <w:tmpl w:val="8370C8F0"/>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263AC"/>
    <w:multiLevelType w:val="hybridMultilevel"/>
    <w:tmpl w:val="2506A2EE"/>
    <w:lvl w:ilvl="0" w:tplc="0DF612BE">
      <w:start w:val="1"/>
      <w:numFmt w:val="bullet"/>
      <w:pStyle w:val="ListBullet2"/>
      <w:lvlText w:val=""/>
      <w:lvlJc w:val="left"/>
      <w:pPr>
        <w:tabs>
          <w:tab w:val="num" w:pos="851"/>
        </w:tabs>
        <w:ind w:left="851" w:hanging="284"/>
      </w:pPr>
      <w:rPr>
        <w:rFonts w:ascii="Symbol" w:hAnsi="Symbol" w:hint="default"/>
      </w:rPr>
    </w:lvl>
    <w:lvl w:ilvl="1" w:tplc="5E8C78F4" w:tentative="1">
      <w:start w:val="1"/>
      <w:numFmt w:val="bullet"/>
      <w:lvlText w:val="o"/>
      <w:lvlJc w:val="left"/>
      <w:pPr>
        <w:tabs>
          <w:tab w:val="num" w:pos="1440"/>
        </w:tabs>
        <w:ind w:left="1440" w:hanging="360"/>
      </w:pPr>
      <w:rPr>
        <w:rFonts w:ascii="Courier New" w:hAnsi="Courier New" w:cs="Courier New" w:hint="default"/>
      </w:rPr>
    </w:lvl>
    <w:lvl w:ilvl="2" w:tplc="A80C5022" w:tentative="1">
      <w:start w:val="1"/>
      <w:numFmt w:val="bullet"/>
      <w:lvlText w:val=""/>
      <w:lvlJc w:val="left"/>
      <w:pPr>
        <w:tabs>
          <w:tab w:val="num" w:pos="2160"/>
        </w:tabs>
        <w:ind w:left="2160" w:hanging="360"/>
      </w:pPr>
      <w:rPr>
        <w:rFonts w:ascii="Wingdings" w:hAnsi="Wingdings" w:hint="default"/>
      </w:rPr>
    </w:lvl>
    <w:lvl w:ilvl="3" w:tplc="7DA23188" w:tentative="1">
      <w:start w:val="1"/>
      <w:numFmt w:val="bullet"/>
      <w:lvlText w:val=""/>
      <w:lvlJc w:val="left"/>
      <w:pPr>
        <w:tabs>
          <w:tab w:val="num" w:pos="2880"/>
        </w:tabs>
        <w:ind w:left="2880" w:hanging="360"/>
      </w:pPr>
      <w:rPr>
        <w:rFonts w:ascii="Symbol" w:hAnsi="Symbol" w:hint="default"/>
      </w:rPr>
    </w:lvl>
    <w:lvl w:ilvl="4" w:tplc="91CAA094" w:tentative="1">
      <w:start w:val="1"/>
      <w:numFmt w:val="bullet"/>
      <w:lvlText w:val="o"/>
      <w:lvlJc w:val="left"/>
      <w:pPr>
        <w:tabs>
          <w:tab w:val="num" w:pos="3600"/>
        </w:tabs>
        <w:ind w:left="3600" w:hanging="360"/>
      </w:pPr>
      <w:rPr>
        <w:rFonts w:ascii="Courier New" w:hAnsi="Courier New" w:cs="Courier New" w:hint="default"/>
      </w:rPr>
    </w:lvl>
    <w:lvl w:ilvl="5" w:tplc="CA3E319E" w:tentative="1">
      <w:start w:val="1"/>
      <w:numFmt w:val="bullet"/>
      <w:lvlText w:val=""/>
      <w:lvlJc w:val="left"/>
      <w:pPr>
        <w:tabs>
          <w:tab w:val="num" w:pos="4320"/>
        </w:tabs>
        <w:ind w:left="4320" w:hanging="360"/>
      </w:pPr>
      <w:rPr>
        <w:rFonts w:ascii="Wingdings" w:hAnsi="Wingdings" w:hint="default"/>
      </w:rPr>
    </w:lvl>
    <w:lvl w:ilvl="6" w:tplc="E5D00F50" w:tentative="1">
      <w:start w:val="1"/>
      <w:numFmt w:val="bullet"/>
      <w:lvlText w:val=""/>
      <w:lvlJc w:val="left"/>
      <w:pPr>
        <w:tabs>
          <w:tab w:val="num" w:pos="5040"/>
        </w:tabs>
        <w:ind w:left="5040" w:hanging="360"/>
      </w:pPr>
      <w:rPr>
        <w:rFonts w:ascii="Symbol" w:hAnsi="Symbol" w:hint="default"/>
      </w:rPr>
    </w:lvl>
    <w:lvl w:ilvl="7" w:tplc="F23EC292" w:tentative="1">
      <w:start w:val="1"/>
      <w:numFmt w:val="bullet"/>
      <w:lvlText w:val="o"/>
      <w:lvlJc w:val="left"/>
      <w:pPr>
        <w:tabs>
          <w:tab w:val="num" w:pos="5760"/>
        </w:tabs>
        <w:ind w:left="5760" w:hanging="360"/>
      </w:pPr>
      <w:rPr>
        <w:rFonts w:ascii="Courier New" w:hAnsi="Courier New" w:cs="Courier New" w:hint="default"/>
      </w:rPr>
    </w:lvl>
    <w:lvl w:ilvl="8" w:tplc="D592D1E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52973"/>
    <w:multiLevelType w:val="hybridMultilevel"/>
    <w:tmpl w:val="B5FC1906"/>
    <w:lvl w:ilvl="0" w:tplc="80689E86">
      <w:numFmt w:val="bullet"/>
      <w:lvlText w:val="-"/>
      <w:lvlJc w:val="left"/>
      <w:pPr>
        <w:ind w:left="720" w:hanging="360"/>
      </w:pPr>
      <w:rPr>
        <w:rFonts w:ascii="Arial" w:eastAsia="Arial Unicode MS" w:hAnsi="Arial" w:cs="Arial" w:hint="default"/>
      </w:rPr>
    </w:lvl>
    <w:lvl w:ilvl="1" w:tplc="E71471E8" w:tentative="1">
      <w:start w:val="1"/>
      <w:numFmt w:val="bullet"/>
      <w:lvlText w:val="o"/>
      <w:lvlJc w:val="left"/>
      <w:pPr>
        <w:ind w:left="1440" w:hanging="360"/>
      </w:pPr>
      <w:rPr>
        <w:rFonts w:ascii="Courier New" w:hAnsi="Courier New" w:cs="Courier New" w:hint="default"/>
      </w:rPr>
    </w:lvl>
    <w:lvl w:ilvl="2" w:tplc="5308C592" w:tentative="1">
      <w:start w:val="1"/>
      <w:numFmt w:val="bullet"/>
      <w:lvlText w:val=""/>
      <w:lvlJc w:val="left"/>
      <w:pPr>
        <w:ind w:left="2160" w:hanging="360"/>
      </w:pPr>
      <w:rPr>
        <w:rFonts w:ascii="Wingdings" w:hAnsi="Wingdings" w:hint="default"/>
      </w:rPr>
    </w:lvl>
    <w:lvl w:ilvl="3" w:tplc="FC282DDE" w:tentative="1">
      <w:start w:val="1"/>
      <w:numFmt w:val="bullet"/>
      <w:lvlText w:val=""/>
      <w:lvlJc w:val="left"/>
      <w:pPr>
        <w:ind w:left="2880" w:hanging="360"/>
      </w:pPr>
      <w:rPr>
        <w:rFonts w:ascii="Symbol" w:hAnsi="Symbol" w:hint="default"/>
      </w:rPr>
    </w:lvl>
    <w:lvl w:ilvl="4" w:tplc="24729D58" w:tentative="1">
      <w:start w:val="1"/>
      <w:numFmt w:val="bullet"/>
      <w:lvlText w:val="o"/>
      <w:lvlJc w:val="left"/>
      <w:pPr>
        <w:ind w:left="3600" w:hanging="360"/>
      </w:pPr>
      <w:rPr>
        <w:rFonts w:ascii="Courier New" w:hAnsi="Courier New" w:cs="Courier New" w:hint="default"/>
      </w:rPr>
    </w:lvl>
    <w:lvl w:ilvl="5" w:tplc="DBB8B920" w:tentative="1">
      <w:start w:val="1"/>
      <w:numFmt w:val="bullet"/>
      <w:lvlText w:val=""/>
      <w:lvlJc w:val="left"/>
      <w:pPr>
        <w:ind w:left="4320" w:hanging="360"/>
      </w:pPr>
      <w:rPr>
        <w:rFonts w:ascii="Wingdings" w:hAnsi="Wingdings" w:hint="default"/>
      </w:rPr>
    </w:lvl>
    <w:lvl w:ilvl="6" w:tplc="71042ADE" w:tentative="1">
      <w:start w:val="1"/>
      <w:numFmt w:val="bullet"/>
      <w:lvlText w:val=""/>
      <w:lvlJc w:val="left"/>
      <w:pPr>
        <w:ind w:left="5040" w:hanging="360"/>
      </w:pPr>
      <w:rPr>
        <w:rFonts w:ascii="Symbol" w:hAnsi="Symbol" w:hint="default"/>
      </w:rPr>
    </w:lvl>
    <w:lvl w:ilvl="7" w:tplc="F274DAAA" w:tentative="1">
      <w:start w:val="1"/>
      <w:numFmt w:val="bullet"/>
      <w:lvlText w:val="o"/>
      <w:lvlJc w:val="left"/>
      <w:pPr>
        <w:ind w:left="5760" w:hanging="360"/>
      </w:pPr>
      <w:rPr>
        <w:rFonts w:ascii="Courier New" w:hAnsi="Courier New" w:cs="Courier New" w:hint="default"/>
      </w:rPr>
    </w:lvl>
    <w:lvl w:ilvl="8" w:tplc="4BDE1C92" w:tentative="1">
      <w:start w:val="1"/>
      <w:numFmt w:val="bullet"/>
      <w:lvlText w:val=""/>
      <w:lvlJc w:val="left"/>
      <w:pPr>
        <w:ind w:left="6480" w:hanging="360"/>
      </w:pPr>
      <w:rPr>
        <w:rFonts w:ascii="Wingdings" w:hAnsi="Wingdings" w:hint="default"/>
      </w:rPr>
    </w:lvl>
  </w:abstractNum>
  <w:abstractNum w:abstractNumId="5" w15:restartNumberingAfterBreak="0">
    <w:nsid w:val="100B1C9C"/>
    <w:multiLevelType w:val="hybridMultilevel"/>
    <w:tmpl w:val="23A85EFA"/>
    <w:lvl w:ilvl="0" w:tplc="99E6B950">
      <w:start w:val="1"/>
      <w:numFmt w:val="bullet"/>
      <w:lvlText w:val=""/>
      <w:lvlJc w:val="left"/>
      <w:pPr>
        <w:tabs>
          <w:tab w:val="num" w:pos="360"/>
        </w:tabs>
        <w:ind w:left="284" w:hanging="284"/>
      </w:pPr>
      <w:rPr>
        <w:rFonts w:ascii="Symbol" w:hAnsi="Symbol" w:hint="default"/>
      </w:rPr>
    </w:lvl>
    <w:lvl w:ilvl="1" w:tplc="E71820AA">
      <w:start w:val="1"/>
      <w:numFmt w:val="bullet"/>
      <w:lvlText w:val="o"/>
      <w:lvlJc w:val="left"/>
      <w:pPr>
        <w:tabs>
          <w:tab w:val="num" w:pos="1157"/>
        </w:tabs>
        <w:ind w:left="1157" w:hanging="360"/>
      </w:pPr>
      <w:rPr>
        <w:rFonts w:ascii="Courier New" w:hAnsi="Courier New" w:hint="default"/>
      </w:rPr>
    </w:lvl>
    <w:lvl w:ilvl="2" w:tplc="83E69FF4" w:tentative="1">
      <w:start w:val="1"/>
      <w:numFmt w:val="bullet"/>
      <w:lvlText w:val=""/>
      <w:lvlJc w:val="left"/>
      <w:pPr>
        <w:tabs>
          <w:tab w:val="num" w:pos="1877"/>
        </w:tabs>
        <w:ind w:left="1877" w:hanging="360"/>
      </w:pPr>
      <w:rPr>
        <w:rFonts w:ascii="Wingdings" w:hAnsi="Wingdings" w:hint="default"/>
      </w:rPr>
    </w:lvl>
    <w:lvl w:ilvl="3" w:tplc="D2F205FA" w:tentative="1">
      <w:start w:val="1"/>
      <w:numFmt w:val="bullet"/>
      <w:lvlText w:val=""/>
      <w:lvlJc w:val="left"/>
      <w:pPr>
        <w:tabs>
          <w:tab w:val="num" w:pos="2597"/>
        </w:tabs>
        <w:ind w:left="2597" w:hanging="360"/>
      </w:pPr>
      <w:rPr>
        <w:rFonts w:ascii="Symbol" w:hAnsi="Symbol" w:hint="default"/>
      </w:rPr>
    </w:lvl>
    <w:lvl w:ilvl="4" w:tplc="A8565772" w:tentative="1">
      <w:start w:val="1"/>
      <w:numFmt w:val="bullet"/>
      <w:lvlText w:val="o"/>
      <w:lvlJc w:val="left"/>
      <w:pPr>
        <w:tabs>
          <w:tab w:val="num" w:pos="3317"/>
        </w:tabs>
        <w:ind w:left="3317" w:hanging="360"/>
      </w:pPr>
      <w:rPr>
        <w:rFonts w:ascii="Courier New" w:hAnsi="Courier New" w:hint="default"/>
      </w:rPr>
    </w:lvl>
    <w:lvl w:ilvl="5" w:tplc="1D8A85F6" w:tentative="1">
      <w:start w:val="1"/>
      <w:numFmt w:val="bullet"/>
      <w:lvlText w:val=""/>
      <w:lvlJc w:val="left"/>
      <w:pPr>
        <w:tabs>
          <w:tab w:val="num" w:pos="4037"/>
        </w:tabs>
        <w:ind w:left="4037" w:hanging="360"/>
      </w:pPr>
      <w:rPr>
        <w:rFonts w:ascii="Wingdings" w:hAnsi="Wingdings" w:hint="default"/>
      </w:rPr>
    </w:lvl>
    <w:lvl w:ilvl="6" w:tplc="B0EAA00C" w:tentative="1">
      <w:start w:val="1"/>
      <w:numFmt w:val="bullet"/>
      <w:lvlText w:val=""/>
      <w:lvlJc w:val="left"/>
      <w:pPr>
        <w:tabs>
          <w:tab w:val="num" w:pos="4757"/>
        </w:tabs>
        <w:ind w:left="4757" w:hanging="360"/>
      </w:pPr>
      <w:rPr>
        <w:rFonts w:ascii="Symbol" w:hAnsi="Symbol" w:hint="default"/>
      </w:rPr>
    </w:lvl>
    <w:lvl w:ilvl="7" w:tplc="835A8C16" w:tentative="1">
      <w:start w:val="1"/>
      <w:numFmt w:val="bullet"/>
      <w:lvlText w:val="o"/>
      <w:lvlJc w:val="left"/>
      <w:pPr>
        <w:tabs>
          <w:tab w:val="num" w:pos="5477"/>
        </w:tabs>
        <w:ind w:left="5477" w:hanging="360"/>
      </w:pPr>
      <w:rPr>
        <w:rFonts w:ascii="Courier New" w:hAnsi="Courier New" w:hint="default"/>
      </w:rPr>
    </w:lvl>
    <w:lvl w:ilvl="8" w:tplc="A72CF78E"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08B5D50"/>
    <w:multiLevelType w:val="hybridMultilevel"/>
    <w:tmpl w:val="72964D36"/>
    <w:lvl w:ilvl="0" w:tplc="73BA06FC">
      <w:start w:val="1"/>
      <w:numFmt w:val="decimal"/>
      <w:lvlText w:val="%1."/>
      <w:lvlJc w:val="left"/>
      <w:pPr>
        <w:ind w:left="720" w:hanging="360"/>
      </w:pPr>
      <w:rPr>
        <w:rFonts w:asciiTheme="minorBidi" w:hAnsiTheme="minorBidi" w:cstheme="minorBidi" w:hint="default"/>
        <w:sz w:val="22"/>
        <w:szCs w:val="22"/>
      </w:rPr>
    </w:lvl>
    <w:lvl w:ilvl="1" w:tplc="52CA644C" w:tentative="1">
      <w:start w:val="1"/>
      <w:numFmt w:val="lowerLetter"/>
      <w:lvlText w:val="%2."/>
      <w:lvlJc w:val="left"/>
      <w:pPr>
        <w:ind w:left="1440" w:hanging="360"/>
      </w:pPr>
    </w:lvl>
    <w:lvl w:ilvl="2" w:tplc="552A85A6" w:tentative="1">
      <w:start w:val="1"/>
      <w:numFmt w:val="lowerRoman"/>
      <w:lvlText w:val="%3."/>
      <w:lvlJc w:val="right"/>
      <w:pPr>
        <w:ind w:left="2160" w:hanging="180"/>
      </w:pPr>
    </w:lvl>
    <w:lvl w:ilvl="3" w:tplc="CC347EC4" w:tentative="1">
      <w:start w:val="1"/>
      <w:numFmt w:val="decimal"/>
      <w:lvlText w:val="%4."/>
      <w:lvlJc w:val="left"/>
      <w:pPr>
        <w:ind w:left="2880" w:hanging="360"/>
      </w:pPr>
    </w:lvl>
    <w:lvl w:ilvl="4" w:tplc="816A3C82" w:tentative="1">
      <w:start w:val="1"/>
      <w:numFmt w:val="lowerLetter"/>
      <w:lvlText w:val="%5."/>
      <w:lvlJc w:val="left"/>
      <w:pPr>
        <w:ind w:left="3600" w:hanging="360"/>
      </w:pPr>
    </w:lvl>
    <w:lvl w:ilvl="5" w:tplc="8F9033F2" w:tentative="1">
      <w:start w:val="1"/>
      <w:numFmt w:val="lowerRoman"/>
      <w:lvlText w:val="%6."/>
      <w:lvlJc w:val="right"/>
      <w:pPr>
        <w:ind w:left="4320" w:hanging="180"/>
      </w:pPr>
    </w:lvl>
    <w:lvl w:ilvl="6" w:tplc="421809DE" w:tentative="1">
      <w:start w:val="1"/>
      <w:numFmt w:val="decimal"/>
      <w:lvlText w:val="%7."/>
      <w:lvlJc w:val="left"/>
      <w:pPr>
        <w:ind w:left="5040" w:hanging="360"/>
      </w:pPr>
    </w:lvl>
    <w:lvl w:ilvl="7" w:tplc="F8047DEA" w:tentative="1">
      <w:start w:val="1"/>
      <w:numFmt w:val="lowerLetter"/>
      <w:lvlText w:val="%8."/>
      <w:lvlJc w:val="left"/>
      <w:pPr>
        <w:ind w:left="5760" w:hanging="360"/>
      </w:pPr>
    </w:lvl>
    <w:lvl w:ilvl="8" w:tplc="223237C2" w:tentative="1">
      <w:start w:val="1"/>
      <w:numFmt w:val="lowerRoman"/>
      <w:lvlText w:val="%9."/>
      <w:lvlJc w:val="right"/>
      <w:pPr>
        <w:ind w:left="6480" w:hanging="180"/>
      </w:pPr>
    </w:lvl>
  </w:abstractNum>
  <w:abstractNum w:abstractNumId="7" w15:restartNumberingAfterBreak="0">
    <w:nsid w:val="1A0E3347"/>
    <w:multiLevelType w:val="hybridMultilevel"/>
    <w:tmpl w:val="B3E02086"/>
    <w:lvl w:ilvl="0" w:tplc="6504D710">
      <w:start w:val="1"/>
      <w:numFmt w:val="decimal"/>
      <w:lvlText w:val="%1."/>
      <w:lvlJc w:val="left"/>
      <w:pPr>
        <w:ind w:left="720" w:hanging="360"/>
      </w:pPr>
      <w:rPr>
        <w:b w:val="0"/>
        <w:bCs w:val="0"/>
      </w:rPr>
    </w:lvl>
    <w:lvl w:ilvl="1" w:tplc="1BA63416" w:tentative="1">
      <w:start w:val="1"/>
      <w:numFmt w:val="lowerLetter"/>
      <w:lvlText w:val="%2."/>
      <w:lvlJc w:val="left"/>
      <w:pPr>
        <w:ind w:left="1440" w:hanging="360"/>
      </w:pPr>
    </w:lvl>
    <w:lvl w:ilvl="2" w:tplc="94DA09F6" w:tentative="1">
      <w:start w:val="1"/>
      <w:numFmt w:val="lowerRoman"/>
      <w:lvlText w:val="%3."/>
      <w:lvlJc w:val="right"/>
      <w:pPr>
        <w:ind w:left="2160" w:hanging="180"/>
      </w:pPr>
    </w:lvl>
    <w:lvl w:ilvl="3" w:tplc="635070AE" w:tentative="1">
      <w:start w:val="1"/>
      <w:numFmt w:val="decimal"/>
      <w:lvlText w:val="%4."/>
      <w:lvlJc w:val="left"/>
      <w:pPr>
        <w:ind w:left="2880" w:hanging="360"/>
      </w:pPr>
    </w:lvl>
    <w:lvl w:ilvl="4" w:tplc="43BAAE44" w:tentative="1">
      <w:start w:val="1"/>
      <w:numFmt w:val="lowerLetter"/>
      <w:lvlText w:val="%5."/>
      <w:lvlJc w:val="left"/>
      <w:pPr>
        <w:ind w:left="3600" w:hanging="360"/>
      </w:pPr>
    </w:lvl>
    <w:lvl w:ilvl="5" w:tplc="08BC5BE8" w:tentative="1">
      <w:start w:val="1"/>
      <w:numFmt w:val="lowerRoman"/>
      <w:lvlText w:val="%6."/>
      <w:lvlJc w:val="right"/>
      <w:pPr>
        <w:ind w:left="4320" w:hanging="180"/>
      </w:pPr>
    </w:lvl>
    <w:lvl w:ilvl="6" w:tplc="4084713A" w:tentative="1">
      <w:start w:val="1"/>
      <w:numFmt w:val="decimal"/>
      <w:lvlText w:val="%7."/>
      <w:lvlJc w:val="left"/>
      <w:pPr>
        <w:ind w:left="5040" w:hanging="360"/>
      </w:pPr>
    </w:lvl>
    <w:lvl w:ilvl="7" w:tplc="3FF28E08" w:tentative="1">
      <w:start w:val="1"/>
      <w:numFmt w:val="lowerLetter"/>
      <w:lvlText w:val="%8."/>
      <w:lvlJc w:val="left"/>
      <w:pPr>
        <w:ind w:left="5760" w:hanging="360"/>
      </w:pPr>
    </w:lvl>
    <w:lvl w:ilvl="8" w:tplc="3538EE84" w:tentative="1">
      <w:start w:val="1"/>
      <w:numFmt w:val="lowerRoman"/>
      <w:lvlText w:val="%9."/>
      <w:lvlJc w:val="right"/>
      <w:pPr>
        <w:ind w:left="6480" w:hanging="180"/>
      </w:pPr>
    </w:lvl>
  </w:abstractNum>
  <w:abstractNum w:abstractNumId="8" w15:restartNumberingAfterBreak="0">
    <w:nsid w:val="1BC33398"/>
    <w:multiLevelType w:val="hybridMultilevel"/>
    <w:tmpl w:val="C5B4333E"/>
    <w:lvl w:ilvl="0" w:tplc="22B62C98">
      <w:start w:val="1"/>
      <w:numFmt w:val="decimal"/>
      <w:lvlText w:val="%1."/>
      <w:lvlJc w:val="left"/>
      <w:pPr>
        <w:ind w:left="720" w:hanging="360"/>
      </w:pPr>
      <w:rPr>
        <w:rFonts w:ascii="Arial" w:hAnsi="Arial" w:cs="Arial" w:hint="default"/>
        <w:b w:val="0"/>
        <w:bCs/>
        <w:i/>
        <w:sz w:val="22"/>
        <w:szCs w:val="22"/>
        <w:lang w:val="en-US"/>
      </w:rPr>
    </w:lvl>
    <w:lvl w:ilvl="1" w:tplc="175EDD88" w:tentative="1">
      <w:start w:val="1"/>
      <w:numFmt w:val="lowerLetter"/>
      <w:lvlText w:val="%2."/>
      <w:lvlJc w:val="left"/>
      <w:pPr>
        <w:ind w:left="1440" w:hanging="360"/>
      </w:pPr>
    </w:lvl>
    <w:lvl w:ilvl="2" w:tplc="63FACF42" w:tentative="1">
      <w:start w:val="1"/>
      <w:numFmt w:val="lowerRoman"/>
      <w:lvlText w:val="%3."/>
      <w:lvlJc w:val="right"/>
      <w:pPr>
        <w:ind w:left="2160" w:hanging="180"/>
      </w:pPr>
    </w:lvl>
    <w:lvl w:ilvl="3" w:tplc="8D72C354" w:tentative="1">
      <w:start w:val="1"/>
      <w:numFmt w:val="decimal"/>
      <w:lvlText w:val="%4."/>
      <w:lvlJc w:val="left"/>
      <w:pPr>
        <w:ind w:left="2880" w:hanging="360"/>
      </w:pPr>
    </w:lvl>
    <w:lvl w:ilvl="4" w:tplc="F7F4DED0" w:tentative="1">
      <w:start w:val="1"/>
      <w:numFmt w:val="lowerLetter"/>
      <w:lvlText w:val="%5."/>
      <w:lvlJc w:val="left"/>
      <w:pPr>
        <w:ind w:left="3600" w:hanging="360"/>
      </w:pPr>
    </w:lvl>
    <w:lvl w:ilvl="5" w:tplc="7CA0AB72" w:tentative="1">
      <w:start w:val="1"/>
      <w:numFmt w:val="lowerRoman"/>
      <w:lvlText w:val="%6."/>
      <w:lvlJc w:val="right"/>
      <w:pPr>
        <w:ind w:left="4320" w:hanging="180"/>
      </w:pPr>
    </w:lvl>
    <w:lvl w:ilvl="6" w:tplc="B61A7E10" w:tentative="1">
      <w:start w:val="1"/>
      <w:numFmt w:val="decimal"/>
      <w:lvlText w:val="%7."/>
      <w:lvlJc w:val="left"/>
      <w:pPr>
        <w:ind w:left="5040" w:hanging="360"/>
      </w:pPr>
    </w:lvl>
    <w:lvl w:ilvl="7" w:tplc="AA2A90BA" w:tentative="1">
      <w:start w:val="1"/>
      <w:numFmt w:val="lowerLetter"/>
      <w:lvlText w:val="%8."/>
      <w:lvlJc w:val="left"/>
      <w:pPr>
        <w:ind w:left="5760" w:hanging="360"/>
      </w:pPr>
    </w:lvl>
    <w:lvl w:ilvl="8" w:tplc="D82EF31A" w:tentative="1">
      <w:start w:val="1"/>
      <w:numFmt w:val="lowerRoman"/>
      <w:lvlText w:val="%9."/>
      <w:lvlJc w:val="right"/>
      <w:pPr>
        <w:ind w:left="6480" w:hanging="180"/>
      </w:pPr>
    </w:lvl>
  </w:abstractNum>
  <w:abstractNum w:abstractNumId="9" w15:restartNumberingAfterBreak="0">
    <w:nsid w:val="1DBB39E8"/>
    <w:multiLevelType w:val="hybridMultilevel"/>
    <w:tmpl w:val="62E8B2BC"/>
    <w:lvl w:ilvl="0" w:tplc="AC0E03AA">
      <w:start w:val="1"/>
      <w:numFmt w:val="lowerRoman"/>
      <w:lvlText w:val="(%1)"/>
      <w:lvlJc w:val="left"/>
      <w:pPr>
        <w:ind w:left="1069" w:hanging="360"/>
      </w:pPr>
      <w:rPr>
        <w:rFonts w:hint="default"/>
        <w:sz w:val="22"/>
        <w:szCs w:val="22"/>
      </w:rPr>
    </w:lvl>
    <w:lvl w:ilvl="1" w:tplc="EE3C00BC" w:tentative="1">
      <w:start w:val="1"/>
      <w:numFmt w:val="lowerLetter"/>
      <w:lvlText w:val="%2."/>
      <w:lvlJc w:val="left"/>
      <w:pPr>
        <w:ind w:left="1789" w:hanging="360"/>
      </w:pPr>
    </w:lvl>
    <w:lvl w:ilvl="2" w:tplc="808CFABE" w:tentative="1">
      <w:start w:val="1"/>
      <w:numFmt w:val="lowerRoman"/>
      <w:lvlText w:val="%3."/>
      <w:lvlJc w:val="right"/>
      <w:pPr>
        <w:ind w:left="2509" w:hanging="180"/>
      </w:pPr>
    </w:lvl>
    <w:lvl w:ilvl="3" w:tplc="E7B24F2C" w:tentative="1">
      <w:start w:val="1"/>
      <w:numFmt w:val="decimal"/>
      <w:lvlText w:val="%4."/>
      <w:lvlJc w:val="left"/>
      <w:pPr>
        <w:ind w:left="3229" w:hanging="360"/>
      </w:pPr>
    </w:lvl>
    <w:lvl w:ilvl="4" w:tplc="C3063F7C" w:tentative="1">
      <w:start w:val="1"/>
      <w:numFmt w:val="lowerLetter"/>
      <w:lvlText w:val="%5."/>
      <w:lvlJc w:val="left"/>
      <w:pPr>
        <w:ind w:left="3949" w:hanging="360"/>
      </w:pPr>
    </w:lvl>
    <w:lvl w:ilvl="5" w:tplc="0DE68B22" w:tentative="1">
      <w:start w:val="1"/>
      <w:numFmt w:val="lowerRoman"/>
      <w:lvlText w:val="%6."/>
      <w:lvlJc w:val="right"/>
      <w:pPr>
        <w:ind w:left="4669" w:hanging="180"/>
      </w:pPr>
    </w:lvl>
    <w:lvl w:ilvl="6" w:tplc="400A1B2C" w:tentative="1">
      <w:start w:val="1"/>
      <w:numFmt w:val="decimal"/>
      <w:lvlText w:val="%7."/>
      <w:lvlJc w:val="left"/>
      <w:pPr>
        <w:ind w:left="5389" w:hanging="360"/>
      </w:pPr>
    </w:lvl>
    <w:lvl w:ilvl="7" w:tplc="DE16791C" w:tentative="1">
      <w:start w:val="1"/>
      <w:numFmt w:val="lowerLetter"/>
      <w:lvlText w:val="%8."/>
      <w:lvlJc w:val="left"/>
      <w:pPr>
        <w:ind w:left="6109" w:hanging="360"/>
      </w:pPr>
    </w:lvl>
    <w:lvl w:ilvl="8" w:tplc="84589686" w:tentative="1">
      <w:start w:val="1"/>
      <w:numFmt w:val="lowerRoman"/>
      <w:lvlText w:val="%9."/>
      <w:lvlJc w:val="right"/>
      <w:pPr>
        <w:ind w:left="6829" w:hanging="180"/>
      </w:pPr>
    </w:lvl>
  </w:abstractNum>
  <w:abstractNum w:abstractNumId="10" w15:restartNumberingAfterBreak="0">
    <w:nsid w:val="20F8788A"/>
    <w:multiLevelType w:val="multilevel"/>
    <w:tmpl w:val="1BBE94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4513F4"/>
    <w:multiLevelType w:val="hybridMultilevel"/>
    <w:tmpl w:val="C7FA78FE"/>
    <w:lvl w:ilvl="0" w:tplc="F3021520">
      <w:start w:val="1"/>
      <w:numFmt w:val="decimal"/>
      <w:lvlText w:val="%1."/>
      <w:lvlJc w:val="left"/>
      <w:pPr>
        <w:ind w:left="798" w:hanging="360"/>
      </w:pPr>
      <w:rPr>
        <w:rFonts w:hint="default"/>
      </w:rPr>
    </w:lvl>
    <w:lvl w:ilvl="1" w:tplc="E1B8F37A" w:tentative="1">
      <w:start w:val="1"/>
      <w:numFmt w:val="lowerLetter"/>
      <w:lvlText w:val="%2."/>
      <w:lvlJc w:val="left"/>
      <w:pPr>
        <w:ind w:left="1518" w:hanging="360"/>
      </w:pPr>
    </w:lvl>
    <w:lvl w:ilvl="2" w:tplc="5AE8F30E" w:tentative="1">
      <w:start w:val="1"/>
      <w:numFmt w:val="lowerRoman"/>
      <w:lvlText w:val="%3."/>
      <w:lvlJc w:val="right"/>
      <w:pPr>
        <w:ind w:left="2238" w:hanging="180"/>
      </w:pPr>
    </w:lvl>
    <w:lvl w:ilvl="3" w:tplc="227EA020" w:tentative="1">
      <w:start w:val="1"/>
      <w:numFmt w:val="decimal"/>
      <w:lvlText w:val="%4."/>
      <w:lvlJc w:val="left"/>
      <w:pPr>
        <w:ind w:left="2958" w:hanging="360"/>
      </w:pPr>
    </w:lvl>
    <w:lvl w:ilvl="4" w:tplc="987C53A0" w:tentative="1">
      <w:start w:val="1"/>
      <w:numFmt w:val="lowerLetter"/>
      <w:lvlText w:val="%5."/>
      <w:lvlJc w:val="left"/>
      <w:pPr>
        <w:ind w:left="3678" w:hanging="360"/>
      </w:pPr>
    </w:lvl>
    <w:lvl w:ilvl="5" w:tplc="83281070" w:tentative="1">
      <w:start w:val="1"/>
      <w:numFmt w:val="lowerRoman"/>
      <w:lvlText w:val="%6."/>
      <w:lvlJc w:val="right"/>
      <w:pPr>
        <w:ind w:left="4398" w:hanging="180"/>
      </w:pPr>
    </w:lvl>
    <w:lvl w:ilvl="6" w:tplc="DBB409CA" w:tentative="1">
      <w:start w:val="1"/>
      <w:numFmt w:val="decimal"/>
      <w:lvlText w:val="%7."/>
      <w:lvlJc w:val="left"/>
      <w:pPr>
        <w:ind w:left="5118" w:hanging="360"/>
      </w:pPr>
    </w:lvl>
    <w:lvl w:ilvl="7" w:tplc="0B2E6996" w:tentative="1">
      <w:start w:val="1"/>
      <w:numFmt w:val="lowerLetter"/>
      <w:lvlText w:val="%8."/>
      <w:lvlJc w:val="left"/>
      <w:pPr>
        <w:ind w:left="5838" w:hanging="360"/>
      </w:pPr>
    </w:lvl>
    <w:lvl w:ilvl="8" w:tplc="3B661914" w:tentative="1">
      <w:start w:val="1"/>
      <w:numFmt w:val="lowerRoman"/>
      <w:lvlText w:val="%9."/>
      <w:lvlJc w:val="right"/>
      <w:pPr>
        <w:ind w:left="6558" w:hanging="180"/>
      </w:pPr>
    </w:lvl>
  </w:abstractNum>
  <w:abstractNum w:abstractNumId="12" w15:restartNumberingAfterBreak="0">
    <w:nsid w:val="30C820C7"/>
    <w:multiLevelType w:val="hybridMultilevel"/>
    <w:tmpl w:val="5DA01F94"/>
    <w:lvl w:ilvl="0" w:tplc="7B3E7AD4">
      <w:start w:val="1"/>
      <w:numFmt w:val="decimal"/>
      <w:lvlText w:val="%1."/>
      <w:lvlJc w:val="left"/>
      <w:pPr>
        <w:ind w:left="720" w:hanging="360"/>
      </w:pPr>
    </w:lvl>
    <w:lvl w:ilvl="1" w:tplc="853A61F4" w:tentative="1">
      <w:start w:val="1"/>
      <w:numFmt w:val="lowerLetter"/>
      <w:lvlText w:val="%2."/>
      <w:lvlJc w:val="left"/>
      <w:pPr>
        <w:ind w:left="1440" w:hanging="360"/>
      </w:pPr>
    </w:lvl>
    <w:lvl w:ilvl="2" w:tplc="695A2A94" w:tentative="1">
      <w:start w:val="1"/>
      <w:numFmt w:val="lowerRoman"/>
      <w:lvlText w:val="%3."/>
      <w:lvlJc w:val="right"/>
      <w:pPr>
        <w:ind w:left="2160" w:hanging="180"/>
      </w:pPr>
    </w:lvl>
    <w:lvl w:ilvl="3" w:tplc="EF2AC306" w:tentative="1">
      <w:start w:val="1"/>
      <w:numFmt w:val="decimal"/>
      <w:lvlText w:val="%4."/>
      <w:lvlJc w:val="left"/>
      <w:pPr>
        <w:ind w:left="2880" w:hanging="360"/>
      </w:pPr>
    </w:lvl>
    <w:lvl w:ilvl="4" w:tplc="468A969A" w:tentative="1">
      <w:start w:val="1"/>
      <w:numFmt w:val="lowerLetter"/>
      <w:lvlText w:val="%5."/>
      <w:lvlJc w:val="left"/>
      <w:pPr>
        <w:ind w:left="3600" w:hanging="360"/>
      </w:pPr>
    </w:lvl>
    <w:lvl w:ilvl="5" w:tplc="1FB61222" w:tentative="1">
      <w:start w:val="1"/>
      <w:numFmt w:val="lowerRoman"/>
      <w:lvlText w:val="%6."/>
      <w:lvlJc w:val="right"/>
      <w:pPr>
        <w:ind w:left="4320" w:hanging="180"/>
      </w:pPr>
    </w:lvl>
    <w:lvl w:ilvl="6" w:tplc="E070EA66" w:tentative="1">
      <w:start w:val="1"/>
      <w:numFmt w:val="decimal"/>
      <w:lvlText w:val="%7."/>
      <w:lvlJc w:val="left"/>
      <w:pPr>
        <w:ind w:left="5040" w:hanging="360"/>
      </w:pPr>
    </w:lvl>
    <w:lvl w:ilvl="7" w:tplc="CE4013F4" w:tentative="1">
      <w:start w:val="1"/>
      <w:numFmt w:val="lowerLetter"/>
      <w:lvlText w:val="%8."/>
      <w:lvlJc w:val="left"/>
      <w:pPr>
        <w:ind w:left="5760" w:hanging="360"/>
      </w:pPr>
    </w:lvl>
    <w:lvl w:ilvl="8" w:tplc="F74009E6" w:tentative="1">
      <w:start w:val="1"/>
      <w:numFmt w:val="lowerRoman"/>
      <w:lvlText w:val="%9."/>
      <w:lvlJc w:val="right"/>
      <w:pPr>
        <w:ind w:left="6480" w:hanging="180"/>
      </w:pPr>
    </w:lvl>
  </w:abstractNum>
  <w:abstractNum w:abstractNumId="13" w15:restartNumberingAfterBreak="0">
    <w:nsid w:val="30CC4714"/>
    <w:multiLevelType w:val="multilevel"/>
    <w:tmpl w:val="3F98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5" w15:restartNumberingAfterBreak="0">
    <w:nsid w:val="33D06747"/>
    <w:multiLevelType w:val="hybridMultilevel"/>
    <w:tmpl w:val="C4847498"/>
    <w:lvl w:ilvl="0" w:tplc="D4507C04">
      <w:start w:val="5"/>
      <w:numFmt w:val="bullet"/>
      <w:lvlText w:val="-"/>
      <w:lvlJc w:val="left"/>
      <w:pPr>
        <w:ind w:left="1086" w:hanging="360"/>
      </w:pPr>
      <w:rPr>
        <w:rFonts w:ascii="Arial" w:eastAsia="Arial Unicode MS" w:hAnsi="Arial" w:cs="Arial" w:hint="default"/>
      </w:rPr>
    </w:lvl>
    <w:lvl w:ilvl="1" w:tplc="35265AD2" w:tentative="1">
      <w:start w:val="1"/>
      <w:numFmt w:val="bullet"/>
      <w:lvlText w:val="o"/>
      <w:lvlJc w:val="left"/>
      <w:pPr>
        <w:ind w:left="1806" w:hanging="360"/>
      </w:pPr>
      <w:rPr>
        <w:rFonts w:ascii="Courier New" w:hAnsi="Courier New" w:cs="Courier New" w:hint="default"/>
      </w:rPr>
    </w:lvl>
    <w:lvl w:ilvl="2" w:tplc="924E4546" w:tentative="1">
      <w:start w:val="1"/>
      <w:numFmt w:val="bullet"/>
      <w:lvlText w:val=""/>
      <w:lvlJc w:val="left"/>
      <w:pPr>
        <w:ind w:left="2526" w:hanging="360"/>
      </w:pPr>
      <w:rPr>
        <w:rFonts w:ascii="Wingdings" w:hAnsi="Wingdings" w:hint="default"/>
      </w:rPr>
    </w:lvl>
    <w:lvl w:ilvl="3" w:tplc="0D0E1390" w:tentative="1">
      <w:start w:val="1"/>
      <w:numFmt w:val="bullet"/>
      <w:lvlText w:val=""/>
      <w:lvlJc w:val="left"/>
      <w:pPr>
        <w:ind w:left="3246" w:hanging="360"/>
      </w:pPr>
      <w:rPr>
        <w:rFonts w:ascii="Symbol" w:hAnsi="Symbol" w:hint="default"/>
      </w:rPr>
    </w:lvl>
    <w:lvl w:ilvl="4" w:tplc="C9C2C1E0" w:tentative="1">
      <w:start w:val="1"/>
      <w:numFmt w:val="bullet"/>
      <w:lvlText w:val="o"/>
      <w:lvlJc w:val="left"/>
      <w:pPr>
        <w:ind w:left="3966" w:hanging="360"/>
      </w:pPr>
      <w:rPr>
        <w:rFonts w:ascii="Courier New" w:hAnsi="Courier New" w:cs="Courier New" w:hint="default"/>
      </w:rPr>
    </w:lvl>
    <w:lvl w:ilvl="5" w:tplc="2B12DCAC" w:tentative="1">
      <w:start w:val="1"/>
      <w:numFmt w:val="bullet"/>
      <w:lvlText w:val=""/>
      <w:lvlJc w:val="left"/>
      <w:pPr>
        <w:ind w:left="4686" w:hanging="360"/>
      </w:pPr>
      <w:rPr>
        <w:rFonts w:ascii="Wingdings" w:hAnsi="Wingdings" w:hint="default"/>
      </w:rPr>
    </w:lvl>
    <w:lvl w:ilvl="6" w:tplc="5A38B1FA" w:tentative="1">
      <w:start w:val="1"/>
      <w:numFmt w:val="bullet"/>
      <w:lvlText w:val=""/>
      <w:lvlJc w:val="left"/>
      <w:pPr>
        <w:ind w:left="5406" w:hanging="360"/>
      </w:pPr>
      <w:rPr>
        <w:rFonts w:ascii="Symbol" w:hAnsi="Symbol" w:hint="default"/>
      </w:rPr>
    </w:lvl>
    <w:lvl w:ilvl="7" w:tplc="61AEBF5A" w:tentative="1">
      <w:start w:val="1"/>
      <w:numFmt w:val="bullet"/>
      <w:lvlText w:val="o"/>
      <w:lvlJc w:val="left"/>
      <w:pPr>
        <w:ind w:left="6126" w:hanging="360"/>
      </w:pPr>
      <w:rPr>
        <w:rFonts w:ascii="Courier New" w:hAnsi="Courier New" w:cs="Courier New" w:hint="default"/>
      </w:rPr>
    </w:lvl>
    <w:lvl w:ilvl="8" w:tplc="89B42F14" w:tentative="1">
      <w:start w:val="1"/>
      <w:numFmt w:val="bullet"/>
      <w:lvlText w:val=""/>
      <w:lvlJc w:val="left"/>
      <w:pPr>
        <w:ind w:left="6846" w:hanging="360"/>
      </w:pPr>
      <w:rPr>
        <w:rFonts w:ascii="Wingdings" w:hAnsi="Wingdings" w:hint="default"/>
      </w:rPr>
    </w:lvl>
  </w:abstractNum>
  <w:abstractNum w:abstractNumId="16" w15:restartNumberingAfterBreak="0">
    <w:nsid w:val="376F6CF5"/>
    <w:multiLevelType w:val="multilevel"/>
    <w:tmpl w:val="66C8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ED7D0D"/>
    <w:multiLevelType w:val="multilevel"/>
    <w:tmpl w:val="5B40FBF6"/>
    <w:lvl w:ilvl="0">
      <w:start w:val="1"/>
      <w:numFmt w:val="decimal"/>
      <w:lvlText w:val="%1"/>
      <w:lvlJc w:val="left"/>
      <w:pPr>
        <w:tabs>
          <w:tab w:val="num" w:pos="720"/>
        </w:tabs>
        <w:ind w:left="0" w:firstLine="709"/>
      </w:pPr>
      <w:rPr>
        <w:b w:val="0"/>
        <w:i/>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A16202C"/>
    <w:multiLevelType w:val="hybridMultilevel"/>
    <w:tmpl w:val="5C465BE8"/>
    <w:lvl w:ilvl="0" w:tplc="7D6C2B40">
      <w:start w:val="1"/>
      <w:numFmt w:val="upperLetter"/>
      <w:lvlText w:val="%1."/>
      <w:lvlJc w:val="left"/>
      <w:pPr>
        <w:ind w:left="644" w:hanging="360"/>
      </w:pPr>
      <w:rPr>
        <w:rFonts w:ascii="Arial" w:eastAsia="Arial Unicode MS" w:hAnsi="Arial" w:cs="Times New Roman"/>
      </w:rPr>
    </w:lvl>
    <w:lvl w:ilvl="1" w:tplc="9AD8EAA6" w:tentative="1">
      <w:start w:val="1"/>
      <w:numFmt w:val="lowerLetter"/>
      <w:lvlText w:val="%2."/>
      <w:lvlJc w:val="left"/>
      <w:pPr>
        <w:ind w:left="1440" w:hanging="360"/>
      </w:pPr>
    </w:lvl>
    <w:lvl w:ilvl="2" w:tplc="924253C6" w:tentative="1">
      <w:start w:val="1"/>
      <w:numFmt w:val="lowerRoman"/>
      <w:lvlText w:val="%3."/>
      <w:lvlJc w:val="right"/>
      <w:pPr>
        <w:ind w:left="2160" w:hanging="180"/>
      </w:pPr>
    </w:lvl>
    <w:lvl w:ilvl="3" w:tplc="3472773A" w:tentative="1">
      <w:start w:val="1"/>
      <w:numFmt w:val="decimal"/>
      <w:lvlText w:val="%4."/>
      <w:lvlJc w:val="left"/>
      <w:pPr>
        <w:ind w:left="2880" w:hanging="360"/>
      </w:pPr>
    </w:lvl>
    <w:lvl w:ilvl="4" w:tplc="5D249426" w:tentative="1">
      <w:start w:val="1"/>
      <w:numFmt w:val="lowerLetter"/>
      <w:lvlText w:val="%5."/>
      <w:lvlJc w:val="left"/>
      <w:pPr>
        <w:ind w:left="3600" w:hanging="360"/>
      </w:pPr>
    </w:lvl>
    <w:lvl w:ilvl="5" w:tplc="D9A29C96" w:tentative="1">
      <w:start w:val="1"/>
      <w:numFmt w:val="lowerRoman"/>
      <w:lvlText w:val="%6."/>
      <w:lvlJc w:val="right"/>
      <w:pPr>
        <w:ind w:left="4320" w:hanging="180"/>
      </w:pPr>
    </w:lvl>
    <w:lvl w:ilvl="6" w:tplc="C0F40706" w:tentative="1">
      <w:start w:val="1"/>
      <w:numFmt w:val="decimal"/>
      <w:lvlText w:val="%7."/>
      <w:lvlJc w:val="left"/>
      <w:pPr>
        <w:ind w:left="5040" w:hanging="360"/>
      </w:pPr>
    </w:lvl>
    <w:lvl w:ilvl="7" w:tplc="E7D0A830" w:tentative="1">
      <w:start w:val="1"/>
      <w:numFmt w:val="lowerLetter"/>
      <w:lvlText w:val="%8."/>
      <w:lvlJc w:val="left"/>
      <w:pPr>
        <w:ind w:left="5760" w:hanging="360"/>
      </w:pPr>
    </w:lvl>
    <w:lvl w:ilvl="8" w:tplc="AF6AE666" w:tentative="1">
      <w:start w:val="1"/>
      <w:numFmt w:val="lowerRoman"/>
      <w:lvlText w:val="%9."/>
      <w:lvlJc w:val="right"/>
      <w:pPr>
        <w:ind w:left="6480" w:hanging="180"/>
      </w:pPr>
    </w:lvl>
  </w:abstractNum>
  <w:abstractNum w:abstractNumId="19" w15:restartNumberingAfterBreak="0">
    <w:nsid w:val="4B204C64"/>
    <w:multiLevelType w:val="hybridMultilevel"/>
    <w:tmpl w:val="56C4212A"/>
    <w:lvl w:ilvl="0" w:tplc="A3D83C90">
      <w:start w:val="1"/>
      <w:numFmt w:val="decimal"/>
      <w:lvlText w:val="%1."/>
      <w:lvlJc w:val="left"/>
      <w:pPr>
        <w:tabs>
          <w:tab w:val="num" w:pos="567"/>
        </w:tabs>
        <w:ind w:left="0" w:firstLine="0"/>
      </w:pPr>
      <w:rPr>
        <w:rFonts w:hint="default"/>
        <w:b w:val="0"/>
        <w:i w:val="0"/>
      </w:rPr>
    </w:lvl>
    <w:lvl w:ilvl="1" w:tplc="BC384556" w:tentative="1">
      <w:start w:val="1"/>
      <w:numFmt w:val="lowerLetter"/>
      <w:lvlText w:val="%2."/>
      <w:lvlJc w:val="left"/>
      <w:pPr>
        <w:tabs>
          <w:tab w:val="num" w:pos="1440"/>
        </w:tabs>
        <w:ind w:left="1440" w:hanging="360"/>
      </w:pPr>
    </w:lvl>
    <w:lvl w:ilvl="2" w:tplc="480674B0" w:tentative="1">
      <w:start w:val="1"/>
      <w:numFmt w:val="lowerRoman"/>
      <w:lvlText w:val="%3."/>
      <w:lvlJc w:val="right"/>
      <w:pPr>
        <w:tabs>
          <w:tab w:val="num" w:pos="2160"/>
        </w:tabs>
        <w:ind w:left="2160" w:hanging="180"/>
      </w:pPr>
    </w:lvl>
    <w:lvl w:ilvl="3" w:tplc="177422C4" w:tentative="1">
      <w:start w:val="1"/>
      <w:numFmt w:val="decimal"/>
      <w:lvlText w:val="%4."/>
      <w:lvlJc w:val="left"/>
      <w:pPr>
        <w:tabs>
          <w:tab w:val="num" w:pos="2880"/>
        </w:tabs>
        <w:ind w:left="2880" w:hanging="360"/>
      </w:pPr>
    </w:lvl>
    <w:lvl w:ilvl="4" w:tplc="07AE1DF4" w:tentative="1">
      <w:start w:val="1"/>
      <w:numFmt w:val="lowerLetter"/>
      <w:lvlText w:val="%5."/>
      <w:lvlJc w:val="left"/>
      <w:pPr>
        <w:tabs>
          <w:tab w:val="num" w:pos="3600"/>
        </w:tabs>
        <w:ind w:left="3600" w:hanging="360"/>
      </w:pPr>
    </w:lvl>
    <w:lvl w:ilvl="5" w:tplc="A4306396" w:tentative="1">
      <w:start w:val="1"/>
      <w:numFmt w:val="lowerRoman"/>
      <w:lvlText w:val="%6."/>
      <w:lvlJc w:val="right"/>
      <w:pPr>
        <w:tabs>
          <w:tab w:val="num" w:pos="4320"/>
        </w:tabs>
        <w:ind w:left="4320" w:hanging="180"/>
      </w:pPr>
    </w:lvl>
    <w:lvl w:ilvl="6" w:tplc="F37216EA" w:tentative="1">
      <w:start w:val="1"/>
      <w:numFmt w:val="decimal"/>
      <w:lvlText w:val="%7."/>
      <w:lvlJc w:val="left"/>
      <w:pPr>
        <w:tabs>
          <w:tab w:val="num" w:pos="5040"/>
        </w:tabs>
        <w:ind w:left="5040" w:hanging="360"/>
      </w:pPr>
    </w:lvl>
    <w:lvl w:ilvl="7" w:tplc="7A7ED100" w:tentative="1">
      <w:start w:val="1"/>
      <w:numFmt w:val="lowerLetter"/>
      <w:lvlText w:val="%8."/>
      <w:lvlJc w:val="left"/>
      <w:pPr>
        <w:tabs>
          <w:tab w:val="num" w:pos="5760"/>
        </w:tabs>
        <w:ind w:left="5760" w:hanging="360"/>
      </w:pPr>
    </w:lvl>
    <w:lvl w:ilvl="8" w:tplc="74F424EC" w:tentative="1">
      <w:start w:val="1"/>
      <w:numFmt w:val="lowerRoman"/>
      <w:lvlText w:val="%9."/>
      <w:lvlJc w:val="right"/>
      <w:pPr>
        <w:tabs>
          <w:tab w:val="num" w:pos="6480"/>
        </w:tabs>
        <w:ind w:left="6480" w:hanging="180"/>
      </w:pPr>
    </w:lvl>
  </w:abstractNum>
  <w:abstractNum w:abstractNumId="20" w15:restartNumberingAfterBreak="0">
    <w:nsid w:val="4E88035E"/>
    <w:multiLevelType w:val="hybridMultilevel"/>
    <w:tmpl w:val="B9D6EF66"/>
    <w:lvl w:ilvl="0" w:tplc="AD5EA0D8">
      <w:start w:val="1"/>
      <w:numFmt w:val="bullet"/>
      <w:lvlText w:val=""/>
      <w:lvlJc w:val="left"/>
      <w:pPr>
        <w:ind w:left="720" w:hanging="360"/>
      </w:pPr>
      <w:rPr>
        <w:rFonts w:ascii="Symbol" w:hAnsi="Symbol" w:hint="default"/>
      </w:rPr>
    </w:lvl>
    <w:lvl w:ilvl="1" w:tplc="11F2D838" w:tentative="1">
      <w:start w:val="1"/>
      <w:numFmt w:val="bullet"/>
      <w:lvlText w:val="o"/>
      <w:lvlJc w:val="left"/>
      <w:pPr>
        <w:ind w:left="1440" w:hanging="360"/>
      </w:pPr>
      <w:rPr>
        <w:rFonts w:ascii="Courier New" w:hAnsi="Courier New" w:cs="Courier New" w:hint="default"/>
      </w:rPr>
    </w:lvl>
    <w:lvl w:ilvl="2" w:tplc="5840067C" w:tentative="1">
      <w:start w:val="1"/>
      <w:numFmt w:val="bullet"/>
      <w:lvlText w:val=""/>
      <w:lvlJc w:val="left"/>
      <w:pPr>
        <w:ind w:left="2160" w:hanging="360"/>
      </w:pPr>
      <w:rPr>
        <w:rFonts w:ascii="Wingdings" w:hAnsi="Wingdings" w:hint="default"/>
      </w:rPr>
    </w:lvl>
    <w:lvl w:ilvl="3" w:tplc="2976FC10" w:tentative="1">
      <w:start w:val="1"/>
      <w:numFmt w:val="bullet"/>
      <w:lvlText w:val=""/>
      <w:lvlJc w:val="left"/>
      <w:pPr>
        <w:ind w:left="2880" w:hanging="360"/>
      </w:pPr>
      <w:rPr>
        <w:rFonts w:ascii="Symbol" w:hAnsi="Symbol" w:hint="default"/>
      </w:rPr>
    </w:lvl>
    <w:lvl w:ilvl="4" w:tplc="8C18ED56" w:tentative="1">
      <w:start w:val="1"/>
      <w:numFmt w:val="bullet"/>
      <w:lvlText w:val="o"/>
      <w:lvlJc w:val="left"/>
      <w:pPr>
        <w:ind w:left="3600" w:hanging="360"/>
      </w:pPr>
      <w:rPr>
        <w:rFonts w:ascii="Courier New" w:hAnsi="Courier New" w:cs="Courier New" w:hint="default"/>
      </w:rPr>
    </w:lvl>
    <w:lvl w:ilvl="5" w:tplc="9FF4EB64" w:tentative="1">
      <w:start w:val="1"/>
      <w:numFmt w:val="bullet"/>
      <w:lvlText w:val=""/>
      <w:lvlJc w:val="left"/>
      <w:pPr>
        <w:ind w:left="4320" w:hanging="360"/>
      </w:pPr>
      <w:rPr>
        <w:rFonts w:ascii="Wingdings" w:hAnsi="Wingdings" w:hint="default"/>
      </w:rPr>
    </w:lvl>
    <w:lvl w:ilvl="6" w:tplc="0A665506" w:tentative="1">
      <w:start w:val="1"/>
      <w:numFmt w:val="bullet"/>
      <w:lvlText w:val=""/>
      <w:lvlJc w:val="left"/>
      <w:pPr>
        <w:ind w:left="5040" w:hanging="360"/>
      </w:pPr>
      <w:rPr>
        <w:rFonts w:ascii="Symbol" w:hAnsi="Symbol" w:hint="default"/>
      </w:rPr>
    </w:lvl>
    <w:lvl w:ilvl="7" w:tplc="37983EC2" w:tentative="1">
      <w:start w:val="1"/>
      <w:numFmt w:val="bullet"/>
      <w:lvlText w:val="o"/>
      <w:lvlJc w:val="left"/>
      <w:pPr>
        <w:ind w:left="5760" w:hanging="360"/>
      </w:pPr>
      <w:rPr>
        <w:rFonts w:ascii="Courier New" w:hAnsi="Courier New" w:cs="Courier New" w:hint="default"/>
      </w:rPr>
    </w:lvl>
    <w:lvl w:ilvl="8" w:tplc="E772BB32" w:tentative="1">
      <w:start w:val="1"/>
      <w:numFmt w:val="bullet"/>
      <w:lvlText w:val=""/>
      <w:lvlJc w:val="left"/>
      <w:pPr>
        <w:ind w:left="6480" w:hanging="360"/>
      </w:pPr>
      <w:rPr>
        <w:rFonts w:ascii="Wingdings" w:hAnsi="Wingdings" w:hint="default"/>
      </w:rPr>
    </w:lvl>
  </w:abstractNum>
  <w:abstractNum w:abstractNumId="21" w15:restartNumberingAfterBreak="0">
    <w:nsid w:val="5111396D"/>
    <w:multiLevelType w:val="multilevel"/>
    <w:tmpl w:val="746CC580"/>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C768C1"/>
    <w:multiLevelType w:val="hybridMultilevel"/>
    <w:tmpl w:val="D3E809BA"/>
    <w:lvl w:ilvl="0" w:tplc="7032A88A">
      <w:numFmt w:val="bullet"/>
      <w:lvlText w:val="-"/>
      <w:lvlJc w:val="left"/>
      <w:pPr>
        <w:ind w:left="720" w:hanging="360"/>
      </w:pPr>
      <w:rPr>
        <w:rFonts w:ascii="Arial" w:eastAsia="Arial Unicode MS" w:hAnsi="Arial" w:cs="Arial" w:hint="default"/>
      </w:rPr>
    </w:lvl>
    <w:lvl w:ilvl="1" w:tplc="23C0D0D6" w:tentative="1">
      <w:start w:val="1"/>
      <w:numFmt w:val="bullet"/>
      <w:lvlText w:val="o"/>
      <w:lvlJc w:val="left"/>
      <w:pPr>
        <w:ind w:left="1440" w:hanging="360"/>
      </w:pPr>
      <w:rPr>
        <w:rFonts w:ascii="Courier New" w:hAnsi="Courier New" w:cs="Courier New" w:hint="default"/>
      </w:rPr>
    </w:lvl>
    <w:lvl w:ilvl="2" w:tplc="2F58A14C" w:tentative="1">
      <w:start w:val="1"/>
      <w:numFmt w:val="bullet"/>
      <w:lvlText w:val=""/>
      <w:lvlJc w:val="left"/>
      <w:pPr>
        <w:ind w:left="2160" w:hanging="360"/>
      </w:pPr>
      <w:rPr>
        <w:rFonts w:ascii="Wingdings" w:hAnsi="Wingdings" w:hint="default"/>
      </w:rPr>
    </w:lvl>
    <w:lvl w:ilvl="3" w:tplc="84D2EE06" w:tentative="1">
      <w:start w:val="1"/>
      <w:numFmt w:val="bullet"/>
      <w:lvlText w:val=""/>
      <w:lvlJc w:val="left"/>
      <w:pPr>
        <w:ind w:left="2880" w:hanging="360"/>
      </w:pPr>
      <w:rPr>
        <w:rFonts w:ascii="Symbol" w:hAnsi="Symbol" w:hint="default"/>
      </w:rPr>
    </w:lvl>
    <w:lvl w:ilvl="4" w:tplc="FA7C1C58" w:tentative="1">
      <w:start w:val="1"/>
      <w:numFmt w:val="bullet"/>
      <w:lvlText w:val="o"/>
      <w:lvlJc w:val="left"/>
      <w:pPr>
        <w:ind w:left="3600" w:hanging="360"/>
      </w:pPr>
      <w:rPr>
        <w:rFonts w:ascii="Courier New" w:hAnsi="Courier New" w:cs="Courier New" w:hint="default"/>
      </w:rPr>
    </w:lvl>
    <w:lvl w:ilvl="5" w:tplc="CF826E82" w:tentative="1">
      <w:start w:val="1"/>
      <w:numFmt w:val="bullet"/>
      <w:lvlText w:val=""/>
      <w:lvlJc w:val="left"/>
      <w:pPr>
        <w:ind w:left="4320" w:hanging="360"/>
      </w:pPr>
      <w:rPr>
        <w:rFonts w:ascii="Wingdings" w:hAnsi="Wingdings" w:hint="default"/>
      </w:rPr>
    </w:lvl>
    <w:lvl w:ilvl="6" w:tplc="0950935A" w:tentative="1">
      <w:start w:val="1"/>
      <w:numFmt w:val="bullet"/>
      <w:lvlText w:val=""/>
      <w:lvlJc w:val="left"/>
      <w:pPr>
        <w:ind w:left="5040" w:hanging="360"/>
      </w:pPr>
      <w:rPr>
        <w:rFonts w:ascii="Symbol" w:hAnsi="Symbol" w:hint="default"/>
      </w:rPr>
    </w:lvl>
    <w:lvl w:ilvl="7" w:tplc="7EE6D388" w:tentative="1">
      <w:start w:val="1"/>
      <w:numFmt w:val="bullet"/>
      <w:lvlText w:val="o"/>
      <w:lvlJc w:val="left"/>
      <w:pPr>
        <w:ind w:left="5760" w:hanging="360"/>
      </w:pPr>
      <w:rPr>
        <w:rFonts w:ascii="Courier New" w:hAnsi="Courier New" w:cs="Courier New" w:hint="default"/>
      </w:rPr>
    </w:lvl>
    <w:lvl w:ilvl="8" w:tplc="7FC4F9EA" w:tentative="1">
      <w:start w:val="1"/>
      <w:numFmt w:val="bullet"/>
      <w:lvlText w:val=""/>
      <w:lvlJc w:val="left"/>
      <w:pPr>
        <w:ind w:left="6480" w:hanging="360"/>
      </w:pPr>
      <w:rPr>
        <w:rFonts w:ascii="Wingdings" w:hAnsi="Wingdings" w:hint="default"/>
      </w:rPr>
    </w:lvl>
  </w:abstractNum>
  <w:abstractNum w:abstractNumId="23" w15:restartNumberingAfterBreak="0">
    <w:nsid w:val="5471307C"/>
    <w:multiLevelType w:val="hybridMultilevel"/>
    <w:tmpl w:val="800A9C98"/>
    <w:lvl w:ilvl="0" w:tplc="937A4A62">
      <w:start w:val="1"/>
      <w:numFmt w:val="upperLetter"/>
      <w:lvlText w:val="%1."/>
      <w:lvlJc w:val="left"/>
      <w:pPr>
        <w:ind w:left="720" w:hanging="360"/>
      </w:pPr>
      <w:rPr>
        <w:rFonts w:hint="default"/>
      </w:rPr>
    </w:lvl>
    <w:lvl w:ilvl="1" w:tplc="24460086">
      <w:start w:val="1"/>
      <w:numFmt w:val="lowerLetter"/>
      <w:lvlText w:val="%2."/>
      <w:lvlJc w:val="left"/>
      <w:pPr>
        <w:ind w:left="1440" w:hanging="360"/>
      </w:pPr>
    </w:lvl>
    <w:lvl w:ilvl="2" w:tplc="8ED87322" w:tentative="1">
      <w:start w:val="1"/>
      <w:numFmt w:val="lowerRoman"/>
      <w:lvlText w:val="%3."/>
      <w:lvlJc w:val="right"/>
      <w:pPr>
        <w:ind w:left="2160" w:hanging="180"/>
      </w:pPr>
    </w:lvl>
    <w:lvl w:ilvl="3" w:tplc="4DC87CB6" w:tentative="1">
      <w:start w:val="1"/>
      <w:numFmt w:val="decimal"/>
      <w:lvlText w:val="%4."/>
      <w:lvlJc w:val="left"/>
      <w:pPr>
        <w:ind w:left="2880" w:hanging="360"/>
      </w:pPr>
    </w:lvl>
    <w:lvl w:ilvl="4" w:tplc="BA1EBB64" w:tentative="1">
      <w:start w:val="1"/>
      <w:numFmt w:val="lowerLetter"/>
      <w:lvlText w:val="%5."/>
      <w:lvlJc w:val="left"/>
      <w:pPr>
        <w:ind w:left="3600" w:hanging="360"/>
      </w:pPr>
    </w:lvl>
    <w:lvl w:ilvl="5" w:tplc="7C869E8A" w:tentative="1">
      <w:start w:val="1"/>
      <w:numFmt w:val="lowerRoman"/>
      <w:lvlText w:val="%6."/>
      <w:lvlJc w:val="right"/>
      <w:pPr>
        <w:ind w:left="4320" w:hanging="180"/>
      </w:pPr>
    </w:lvl>
    <w:lvl w:ilvl="6" w:tplc="852A20A0" w:tentative="1">
      <w:start w:val="1"/>
      <w:numFmt w:val="decimal"/>
      <w:lvlText w:val="%7."/>
      <w:lvlJc w:val="left"/>
      <w:pPr>
        <w:ind w:left="5040" w:hanging="360"/>
      </w:pPr>
    </w:lvl>
    <w:lvl w:ilvl="7" w:tplc="E6D07C54" w:tentative="1">
      <w:start w:val="1"/>
      <w:numFmt w:val="lowerLetter"/>
      <w:lvlText w:val="%8."/>
      <w:lvlJc w:val="left"/>
      <w:pPr>
        <w:ind w:left="5760" w:hanging="360"/>
      </w:pPr>
    </w:lvl>
    <w:lvl w:ilvl="8" w:tplc="231C63AE" w:tentative="1">
      <w:start w:val="1"/>
      <w:numFmt w:val="lowerRoman"/>
      <w:lvlText w:val="%9."/>
      <w:lvlJc w:val="right"/>
      <w:pPr>
        <w:ind w:left="6480" w:hanging="180"/>
      </w:pPr>
    </w:lvl>
  </w:abstractNum>
  <w:abstractNum w:abstractNumId="24" w15:restartNumberingAfterBreak="0">
    <w:nsid w:val="59072590"/>
    <w:multiLevelType w:val="multilevel"/>
    <w:tmpl w:val="6AC44B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1432EB"/>
    <w:multiLevelType w:val="hybridMultilevel"/>
    <w:tmpl w:val="5F0E0364"/>
    <w:lvl w:ilvl="0" w:tplc="A79CBADC">
      <w:start w:val="1"/>
      <w:numFmt w:val="decimal"/>
      <w:lvlText w:val="%1."/>
      <w:lvlJc w:val="left"/>
      <w:pPr>
        <w:ind w:left="720" w:hanging="360"/>
      </w:pPr>
      <w:rPr>
        <w:rFonts w:ascii="Arial" w:hAnsi="Arial" w:hint="default"/>
        <w:b/>
        <w:i w:val="0"/>
        <w:sz w:val="22"/>
      </w:rPr>
    </w:lvl>
    <w:lvl w:ilvl="1" w:tplc="3C68BD58" w:tentative="1">
      <w:start w:val="1"/>
      <w:numFmt w:val="lowerLetter"/>
      <w:lvlText w:val="%2."/>
      <w:lvlJc w:val="left"/>
      <w:pPr>
        <w:ind w:left="1440" w:hanging="360"/>
      </w:pPr>
    </w:lvl>
    <w:lvl w:ilvl="2" w:tplc="6B0649AA" w:tentative="1">
      <w:start w:val="1"/>
      <w:numFmt w:val="lowerRoman"/>
      <w:lvlText w:val="%3."/>
      <w:lvlJc w:val="right"/>
      <w:pPr>
        <w:ind w:left="2160" w:hanging="180"/>
      </w:pPr>
    </w:lvl>
    <w:lvl w:ilvl="3" w:tplc="658C2D42" w:tentative="1">
      <w:start w:val="1"/>
      <w:numFmt w:val="decimal"/>
      <w:lvlText w:val="%4."/>
      <w:lvlJc w:val="left"/>
      <w:pPr>
        <w:ind w:left="2880" w:hanging="360"/>
      </w:pPr>
    </w:lvl>
    <w:lvl w:ilvl="4" w:tplc="C108C68C" w:tentative="1">
      <w:start w:val="1"/>
      <w:numFmt w:val="lowerLetter"/>
      <w:lvlText w:val="%5."/>
      <w:lvlJc w:val="left"/>
      <w:pPr>
        <w:ind w:left="3600" w:hanging="360"/>
      </w:pPr>
    </w:lvl>
    <w:lvl w:ilvl="5" w:tplc="8CA4D1A6" w:tentative="1">
      <w:start w:val="1"/>
      <w:numFmt w:val="lowerRoman"/>
      <w:lvlText w:val="%6."/>
      <w:lvlJc w:val="right"/>
      <w:pPr>
        <w:ind w:left="4320" w:hanging="180"/>
      </w:pPr>
    </w:lvl>
    <w:lvl w:ilvl="6" w:tplc="6CEC19AE" w:tentative="1">
      <w:start w:val="1"/>
      <w:numFmt w:val="decimal"/>
      <w:lvlText w:val="%7."/>
      <w:lvlJc w:val="left"/>
      <w:pPr>
        <w:ind w:left="5040" w:hanging="360"/>
      </w:pPr>
    </w:lvl>
    <w:lvl w:ilvl="7" w:tplc="7DAE0C6A" w:tentative="1">
      <w:start w:val="1"/>
      <w:numFmt w:val="lowerLetter"/>
      <w:lvlText w:val="%8."/>
      <w:lvlJc w:val="left"/>
      <w:pPr>
        <w:ind w:left="5760" w:hanging="360"/>
      </w:pPr>
    </w:lvl>
    <w:lvl w:ilvl="8" w:tplc="8514F69E" w:tentative="1">
      <w:start w:val="1"/>
      <w:numFmt w:val="lowerRoman"/>
      <w:lvlText w:val="%9."/>
      <w:lvlJc w:val="right"/>
      <w:pPr>
        <w:ind w:left="6480" w:hanging="180"/>
      </w:pPr>
    </w:lvl>
  </w:abstractNum>
  <w:abstractNum w:abstractNumId="26" w15:restartNumberingAfterBreak="0">
    <w:nsid w:val="682F256B"/>
    <w:multiLevelType w:val="multilevel"/>
    <w:tmpl w:val="A8647BD4"/>
    <w:lvl w:ilvl="0">
      <w:start w:val="1"/>
      <w:numFmt w:val="decimal"/>
      <w:lvlText w:val="%1."/>
      <w:lvlJc w:val="left"/>
      <w:pPr>
        <w:ind w:left="1080" w:hanging="360"/>
      </w:pPr>
      <w:rPr>
        <w:rFonts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44B35C5"/>
    <w:multiLevelType w:val="hybridMultilevel"/>
    <w:tmpl w:val="256E4662"/>
    <w:lvl w:ilvl="0" w:tplc="9B6CFEF6">
      <w:start w:val="1"/>
      <w:numFmt w:val="bullet"/>
      <w:lvlText w:val=""/>
      <w:lvlJc w:val="left"/>
      <w:pPr>
        <w:ind w:left="720" w:hanging="360"/>
      </w:pPr>
      <w:rPr>
        <w:rFonts w:ascii="Wingdings" w:hAnsi="Wingdings" w:hint="default"/>
      </w:rPr>
    </w:lvl>
    <w:lvl w:ilvl="1" w:tplc="C3AACB42" w:tentative="1">
      <w:start w:val="1"/>
      <w:numFmt w:val="bullet"/>
      <w:lvlText w:val="o"/>
      <w:lvlJc w:val="left"/>
      <w:pPr>
        <w:ind w:left="1440" w:hanging="360"/>
      </w:pPr>
      <w:rPr>
        <w:rFonts w:ascii="Courier New" w:hAnsi="Courier New" w:cs="Courier New" w:hint="default"/>
      </w:rPr>
    </w:lvl>
    <w:lvl w:ilvl="2" w:tplc="2F02C326" w:tentative="1">
      <w:start w:val="1"/>
      <w:numFmt w:val="bullet"/>
      <w:lvlText w:val=""/>
      <w:lvlJc w:val="left"/>
      <w:pPr>
        <w:ind w:left="2160" w:hanging="360"/>
      </w:pPr>
      <w:rPr>
        <w:rFonts w:ascii="Wingdings" w:hAnsi="Wingdings" w:hint="default"/>
      </w:rPr>
    </w:lvl>
    <w:lvl w:ilvl="3" w:tplc="0B4EF096" w:tentative="1">
      <w:start w:val="1"/>
      <w:numFmt w:val="bullet"/>
      <w:lvlText w:val=""/>
      <w:lvlJc w:val="left"/>
      <w:pPr>
        <w:ind w:left="2880" w:hanging="360"/>
      </w:pPr>
      <w:rPr>
        <w:rFonts w:ascii="Symbol" w:hAnsi="Symbol" w:hint="default"/>
      </w:rPr>
    </w:lvl>
    <w:lvl w:ilvl="4" w:tplc="3EDC0082" w:tentative="1">
      <w:start w:val="1"/>
      <w:numFmt w:val="bullet"/>
      <w:lvlText w:val="o"/>
      <w:lvlJc w:val="left"/>
      <w:pPr>
        <w:ind w:left="3600" w:hanging="360"/>
      </w:pPr>
      <w:rPr>
        <w:rFonts w:ascii="Courier New" w:hAnsi="Courier New" w:cs="Courier New" w:hint="default"/>
      </w:rPr>
    </w:lvl>
    <w:lvl w:ilvl="5" w:tplc="BD7A6846" w:tentative="1">
      <w:start w:val="1"/>
      <w:numFmt w:val="bullet"/>
      <w:lvlText w:val=""/>
      <w:lvlJc w:val="left"/>
      <w:pPr>
        <w:ind w:left="4320" w:hanging="360"/>
      </w:pPr>
      <w:rPr>
        <w:rFonts w:ascii="Wingdings" w:hAnsi="Wingdings" w:hint="default"/>
      </w:rPr>
    </w:lvl>
    <w:lvl w:ilvl="6" w:tplc="BD36664A" w:tentative="1">
      <w:start w:val="1"/>
      <w:numFmt w:val="bullet"/>
      <w:lvlText w:val=""/>
      <w:lvlJc w:val="left"/>
      <w:pPr>
        <w:ind w:left="5040" w:hanging="360"/>
      </w:pPr>
      <w:rPr>
        <w:rFonts w:ascii="Symbol" w:hAnsi="Symbol" w:hint="default"/>
      </w:rPr>
    </w:lvl>
    <w:lvl w:ilvl="7" w:tplc="AA68F848" w:tentative="1">
      <w:start w:val="1"/>
      <w:numFmt w:val="bullet"/>
      <w:lvlText w:val="o"/>
      <w:lvlJc w:val="left"/>
      <w:pPr>
        <w:ind w:left="5760" w:hanging="360"/>
      </w:pPr>
      <w:rPr>
        <w:rFonts w:ascii="Courier New" w:hAnsi="Courier New" w:cs="Courier New" w:hint="default"/>
      </w:rPr>
    </w:lvl>
    <w:lvl w:ilvl="8" w:tplc="A82AECBA" w:tentative="1">
      <w:start w:val="1"/>
      <w:numFmt w:val="bullet"/>
      <w:lvlText w:val=""/>
      <w:lvlJc w:val="left"/>
      <w:pPr>
        <w:ind w:left="6480" w:hanging="360"/>
      </w:pPr>
      <w:rPr>
        <w:rFonts w:ascii="Wingdings" w:hAnsi="Wingdings" w:hint="default"/>
      </w:rPr>
    </w:lvl>
  </w:abstractNum>
  <w:abstractNum w:abstractNumId="28" w15:restartNumberingAfterBreak="0">
    <w:nsid w:val="75A87526"/>
    <w:multiLevelType w:val="multilevel"/>
    <w:tmpl w:val="023A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776214"/>
    <w:multiLevelType w:val="multilevel"/>
    <w:tmpl w:val="5ECAF156"/>
    <w:lvl w:ilvl="0">
      <w:start w:val="1"/>
      <w:numFmt w:val="decimal"/>
      <w:lvlText w:val="%1."/>
      <w:lvlJc w:val="left"/>
      <w:pPr>
        <w:ind w:left="438" w:hanging="432"/>
      </w:pPr>
      <w:rPr>
        <w:rFonts w:hint="default"/>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num w:numId="1">
    <w:abstractNumId w:val="14"/>
  </w:num>
  <w:num w:numId="2">
    <w:abstractNumId w:val="19"/>
  </w:num>
  <w:num w:numId="3">
    <w:abstractNumId w:val="0"/>
  </w:num>
  <w:num w:numId="4">
    <w:abstractNumId w:val="3"/>
  </w:num>
  <w:num w:numId="5">
    <w:abstractNumId w:val="5"/>
  </w:num>
  <w:num w:numId="6">
    <w:abstractNumId w:val="19"/>
  </w:num>
  <w:num w:numId="7">
    <w:abstractNumId w:val="19"/>
  </w:num>
  <w:num w:numId="8">
    <w:abstractNumId w:val="28"/>
  </w:num>
  <w:num w:numId="9">
    <w:abstractNumId w:val="16"/>
  </w:num>
  <w:num w:numId="10">
    <w:abstractNumId w:val="13"/>
  </w:num>
  <w:num w:numId="11">
    <w:abstractNumId w:val="25"/>
  </w:num>
  <w:num w:numId="12">
    <w:abstractNumId w:val="26"/>
  </w:num>
  <w:num w:numId="13">
    <w:abstractNumId w:val="23"/>
  </w:num>
  <w:num w:numId="14">
    <w:abstractNumId w:val="18"/>
  </w:num>
  <w:num w:numId="15">
    <w:abstractNumId w:val="29"/>
  </w:num>
  <w:num w:numId="16">
    <w:abstractNumId w:val="15"/>
  </w:num>
  <w:num w:numId="17">
    <w:abstractNumId w:val="9"/>
  </w:num>
  <w:num w:numId="18">
    <w:abstractNumId w:val="22"/>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lvlOverride w:ilvl="0">
      <w:startOverride w:val="1"/>
    </w:lvlOverride>
  </w:num>
  <w:num w:numId="22">
    <w:abstractNumId w:val="19"/>
  </w:num>
  <w:num w:numId="23">
    <w:abstractNumId w:val="19"/>
  </w:num>
  <w:num w:numId="24">
    <w:abstractNumId w:val="11"/>
  </w:num>
  <w:num w:numId="25">
    <w:abstractNumId w:val="27"/>
  </w:num>
  <w:num w:numId="26">
    <w:abstractNumId w:val="19"/>
  </w:num>
  <w:num w:numId="27">
    <w:abstractNumId w:val="6"/>
  </w:num>
  <w:num w:numId="28">
    <w:abstractNumId w:val="2"/>
  </w:num>
  <w:num w:numId="29">
    <w:abstractNumId w:val="8"/>
  </w:num>
  <w:num w:numId="30">
    <w:abstractNumId w:val="1"/>
  </w:num>
  <w:num w:numId="31">
    <w:abstractNumId w:val="20"/>
  </w:num>
  <w:num w:numId="32">
    <w:abstractNumId w:val="12"/>
  </w:num>
  <w:num w:numId="33">
    <w:abstractNumId w:val="7"/>
  </w:num>
  <w:num w:numId="34">
    <w:abstractNumId w:val="21"/>
  </w:num>
  <w:num w:numId="35">
    <w:abstractNumId w:val="10"/>
  </w:num>
  <w:num w:numId="3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6AC"/>
    <w:rsid w:val="000021BC"/>
    <w:rsid w:val="000102B7"/>
    <w:rsid w:val="00010BBB"/>
    <w:rsid w:val="000156E0"/>
    <w:rsid w:val="00020AA1"/>
    <w:rsid w:val="00027702"/>
    <w:rsid w:val="00040227"/>
    <w:rsid w:val="00062051"/>
    <w:rsid w:val="00070279"/>
    <w:rsid w:val="00076BD8"/>
    <w:rsid w:val="00085D6A"/>
    <w:rsid w:val="00085D85"/>
    <w:rsid w:val="000B276A"/>
    <w:rsid w:val="000B308A"/>
    <w:rsid w:val="000B693C"/>
    <w:rsid w:val="000C2EE5"/>
    <w:rsid w:val="000C61A0"/>
    <w:rsid w:val="000C6E08"/>
    <w:rsid w:val="000D16AC"/>
    <w:rsid w:val="000D5B8F"/>
    <w:rsid w:val="000E3E1A"/>
    <w:rsid w:val="000F0254"/>
    <w:rsid w:val="001156AE"/>
    <w:rsid w:val="00123719"/>
    <w:rsid w:val="001241D7"/>
    <w:rsid w:val="0012479D"/>
    <w:rsid w:val="001370E4"/>
    <w:rsid w:val="00137E97"/>
    <w:rsid w:val="00144420"/>
    <w:rsid w:val="001448C4"/>
    <w:rsid w:val="00152A1B"/>
    <w:rsid w:val="00155BA3"/>
    <w:rsid w:val="00163192"/>
    <w:rsid w:val="00166397"/>
    <w:rsid w:val="00167158"/>
    <w:rsid w:val="001732BA"/>
    <w:rsid w:val="001877F5"/>
    <w:rsid w:val="00196052"/>
    <w:rsid w:val="00196F31"/>
    <w:rsid w:val="001A2189"/>
    <w:rsid w:val="001A58AE"/>
    <w:rsid w:val="001A63A0"/>
    <w:rsid w:val="001B3B24"/>
    <w:rsid w:val="001C21FC"/>
    <w:rsid w:val="001C2C69"/>
    <w:rsid w:val="001C6455"/>
    <w:rsid w:val="001D27FC"/>
    <w:rsid w:val="001D75DB"/>
    <w:rsid w:val="00203217"/>
    <w:rsid w:val="00223053"/>
    <w:rsid w:val="0023083F"/>
    <w:rsid w:val="00242324"/>
    <w:rsid w:val="00253F18"/>
    <w:rsid w:val="002579C2"/>
    <w:rsid w:val="002652F9"/>
    <w:rsid w:val="002A1180"/>
    <w:rsid w:val="002A19EF"/>
    <w:rsid w:val="002B282C"/>
    <w:rsid w:val="002B7A48"/>
    <w:rsid w:val="002C7DE3"/>
    <w:rsid w:val="002D441C"/>
    <w:rsid w:val="002D7D0C"/>
    <w:rsid w:val="002E0859"/>
    <w:rsid w:val="002E6768"/>
    <w:rsid w:val="00305778"/>
    <w:rsid w:val="00307660"/>
    <w:rsid w:val="0031156B"/>
    <w:rsid w:val="003178E9"/>
    <w:rsid w:val="00317E5D"/>
    <w:rsid w:val="00327B2F"/>
    <w:rsid w:val="003404ED"/>
    <w:rsid w:val="0034156B"/>
    <w:rsid w:val="00347E19"/>
    <w:rsid w:val="003561BE"/>
    <w:rsid w:val="0037184C"/>
    <w:rsid w:val="0037249C"/>
    <w:rsid w:val="0038059E"/>
    <w:rsid w:val="003805F5"/>
    <w:rsid w:val="003A7860"/>
    <w:rsid w:val="003D3711"/>
    <w:rsid w:val="003F7186"/>
    <w:rsid w:val="00413F17"/>
    <w:rsid w:val="00424DE6"/>
    <w:rsid w:val="0043609D"/>
    <w:rsid w:val="00441140"/>
    <w:rsid w:val="00451B96"/>
    <w:rsid w:val="004529B8"/>
    <w:rsid w:val="00467E3F"/>
    <w:rsid w:val="00475D6F"/>
    <w:rsid w:val="004827E4"/>
    <w:rsid w:val="0048449B"/>
    <w:rsid w:val="00497E20"/>
    <w:rsid w:val="004A135F"/>
    <w:rsid w:val="004A5784"/>
    <w:rsid w:val="004B4ECA"/>
    <w:rsid w:val="004C1625"/>
    <w:rsid w:val="004E0B15"/>
    <w:rsid w:val="004F7D6C"/>
    <w:rsid w:val="0050245B"/>
    <w:rsid w:val="005124E1"/>
    <w:rsid w:val="00515584"/>
    <w:rsid w:val="00525395"/>
    <w:rsid w:val="005407B6"/>
    <w:rsid w:val="00547068"/>
    <w:rsid w:val="00557ECF"/>
    <w:rsid w:val="00587137"/>
    <w:rsid w:val="00587E23"/>
    <w:rsid w:val="005B2FDF"/>
    <w:rsid w:val="005B34F3"/>
    <w:rsid w:val="005B57CA"/>
    <w:rsid w:val="005B5B97"/>
    <w:rsid w:val="005C7A36"/>
    <w:rsid w:val="005C7D76"/>
    <w:rsid w:val="005D0ADD"/>
    <w:rsid w:val="005E1C99"/>
    <w:rsid w:val="005E544C"/>
    <w:rsid w:val="005E6889"/>
    <w:rsid w:val="005F33BC"/>
    <w:rsid w:val="005F4D23"/>
    <w:rsid w:val="006110DA"/>
    <w:rsid w:val="0061723A"/>
    <w:rsid w:val="00620EF2"/>
    <w:rsid w:val="0062489B"/>
    <w:rsid w:val="0062678D"/>
    <w:rsid w:val="006308BD"/>
    <w:rsid w:val="00633EA5"/>
    <w:rsid w:val="00637672"/>
    <w:rsid w:val="00676F33"/>
    <w:rsid w:val="006805F7"/>
    <w:rsid w:val="0068128E"/>
    <w:rsid w:val="006842FA"/>
    <w:rsid w:val="006853B6"/>
    <w:rsid w:val="0068682C"/>
    <w:rsid w:val="00690A0C"/>
    <w:rsid w:val="00690FD2"/>
    <w:rsid w:val="00693199"/>
    <w:rsid w:val="00696079"/>
    <w:rsid w:val="006A3D1E"/>
    <w:rsid w:val="006A761F"/>
    <w:rsid w:val="006B2FDD"/>
    <w:rsid w:val="006B4B95"/>
    <w:rsid w:val="006B59E2"/>
    <w:rsid w:val="006B7CBC"/>
    <w:rsid w:val="006C18D9"/>
    <w:rsid w:val="006C1BDA"/>
    <w:rsid w:val="006C6449"/>
    <w:rsid w:val="006D3998"/>
    <w:rsid w:val="006E1454"/>
    <w:rsid w:val="006E3870"/>
    <w:rsid w:val="006E692F"/>
    <w:rsid w:val="006E7073"/>
    <w:rsid w:val="006F0C64"/>
    <w:rsid w:val="006F1F38"/>
    <w:rsid w:val="007029B7"/>
    <w:rsid w:val="00735830"/>
    <w:rsid w:val="00737A18"/>
    <w:rsid w:val="00746B89"/>
    <w:rsid w:val="007471D6"/>
    <w:rsid w:val="00762C36"/>
    <w:rsid w:val="00782D9B"/>
    <w:rsid w:val="00785386"/>
    <w:rsid w:val="0079212B"/>
    <w:rsid w:val="007C1458"/>
    <w:rsid w:val="007D1933"/>
    <w:rsid w:val="007E4F92"/>
    <w:rsid w:val="008048D2"/>
    <w:rsid w:val="00804B20"/>
    <w:rsid w:val="00806C60"/>
    <w:rsid w:val="00814CF8"/>
    <w:rsid w:val="008302D7"/>
    <w:rsid w:val="00853565"/>
    <w:rsid w:val="00870CE7"/>
    <w:rsid w:val="008754BE"/>
    <w:rsid w:val="00880C19"/>
    <w:rsid w:val="008849F0"/>
    <w:rsid w:val="0089077E"/>
    <w:rsid w:val="00891331"/>
    <w:rsid w:val="00893AD3"/>
    <w:rsid w:val="0089563B"/>
    <w:rsid w:val="00897659"/>
    <w:rsid w:val="008A6E5C"/>
    <w:rsid w:val="008B2DC6"/>
    <w:rsid w:val="008B384B"/>
    <w:rsid w:val="008B4705"/>
    <w:rsid w:val="008D0D1F"/>
    <w:rsid w:val="008D2398"/>
    <w:rsid w:val="008E3DD1"/>
    <w:rsid w:val="008F0FBC"/>
    <w:rsid w:val="008F6942"/>
    <w:rsid w:val="009026D3"/>
    <w:rsid w:val="00927117"/>
    <w:rsid w:val="00937EF7"/>
    <w:rsid w:val="00952863"/>
    <w:rsid w:val="00961211"/>
    <w:rsid w:val="00966A0F"/>
    <w:rsid w:val="00980050"/>
    <w:rsid w:val="00980B08"/>
    <w:rsid w:val="00980BE0"/>
    <w:rsid w:val="00987BBD"/>
    <w:rsid w:val="009916DC"/>
    <w:rsid w:val="00993CA4"/>
    <w:rsid w:val="009A62A9"/>
    <w:rsid w:val="009B63AB"/>
    <w:rsid w:val="009C0A89"/>
    <w:rsid w:val="009C13EF"/>
    <w:rsid w:val="009C15B1"/>
    <w:rsid w:val="009E6A03"/>
    <w:rsid w:val="009E78BB"/>
    <w:rsid w:val="009F2FC0"/>
    <w:rsid w:val="009F394A"/>
    <w:rsid w:val="009F7769"/>
    <w:rsid w:val="00A11697"/>
    <w:rsid w:val="00A14093"/>
    <w:rsid w:val="00A203FC"/>
    <w:rsid w:val="00A25BC8"/>
    <w:rsid w:val="00A3408F"/>
    <w:rsid w:val="00A43E9C"/>
    <w:rsid w:val="00A53513"/>
    <w:rsid w:val="00A67718"/>
    <w:rsid w:val="00A92572"/>
    <w:rsid w:val="00A92893"/>
    <w:rsid w:val="00A931AA"/>
    <w:rsid w:val="00AA2B13"/>
    <w:rsid w:val="00AC6BA4"/>
    <w:rsid w:val="00AD0FC5"/>
    <w:rsid w:val="00AD3D55"/>
    <w:rsid w:val="00AD494A"/>
    <w:rsid w:val="00B00D69"/>
    <w:rsid w:val="00B042BC"/>
    <w:rsid w:val="00B06427"/>
    <w:rsid w:val="00B41E84"/>
    <w:rsid w:val="00B55C66"/>
    <w:rsid w:val="00B722DE"/>
    <w:rsid w:val="00B818D2"/>
    <w:rsid w:val="00B83068"/>
    <w:rsid w:val="00B838FB"/>
    <w:rsid w:val="00BA76D9"/>
    <w:rsid w:val="00BA799E"/>
    <w:rsid w:val="00BB5D00"/>
    <w:rsid w:val="00BD6603"/>
    <w:rsid w:val="00BE35BA"/>
    <w:rsid w:val="00BE4427"/>
    <w:rsid w:val="00BF069C"/>
    <w:rsid w:val="00BF1838"/>
    <w:rsid w:val="00BF254D"/>
    <w:rsid w:val="00BF378D"/>
    <w:rsid w:val="00BF3835"/>
    <w:rsid w:val="00BF45BD"/>
    <w:rsid w:val="00BF6786"/>
    <w:rsid w:val="00BF67E7"/>
    <w:rsid w:val="00C008B0"/>
    <w:rsid w:val="00C05769"/>
    <w:rsid w:val="00C1002D"/>
    <w:rsid w:val="00C11C55"/>
    <w:rsid w:val="00C14DD3"/>
    <w:rsid w:val="00C16294"/>
    <w:rsid w:val="00C2635E"/>
    <w:rsid w:val="00C31853"/>
    <w:rsid w:val="00C42FFB"/>
    <w:rsid w:val="00C6486C"/>
    <w:rsid w:val="00C648D3"/>
    <w:rsid w:val="00C674AF"/>
    <w:rsid w:val="00C75B02"/>
    <w:rsid w:val="00C77DDE"/>
    <w:rsid w:val="00C86109"/>
    <w:rsid w:val="00C87727"/>
    <w:rsid w:val="00C962F0"/>
    <w:rsid w:val="00CC7192"/>
    <w:rsid w:val="00CD6EF7"/>
    <w:rsid w:val="00D013ED"/>
    <w:rsid w:val="00D06F71"/>
    <w:rsid w:val="00D166EE"/>
    <w:rsid w:val="00D2392E"/>
    <w:rsid w:val="00D265AD"/>
    <w:rsid w:val="00D27F78"/>
    <w:rsid w:val="00D36BDC"/>
    <w:rsid w:val="00D448A1"/>
    <w:rsid w:val="00D5049E"/>
    <w:rsid w:val="00D55FEC"/>
    <w:rsid w:val="00D76955"/>
    <w:rsid w:val="00D859D0"/>
    <w:rsid w:val="00D91C09"/>
    <w:rsid w:val="00D92DD1"/>
    <w:rsid w:val="00D95CAD"/>
    <w:rsid w:val="00D96F5C"/>
    <w:rsid w:val="00DB1DFA"/>
    <w:rsid w:val="00DE35FF"/>
    <w:rsid w:val="00DE6237"/>
    <w:rsid w:val="00DF2FB9"/>
    <w:rsid w:val="00E454CD"/>
    <w:rsid w:val="00E55234"/>
    <w:rsid w:val="00E608A6"/>
    <w:rsid w:val="00E60CBC"/>
    <w:rsid w:val="00E63DEF"/>
    <w:rsid w:val="00E64936"/>
    <w:rsid w:val="00E75CF6"/>
    <w:rsid w:val="00E86189"/>
    <w:rsid w:val="00E8703C"/>
    <w:rsid w:val="00EA168C"/>
    <w:rsid w:val="00EA4DF1"/>
    <w:rsid w:val="00EA6689"/>
    <w:rsid w:val="00EA6DDF"/>
    <w:rsid w:val="00EC53C8"/>
    <w:rsid w:val="00EC753F"/>
    <w:rsid w:val="00EE0542"/>
    <w:rsid w:val="00EE11A0"/>
    <w:rsid w:val="00EF3957"/>
    <w:rsid w:val="00F02A0F"/>
    <w:rsid w:val="00F10F21"/>
    <w:rsid w:val="00F13BAA"/>
    <w:rsid w:val="00F26226"/>
    <w:rsid w:val="00F269BB"/>
    <w:rsid w:val="00F271BF"/>
    <w:rsid w:val="00F41387"/>
    <w:rsid w:val="00F463F2"/>
    <w:rsid w:val="00F47A40"/>
    <w:rsid w:val="00F50B8E"/>
    <w:rsid w:val="00F5447C"/>
    <w:rsid w:val="00F5598E"/>
    <w:rsid w:val="00F60A12"/>
    <w:rsid w:val="00F66E0A"/>
    <w:rsid w:val="00F7009F"/>
    <w:rsid w:val="00F70FD9"/>
    <w:rsid w:val="00F74494"/>
    <w:rsid w:val="00F8186D"/>
    <w:rsid w:val="00F8204B"/>
    <w:rsid w:val="00F82282"/>
    <w:rsid w:val="00FB3901"/>
    <w:rsid w:val="00FC0813"/>
    <w:rsid w:val="00FC312D"/>
    <w:rsid w:val="00FC3532"/>
    <w:rsid w:val="00FC54E1"/>
    <w:rsid w:val="00FE255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BDBAA1"/>
  <w15:docId w15:val="{A465CC3F-A5D9-4589-9960-2E4B7FC8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aliases w:val=" BVI fnr,(NECG) Footnote Reference,16 Point,BVI fnr,FO,Footnote,Footnote Reference Number,Footnote Reference1,Footnote Refernece,Footnotes refss,Ref,Superscript 6 Point,de nota al pie,footnote ref,ftref,nota pié di pagina,note bp"/>
    <w:link w:val="CarattereCharCarattereCarattereCharCarattereCharCarattereCharCharCharCharChar"/>
    <w:qFormat/>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37249C"/>
    <w:pPr>
      <w:tabs>
        <w:tab w:val="clear" w:pos="567"/>
        <w:tab w:val="left" w:pos="709"/>
      </w:tabs>
    </w:pPr>
    <w:rPr>
      <w:rFonts w:eastAsia="Arial Unicode MS" w:cs="Arial"/>
      <w:szCs w:val="22"/>
      <w:u w:val="single"/>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37249C"/>
    <w:rPr>
      <w:rFonts w:ascii="Arial" w:eastAsia="Arial Unicode MS" w:hAnsi="Arial" w:cs="Arial"/>
      <w:snapToGrid w:val="0"/>
      <w:sz w:val="22"/>
      <w:szCs w:val="22"/>
      <w:u w:val="single"/>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paragraph" w:styleId="NormalWeb">
    <w:name w:val="Normal (Web)"/>
    <w:basedOn w:val="Normal"/>
    <w:uiPriority w:val="99"/>
    <w:unhideWhenUsed/>
    <w:rsid w:val="00806C60"/>
    <w:pPr>
      <w:tabs>
        <w:tab w:val="clear" w:pos="567"/>
      </w:tabs>
      <w:snapToGrid/>
      <w:spacing w:before="100" w:beforeAutospacing="1" w:after="100" w:afterAutospacing="1"/>
    </w:pPr>
    <w:rPr>
      <w:rFonts w:ascii="Times New Roman" w:hAnsi="Times New Roman"/>
      <w:snapToGrid/>
      <w:sz w:val="24"/>
      <w:lang w:val="fr-FR" w:eastAsia="fr-FR"/>
    </w:rPr>
  </w:style>
  <w:style w:type="character" w:styleId="Emphasis">
    <w:name w:val="Emphasis"/>
    <w:basedOn w:val="DefaultParagraphFont"/>
    <w:uiPriority w:val="20"/>
    <w:qFormat/>
    <w:rsid w:val="00D95CAD"/>
    <w:rPr>
      <w:i/>
      <w:iCs/>
    </w:rPr>
  </w:style>
  <w:style w:type="character" w:customStyle="1" w:styleId="FootnoteTextChar">
    <w:name w:val="Footnote Text Char"/>
    <w:basedOn w:val="DefaultParagraphFont"/>
    <w:link w:val="FootnoteText"/>
    <w:uiPriority w:val="99"/>
    <w:rsid w:val="009F2FC0"/>
    <w:rPr>
      <w:rFonts w:ascii="Arial" w:hAnsi="Arial"/>
      <w:snapToGrid w:val="0"/>
      <w:lang w:val="en-GB" w:eastAsia="en-US"/>
    </w:rPr>
  </w:style>
  <w:style w:type="paragraph" w:styleId="CommentText">
    <w:name w:val="annotation text"/>
    <w:basedOn w:val="Normal"/>
    <w:link w:val="CommentTextChar"/>
    <w:rsid w:val="009F2FC0"/>
    <w:rPr>
      <w:sz w:val="20"/>
      <w:szCs w:val="20"/>
    </w:rPr>
  </w:style>
  <w:style w:type="character" w:customStyle="1" w:styleId="CommentTextChar">
    <w:name w:val="Comment Text Char"/>
    <w:basedOn w:val="DefaultParagraphFont"/>
    <w:link w:val="CommentText"/>
    <w:rsid w:val="009F2FC0"/>
    <w:rPr>
      <w:rFonts w:ascii="Arial" w:hAnsi="Arial"/>
      <w:snapToGrid w:val="0"/>
      <w:lang w:val="en-GB" w:eastAsia="en-US"/>
    </w:rPr>
  </w:style>
  <w:style w:type="paragraph" w:styleId="CommentSubject">
    <w:name w:val="annotation subject"/>
    <w:basedOn w:val="CommentText"/>
    <w:next w:val="CommentText"/>
    <w:link w:val="CommentSubjectChar"/>
    <w:uiPriority w:val="99"/>
    <w:unhideWhenUsed/>
    <w:rsid w:val="009F2FC0"/>
    <w:pPr>
      <w:tabs>
        <w:tab w:val="clear" w:pos="567"/>
        <w:tab w:val="left" w:pos="709"/>
      </w:tabs>
    </w:pPr>
    <w:rPr>
      <w:rFonts w:ascii="Times New Roman" w:eastAsia="SimSun" w:hAnsi="Times New Roman"/>
      <w:b/>
      <w:bCs/>
      <w:lang w:val="fr-FR" w:eastAsia="zh-CN"/>
    </w:rPr>
  </w:style>
  <w:style w:type="character" w:customStyle="1" w:styleId="CommentSubjectChar">
    <w:name w:val="Comment Subject Char"/>
    <w:basedOn w:val="CommentTextChar"/>
    <w:link w:val="CommentSubject"/>
    <w:uiPriority w:val="99"/>
    <w:rsid w:val="009F2FC0"/>
    <w:rPr>
      <w:rFonts w:ascii="Arial" w:eastAsia="SimSun" w:hAnsi="Arial"/>
      <w:b/>
      <w:bCs/>
      <w:snapToGrid w:val="0"/>
      <w:lang w:val="en-GB" w:eastAsia="zh-CN"/>
    </w:rPr>
  </w:style>
  <w:style w:type="paragraph" w:styleId="BalloonText">
    <w:name w:val="Balloon Text"/>
    <w:basedOn w:val="Normal"/>
    <w:link w:val="BalloonTextChar"/>
    <w:rsid w:val="00E75CF6"/>
    <w:rPr>
      <w:rFonts w:ascii="Tahoma" w:hAnsi="Tahoma" w:cs="Tahoma"/>
      <w:sz w:val="16"/>
      <w:szCs w:val="16"/>
    </w:rPr>
  </w:style>
  <w:style w:type="character" w:customStyle="1" w:styleId="BalloonTextChar">
    <w:name w:val="Balloon Text Char"/>
    <w:basedOn w:val="DefaultParagraphFont"/>
    <w:link w:val="BalloonText"/>
    <w:rsid w:val="00E75CF6"/>
    <w:rPr>
      <w:rFonts w:ascii="Tahoma" w:hAnsi="Tahoma" w:cs="Tahoma"/>
      <w:snapToGrid w:val="0"/>
      <w:sz w:val="16"/>
      <w:szCs w:val="16"/>
      <w:lang w:val="en-GB" w:eastAsia="en-US"/>
    </w:rPr>
  </w:style>
  <w:style w:type="paragraph" w:styleId="ListParagraph">
    <w:name w:val="List Paragraph"/>
    <w:basedOn w:val="Normal"/>
    <w:uiPriority w:val="34"/>
    <w:qFormat/>
    <w:rsid w:val="00BE35BA"/>
    <w:pPr>
      <w:tabs>
        <w:tab w:val="clear" w:pos="567"/>
        <w:tab w:val="left" w:pos="709"/>
      </w:tabs>
      <w:snapToGrid/>
      <w:ind w:left="720"/>
      <w:contextualSpacing/>
      <w:jc w:val="both"/>
    </w:pPr>
    <w:rPr>
      <w:rFonts w:ascii="Times New Roman" w:hAnsi="Times New Roman"/>
      <w:snapToGrid/>
      <w:sz w:val="24"/>
      <w:szCs w:val="20"/>
    </w:rPr>
  </w:style>
  <w:style w:type="character" w:styleId="FollowedHyperlink">
    <w:name w:val="FollowedHyperlink"/>
    <w:basedOn w:val="DefaultParagraphFont"/>
    <w:semiHidden/>
    <w:unhideWhenUsed/>
    <w:rsid w:val="0089563B"/>
    <w:rPr>
      <w:color w:val="800080" w:themeColor="followedHyperlink"/>
      <w:u w:val="single"/>
    </w:rPr>
  </w:style>
  <w:style w:type="character" w:styleId="CommentReference">
    <w:name w:val="annotation reference"/>
    <w:basedOn w:val="DefaultParagraphFont"/>
    <w:semiHidden/>
    <w:unhideWhenUsed/>
    <w:rsid w:val="006E1454"/>
    <w:rPr>
      <w:sz w:val="16"/>
      <w:szCs w:val="16"/>
    </w:rPr>
  </w:style>
  <w:style w:type="paragraph" w:styleId="Revision">
    <w:name w:val="Revision"/>
    <w:hidden/>
    <w:uiPriority w:val="99"/>
    <w:semiHidden/>
    <w:rsid w:val="006E1454"/>
    <w:rPr>
      <w:rFonts w:ascii="Arial" w:hAnsi="Arial"/>
      <w:snapToGrid w:val="0"/>
      <w:sz w:val="22"/>
      <w:szCs w:val="24"/>
      <w:lang w:val="en-GB" w:eastAsia="en-U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C008B0"/>
    <w:pPr>
      <w:tabs>
        <w:tab w:val="clear" w:pos="567"/>
      </w:tabs>
      <w:snapToGrid/>
      <w:spacing w:before="120" w:after="160" w:line="240" w:lineRule="exact"/>
    </w:pPr>
    <w:rPr>
      <w:rFonts w:ascii="Times New Roman" w:hAnsi="Times New Roman"/>
      <w:snapToGrid/>
      <w:sz w:val="20"/>
      <w:szCs w:val="20"/>
      <w:vertAlign w:val="superscript"/>
      <w:lang w:val="fr-FR" w:eastAsia="fr-FR"/>
    </w:rPr>
  </w:style>
  <w:style w:type="character" w:customStyle="1" w:styleId="UnresolvedMention1">
    <w:name w:val="Unresolved Mention1"/>
    <w:basedOn w:val="DefaultParagraphFont"/>
    <w:uiPriority w:val="99"/>
    <w:semiHidden/>
    <w:unhideWhenUsed/>
    <w:rsid w:val="00242324"/>
    <w:rPr>
      <w:color w:val="605E5C"/>
      <w:shd w:val="clear" w:color="auto" w:fill="E1DFDD"/>
    </w:rPr>
  </w:style>
  <w:style w:type="paragraph" w:customStyle="1" w:styleId="ParaCOI">
    <w:name w:val="Para COI"/>
    <w:basedOn w:val="Normal"/>
    <w:link w:val="ParaCOICar"/>
    <w:qFormat/>
    <w:rsid w:val="007D1933"/>
    <w:pPr>
      <w:tabs>
        <w:tab w:val="clear" w:pos="567"/>
        <w:tab w:val="left" w:pos="709"/>
      </w:tabs>
      <w:spacing w:after="240"/>
      <w:jc w:val="both"/>
    </w:pPr>
    <w:rPr>
      <w:szCs w:val="22"/>
      <w:lang w:eastAsia="zh-CN"/>
    </w:rPr>
  </w:style>
  <w:style w:type="character" w:customStyle="1" w:styleId="ParaCOICar">
    <w:name w:val="Para COI Car"/>
    <w:link w:val="ParaCOI"/>
    <w:rsid w:val="007D1933"/>
    <w:rPr>
      <w:rFonts w:ascii="Arial" w:hAnsi="Arial"/>
      <w:snapToGrid w:val="0"/>
      <w:sz w:val="22"/>
      <w:szCs w:val="22"/>
      <w:lang w:val="en-GB" w:eastAsia="zh-CN"/>
    </w:rPr>
  </w:style>
  <w:style w:type="character" w:customStyle="1" w:styleId="UnresolvedMention2">
    <w:name w:val="Unresolved Mention2"/>
    <w:basedOn w:val="DefaultParagraphFont"/>
    <w:uiPriority w:val="99"/>
    <w:semiHidden/>
    <w:unhideWhenUsed/>
    <w:rsid w:val="00E8703C"/>
    <w:rPr>
      <w:color w:val="605E5C"/>
      <w:shd w:val="clear" w:color="auto" w:fill="E1DFDD"/>
    </w:rPr>
  </w:style>
  <w:style w:type="paragraph" w:customStyle="1" w:styleId="Default">
    <w:name w:val="Default"/>
    <w:rsid w:val="009F394A"/>
    <w:pPr>
      <w:autoSpaceDE w:val="0"/>
      <w:autoSpaceDN w:val="0"/>
      <w:adjustRightInd w:val="0"/>
    </w:pPr>
    <w:rPr>
      <w:rFonts w:ascii="Arial" w:eastAsiaTheme="minorHAnsi" w:hAnsi="Arial" w:cs="Arial"/>
      <w:color w:val="000000"/>
      <w:sz w:val="24"/>
      <w:szCs w:val="24"/>
      <w:lang w:eastAsia="en-US"/>
    </w:rPr>
  </w:style>
  <w:style w:type="table" w:styleId="TableGrid">
    <w:name w:val="Table Grid"/>
    <w:basedOn w:val="TableNormal"/>
    <w:uiPriority w:val="39"/>
    <w:rsid w:val="009F394A"/>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075" TargetMode="External"/><Relationship Id="rId13" Type="http://schemas.openxmlformats.org/officeDocument/2006/relationships/header" Target="header3.xml"/><Relationship Id="rId18" Type="http://schemas.openxmlformats.org/officeDocument/2006/relationships/hyperlink" Target="https://oceanexpert.org/document/28336" TargetMode="External"/><Relationship Id="rId26" Type="http://schemas.openxmlformats.org/officeDocument/2006/relationships/hyperlink" Target="https://unesdoc.unesco.org/ark:/48223/pf0000125186.page=25" TargetMode="External"/><Relationship Id="rId3" Type="http://schemas.openxmlformats.org/officeDocument/2006/relationships/styles" Target="styles.xml"/><Relationship Id="rId21" Type="http://schemas.openxmlformats.org/officeDocument/2006/relationships/hyperlink" Target="https://oceanexpert.org/document/28092"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oceanexpert.org/document/28396" TargetMode="External"/><Relationship Id="rId25" Type="http://schemas.openxmlformats.org/officeDocument/2006/relationships/hyperlink" Target="https://oceanexpert.org/document/1731"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oceanexpert.org/document/27957" TargetMode="External"/><Relationship Id="rId20" Type="http://schemas.openxmlformats.org/officeDocument/2006/relationships/hyperlink" Target="https://unesdoc.unesco.org/ark:/48223/pf0000375848.locale=en" TargetMode="External"/><Relationship Id="rId29" Type="http://schemas.openxmlformats.org/officeDocument/2006/relationships/hyperlink" Target="https://unesdoc.unesco.org/ark:/48223/pf0000125186.page=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oceanexpert.org/document/27644"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unesdoc.unesco.org/ark:/48223/pf0000375848.locale=en" TargetMode="External"/><Relationship Id="rId23" Type="http://schemas.openxmlformats.org/officeDocument/2006/relationships/hyperlink" Target="https://unesdoc.unesco.org/ark:/48223/pf0000373889.locale=fr" TargetMode="External"/><Relationship Id="rId28" Type="http://schemas.openxmlformats.org/officeDocument/2006/relationships/hyperlink" Target="https://unesdoc.unesco.org/ark:/48223/pf0000125186.page=12"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oceanexpert.org/document/28297" TargetMode="External"/><Relationship Id="rId31" Type="http://schemas.openxmlformats.org/officeDocument/2006/relationships/hyperlink" Target="https://unesdoc.unesco.org/ark:/48223/pf0000125186.page=1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unesdoc.unesco.org/ark:/48223/pf0000125186.locale=en" TargetMode="External"/><Relationship Id="rId27" Type="http://schemas.openxmlformats.org/officeDocument/2006/relationships/hyperlink" Target="https://unesdoc.unesco.org/ark:/48223/pf0000125186.page=60" TargetMode="External"/><Relationship Id="rId30" Type="http://schemas.openxmlformats.org/officeDocument/2006/relationships/hyperlink" Target="https://unesdoc.unesco.org/ark:/48223/pf0000125186.page=11" TargetMode="Externa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_boned\AppData\Local\Microsoft\Windows\Temporary%20Internet%20Files\Content.Outlook\U6GEGBZT\Template%20WD-IOC2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3C578-F87A-4D9C-BFFD-AA59A547E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WD-IOC27.dotx</Template>
  <TotalTime>1</TotalTime>
  <Pages>9</Pages>
  <Words>2249</Words>
  <Characters>16755</Characters>
  <Application>Microsoft Office Word</Application>
  <DocSecurity>4</DocSecurity>
  <Lines>139</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Pastor Reyes, Ingrid</cp:lastModifiedBy>
  <cp:revision>2</cp:revision>
  <cp:lastPrinted>2015-07-20T09:35:00Z</cp:lastPrinted>
  <dcterms:created xsi:type="dcterms:W3CDTF">2021-06-20T08:23:00Z</dcterms:created>
  <dcterms:modified xsi:type="dcterms:W3CDTF">2021-06-20T08:23:00Z</dcterms:modified>
</cp:coreProperties>
</file>