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694D8" w14:textId="77777777" w:rsidR="00E75CF6" w:rsidRPr="006D3998" w:rsidRDefault="00E75CF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4"/>
      </w:tblGrid>
      <w:tr w:rsidR="00B83068" w:rsidRPr="006E1454" w14:paraId="6E70F37C" w14:textId="77777777">
        <w:trPr>
          <w:jc w:val="center"/>
        </w:trPr>
        <w:tc>
          <w:tcPr>
            <w:tcW w:w="7654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3D9152E" w14:textId="77777777" w:rsidR="00467E3F" w:rsidRPr="006E1454" w:rsidRDefault="00B83068" w:rsidP="00853565">
            <w:pPr>
              <w:pStyle w:val="Marge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u w:val="single"/>
                <w:lang w:val="ru"/>
              </w:rPr>
              <w:t>Резюме</w:t>
            </w:r>
          </w:p>
          <w:p w14:paraId="1502659F" w14:textId="67ED5818" w:rsidR="00737A18" w:rsidRPr="001370E4" w:rsidRDefault="000D16AC" w:rsidP="0037249C">
            <w:pPr>
              <w:pStyle w:val="Marge"/>
              <w:rPr>
                <w:rFonts w:cs="Arial"/>
                <w:szCs w:val="22"/>
              </w:rPr>
            </w:pPr>
            <w:r>
              <w:rPr>
                <w:lang w:val="ru"/>
              </w:rPr>
              <w:t>В соответствии со статьей 3.2 Устава Межправительственной океанографической комиссии (</w:t>
            </w:r>
            <w:hyperlink r:id="rId8" w:history="1">
              <w:r>
                <w:rPr>
                  <w:rStyle w:val="Hyperlink"/>
                  <w:rFonts w:cs="Arial"/>
                  <w:lang w:val="ru"/>
                </w:rPr>
                <w:t>IOC/INF/1148</w:t>
              </w:r>
            </w:hyperlink>
            <w:r>
              <w:rPr>
                <w:lang w:val="ru"/>
              </w:rPr>
              <w:t>) и статьей 49.2 Правил процедуры (</w:t>
            </w:r>
            <w:hyperlink r:id="rId9" w:history="1">
              <w:r>
                <w:rPr>
                  <w:rStyle w:val="Hyperlink"/>
                  <w:rFonts w:cs="Arial"/>
                  <w:lang w:val="ru"/>
                </w:rPr>
                <w:t>IOC/INF/1166</w:t>
              </w:r>
            </w:hyperlink>
            <w:r>
              <w:rPr>
                <w:lang w:val="ru"/>
              </w:rPr>
              <w:t xml:space="preserve">), МОК готовит регулярные доклады о своей деятельности и представляет их Генеральной конференции ЮНЕСКО. Настоящий доклад охватывает период 2020–2021 гг. и посвящен основным достижениям в осуществлении </w:t>
            </w:r>
            <w:r>
              <w:rPr>
                <w:szCs w:val="22"/>
                <w:lang w:val="ru"/>
              </w:rPr>
              <w:t>второго двухлетнего периода Программы и бюджета МОК на 2018–2021 гг., способствующим реализации Среднесрочной стратегии МОК на 2014–2021 гг. и Среднесрочной стратегии ЮНЕСКО на 2014–2021 гг. (документ 37 C/4) в отношении стратегической цели 5 «Содействие международному научному сотрудничеству по важнейшим проблемам устойчивого развития»</w:t>
            </w:r>
            <w:r>
              <w:rPr>
                <w:lang w:val="ru"/>
              </w:rPr>
              <w:t>.</w:t>
            </w:r>
            <w:r>
              <w:rPr>
                <w:szCs w:val="22"/>
                <w:lang w:val="ru"/>
              </w:rPr>
              <w:t xml:space="preserve"> </w:t>
            </w:r>
          </w:p>
          <w:p w14:paraId="5B3F6C6A" w14:textId="1B87EDE8" w:rsidR="00515584" w:rsidRPr="00EC753F" w:rsidRDefault="00515584" w:rsidP="001370E4">
            <w:pPr>
              <w:pStyle w:val="Marge"/>
              <w:rPr>
                <w:rFonts w:cs="Arial"/>
                <w:szCs w:val="22"/>
              </w:rPr>
            </w:pPr>
            <w:r>
              <w:rPr>
                <w:rFonts w:cs="Arial"/>
                <w:lang w:val="ru"/>
              </w:rPr>
              <w:t xml:space="preserve">После рассмотрения Ассамблеей доклад будет представлен 41-й сессии Генеральной конференции ЮНЕСКО в качестве документа 41 C/REP.9 с оговоркой, что с более подробной информацией, включая анализ по функциональным областям МОК, </w:t>
            </w:r>
            <w:r>
              <w:rPr>
                <w:rFonts w:cs="Arial"/>
                <w:szCs w:val="22"/>
                <w:lang w:val="ru"/>
              </w:rPr>
              <w:t>можно ознакомиться в докладе Исполнительного секретаря МОК 31-й сессии Ассамблеи МОК (</w:t>
            </w:r>
            <w:hyperlink r:id="rId10" w:history="1">
              <w:r>
                <w:rPr>
                  <w:rStyle w:val="Hyperlink"/>
                  <w:lang w:val="ru"/>
                </w:rPr>
                <w:t>IOC/A-31/3.2.Doc(1)</w:t>
              </w:r>
            </w:hyperlink>
            <w:r>
              <w:rPr>
                <w:rFonts w:cs="Arial"/>
                <w:color w:val="000000"/>
                <w:szCs w:val="22"/>
                <w:lang w:val="ru"/>
              </w:rPr>
              <w:t xml:space="preserve"> и </w:t>
            </w:r>
            <w:hyperlink r:id="rId11" w:history="1">
              <w:r>
                <w:rPr>
                  <w:rStyle w:val="Hyperlink"/>
                  <w:lang w:val="ru"/>
                </w:rPr>
                <w:t>Добавление</w:t>
              </w:r>
            </w:hyperlink>
            <w:r>
              <w:rPr>
                <w:rFonts w:cs="Arial"/>
                <w:color w:val="000000"/>
                <w:szCs w:val="22"/>
                <w:lang w:val="ru"/>
              </w:rPr>
              <w:t>).</w:t>
            </w:r>
          </w:p>
          <w:p w14:paraId="1082367C" w14:textId="189D02F3" w:rsidR="00515584" w:rsidRPr="006E1454" w:rsidRDefault="00515584" w:rsidP="00C008B0">
            <w:pPr>
              <w:pStyle w:val="Marge"/>
              <w:rPr>
                <w:rFonts w:cs="Arial"/>
                <w:szCs w:val="22"/>
              </w:rPr>
            </w:pPr>
            <w:r>
              <w:rPr>
                <w:rFonts w:cs="Arial"/>
                <w:u w:val="single"/>
                <w:lang w:val="ru"/>
              </w:rPr>
              <w:t>Предлагаемое(-ые) решение(-я)</w:t>
            </w:r>
            <w:r>
              <w:rPr>
                <w:rFonts w:cs="Arial"/>
                <w:lang w:val="ru"/>
              </w:rPr>
              <w:t xml:space="preserve"> представлено(-ы) в Документе о принятых и предлагаемых мерах (документ </w:t>
            </w:r>
            <w:hyperlink r:id="rId12" w:history="1">
              <w:r>
                <w:rPr>
                  <w:rStyle w:val="Hyperlink"/>
                  <w:rFonts w:cs="Arial"/>
                  <w:lang w:val="ru"/>
                </w:rPr>
                <w:t>IOC/A-31/AP Rev.</w:t>
              </w:r>
            </w:hyperlink>
            <w:r>
              <w:rPr>
                <w:rFonts w:cs="Arial"/>
                <w:lang w:val="ru"/>
              </w:rPr>
              <w:t xml:space="preserve">) 31-й сессии Ассамблеи МОК под номером </w:t>
            </w:r>
            <w:r>
              <w:rPr>
                <w:rFonts w:cs="Arial"/>
                <w:color w:val="000000"/>
                <w:lang w:val="ru"/>
              </w:rPr>
              <w:t>IOC/A-31/Реш.3.6</w:t>
            </w:r>
            <w:r>
              <w:rPr>
                <w:rFonts w:cs="Arial"/>
                <w:b/>
                <w:bCs/>
                <w:color w:val="000000"/>
                <w:lang w:val="ru"/>
              </w:rPr>
              <w:t xml:space="preserve"> </w:t>
            </w:r>
            <w:r>
              <w:rPr>
                <w:rFonts w:cs="Arial"/>
                <w:lang w:val="ru"/>
              </w:rPr>
              <w:t>.</w:t>
            </w:r>
          </w:p>
        </w:tc>
      </w:tr>
    </w:tbl>
    <w:p w14:paraId="7E39BDFA" w14:textId="2724C787" w:rsidR="00746B89" w:rsidRPr="006E1454" w:rsidRDefault="00746B89" w:rsidP="005C7A36">
      <w:pPr>
        <w:pStyle w:val="Heading3"/>
        <w:sectPr w:rsidR="00746B89" w:rsidRPr="006E1454" w:rsidSect="003F718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1418" w:right="1134" w:bottom="1134" w:left="1134" w:header="709" w:footer="680" w:gutter="0"/>
          <w:pgNumType w:start="1"/>
          <w:cols w:space="708"/>
          <w:titlePg/>
          <w:docGrid w:linePitch="360"/>
        </w:sectPr>
      </w:pPr>
    </w:p>
    <w:p w14:paraId="64B35EF4" w14:textId="77777777" w:rsidR="00C008B0" w:rsidRPr="0082023C" w:rsidRDefault="00C008B0" w:rsidP="00FC3532">
      <w:pPr>
        <w:spacing w:after="240"/>
        <w:jc w:val="both"/>
        <w:rPr>
          <w:b/>
          <w:bCs/>
          <w:i/>
          <w:iCs/>
        </w:rPr>
      </w:pPr>
      <w:r>
        <w:rPr>
          <w:b/>
          <w:bCs/>
          <w:i/>
          <w:iCs/>
          <w:lang w:val="ru"/>
        </w:rPr>
        <w:lastRenderedPageBreak/>
        <w:t xml:space="preserve">Основные достижения </w:t>
      </w:r>
    </w:p>
    <w:p w14:paraId="504EB4BF" w14:textId="4FFAFAFC" w:rsidR="00C008B0" w:rsidRPr="00831211" w:rsidRDefault="00C008B0" w:rsidP="002D52FA">
      <w:pPr>
        <w:spacing w:after="240"/>
        <w:jc w:val="both"/>
        <w:rPr>
          <w:rFonts w:asciiTheme="minorBidi" w:hAnsiTheme="minorBidi" w:cstheme="minorBidi"/>
          <w:snapToGrid/>
          <w:szCs w:val="22"/>
        </w:rPr>
      </w:pPr>
      <w:r>
        <w:rPr>
          <w:lang w:val="ru"/>
        </w:rPr>
        <w:t xml:space="preserve">В </w:t>
      </w:r>
      <w:r>
        <w:rPr>
          <w:rFonts w:asciiTheme="minorBidi" w:hAnsiTheme="minorBidi"/>
          <w:snapToGrid/>
          <w:szCs w:val="22"/>
          <w:lang w:val="ru"/>
        </w:rPr>
        <w:t>2020–2021 годах основное внимание Комиссии по-прежнему уделялось подготовке проведения Десятилетия ООН, посвященного науке об океане в интересах устойчивого развития (2020–2030 гг.). МОК приложила все силы для привлечения всех государств-членов, партнеров по системе ООН и ключевых заинтересованных сторон, представляющих гражданское общество, к участию в региональных и глобальных консультациях, стремясь не упустить уникальную возможность использовать достижения в области наук об океане, обеспечить лучшее понимание океанической системы и выработать научно обоснованные решения в целях реализации Повестки дня в области устойчивого развития на период до 2030 года. Эффективное задействование консультаций в рамках механизма «ООН-океаны» способствовало укреплению совместного подхода к обеспечению значимого разделения труда между партнерами МОК в системе ООН. Эта работа была успешно завершена, когда Генеральная Ассамблея Организации Объединенных Наций в декабре 2020 г. с удовлетворением приняла к сведению план проведения Десятилетия.</w:t>
      </w:r>
    </w:p>
    <w:p w14:paraId="7678D1C2" w14:textId="1BD4A17E" w:rsidR="00C008B0" w:rsidRPr="006E3870" w:rsidRDefault="00C008B0" w:rsidP="00242324">
      <w:pPr>
        <w:pStyle w:val="ListParagraph"/>
        <w:numPr>
          <w:ilvl w:val="0"/>
          <w:numId w:val="27"/>
        </w:numPr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  <w:lang w:val="ru"/>
        </w:rPr>
        <w:t>Руководство МОК активно участвовало в переговорном процессе, касающемся разработки международного юридически обязательного документа о сохранении и рациональном использовании морского биологического разнообразия в районах за пределами действия национальной юрисдикции (БПНЮ). Учитывая новые возможности, открывающиеся в связи с проведением Десятилетия науки об океане, МОК обладает необходимым потенциалом для поддержки будущего соглашения, особенно в том, что касается развития потенциала наук об океане и передачи морской технологии, в целях обеспечения универсального характера этого документа и его соответствия потребностям всех его будущих сторон, в частности развивающихся стран. В октябре 2020 года в целях информирования о переговорном процессе Секретариат опубликовал неофициальный информационный документ об уже осуществленном и потенциальном вкладе МОК-ЮНЕСКО в процесс, связанный с БПНЮ (</w:t>
      </w:r>
      <w:hyperlink r:id="rId19" w:history="1">
        <w:r>
          <w:rPr>
            <w:rStyle w:val="Hyperlink"/>
            <w:rFonts w:asciiTheme="minorBidi" w:hAnsiTheme="minorBidi" w:cstheme="minorBidi"/>
            <w:sz w:val="22"/>
            <w:szCs w:val="22"/>
            <w:lang w:val="ru"/>
          </w:rPr>
          <w:t>IOC/INF-1387</w:t>
        </w:r>
      </w:hyperlink>
      <w:r>
        <w:rPr>
          <w:rFonts w:asciiTheme="minorBidi" w:hAnsiTheme="minorBidi" w:cstheme="minorBidi"/>
          <w:sz w:val="22"/>
          <w:szCs w:val="22"/>
          <w:lang w:val="ru"/>
        </w:rPr>
        <w:t>), в областях морских исследований, данных, развития потенциала и передачи морской технологии.</w:t>
      </w:r>
    </w:p>
    <w:p w14:paraId="1413FF88" w14:textId="728CED9D" w:rsidR="00C008B0" w:rsidRPr="00831211" w:rsidRDefault="00C008B0" w:rsidP="00242324">
      <w:pPr>
        <w:pStyle w:val="ListParagraph"/>
        <w:numPr>
          <w:ilvl w:val="0"/>
          <w:numId w:val="27"/>
        </w:numPr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  <w:lang w:val="ru"/>
        </w:rPr>
        <w:t xml:space="preserve">Существенных успехов удалось добиться в обеспечении государств-членов методологическими инструментами оценки прогресса и представления отчетности по показателям ЦУР 14.3.1 и 14.a.1, в отношении которых на МОК возложена задача методической поддержки в рамках системы ООН. По случаю празднования 14 декабря 2020 года 60-й годовщины с момента создания МОК было выпущено второе издание </w:t>
      </w:r>
      <w:r>
        <w:rPr>
          <w:rFonts w:asciiTheme="minorBidi" w:hAnsiTheme="minorBidi" w:cstheme="minorBidi"/>
          <w:i/>
          <w:iCs/>
          <w:sz w:val="22"/>
          <w:szCs w:val="22"/>
          <w:lang w:val="ru"/>
        </w:rPr>
        <w:t>Научного доклада о Мировом океане</w:t>
      </w:r>
      <w:r>
        <w:rPr>
          <w:rFonts w:asciiTheme="minorBidi" w:hAnsiTheme="minorBidi" w:cstheme="minorBidi"/>
          <w:sz w:val="22"/>
          <w:szCs w:val="22"/>
          <w:lang w:val="ru"/>
        </w:rPr>
        <w:t xml:space="preserve"> (НДМО 2000). Помимо обеспечения прочной основы для измерения прогресса в достижении ЦУР 14.a в докладе содержатся исходные показатели уровня потенциала в области наук об океане и соответствующих инвестиций. Этот доклад будет служить средством мониторинга в рамках Десятилетия науки об океане.</w:t>
      </w:r>
    </w:p>
    <w:p w14:paraId="5E3EC837" w14:textId="238490BB" w:rsidR="00C008B0" w:rsidRPr="006E3870" w:rsidRDefault="00C008B0" w:rsidP="00242324">
      <w:pPr>
        <w:pStyle w:val="ListParagraph"/>
        <w:numPr>
          <w:ilvl w:val="0"/>
          <w:numId w:val="27"/>
        </w:numPr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  <w:lang w:val="ru"/>
        </w:rPr>
        <w:t>Действуя в точках соприкосновения науки и политики, МОК смогла разработать консолидированную многостороннюю программу исследований и наблюдений за океаническим углеродом в поддержку осуществления соответствующих положений Рамочной конвенции ООН об изменении климата (РКИКООН) и ее Парижского соглашения. Она продолжила оказывать эффективную поддержку глобальной системе наблюдений за закислением океана и в настоящее время принимает у себя секретариат для координации деятельности международного партнерства по «Голубому углероду». В рамках работы межучрежденческой Группы экспертов ООН по научным аспектам защиты морской среды МОК совместно с ИМО приступила к разработке руководящих принципов по вопросам биозагрязнения и борьбы с распространением инвазивных морских видов.</w:t>
      </w:r>
    </w:p>
    <w:p w14:paraId="2993CE95" w14:textId="68862AD1" w:rsidR="00C008B0" w:rsidRPr="00831211" w:rsidRDefault="00C008B0" w:rsidP="00242324">
      <w:pPr>
        <w:pStyle w:val="ListParagraph"/>
        <w:numPr>
          <w:ilvl w:val="0"/>
          <w:numId w:val="27"/>
        </w:numPr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  <w:lang w:val="ru"/>
        </w:rPr>
        <w:t xml:space="preserve">Во второй половине 2020 г. вторая оценка Мирового океана была одобрена государствами-членами ООН, которые также пришли к договоренности о проведении третьего цикла регулярного процесса глобального освещения и оценки состояния морской среды, включая социально-экономические аспекты (ГООМС) (2021–2025 гг.), призвав к </w:t>
      </w:r>
      <w:r>
        <w:rPr>
          <w:rFonts w:asciiTheme="minorBidi" w:hAnsiTheme="minorBidi" w:cstheme="minorBidi"/>
          <w:sz w:val="22"/>
          <w:szCs w:val="22"/>
          <w:lang w:val="ru"/>
        </w:rPr>
        <w:lastRenderedPageBreak/>
        <w:t>синергии с Десятилетием науки об океане в целях укрепления взаимосвязи науки и политики в отношении океана в рамках различных дисциплин и на всех уровнях.</w:t>
      </w:r>
    </w:p>
    <w:p w14:paraId="2668F37C" w14:textId="7E25861D" w:rsidR="00C008B0" w:rsidRPr="00831211" w:rsidRDefault="00C008B0" w:rsidP="00242324">
      <w:pPr>
        <w:pStyle w:val="ListParagraph"/>
        <w:numPr>
          <w:ilvl w:val="0"/>
          <w:numId w:val="27"/>
        </w:numPr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  <w:lang w:val="ru"/>
        </w:rPr>
        <w:t>Основное внимание сообщества, занимающегося Глобальной системой наблюдений за океаном (ГСНО), было сосредоточено на налаживании партнерских связей и разработке концепций для трех программ ГСНО в рамках Десятилетия науки об океане: «Прогнозирование в прибрежных районах» (CoastPredict), «Наблюдаем вместе» и «Общая конфигурация наблюдений за океаном». Эти программы основываются на идее интеграции ГСНО в различные аспекты работы, создания партнерств для более эффективного осуществления деятельности в интересах науки и общества и проведения экспериментальных проектов в целях более эффективного обслуживания пользователей в научной и социальной областях. Центр оперативной технической поддержки OceanOPS (ранее СКОММОПС) опубликовал новую пятилетнюю стратегию и выпустил новое издание ежегодного резюме доклада о наблюдениях за океаном. В этом резюме сообщается о состоянии сетей наблюдений с точки зрения их реализации, метаданных и потока данных, стандартов и передовой практики, а также об их вкладе в оперативные, климатические и связанные со здоровьем океанов аспекты миссии ГСНО.</w:t>
      </w:r>
    </w:p>
    <w:p w14:paraId="2351AF38" w14:textId="70AD9077" w:rsidR="00C008B0" w:rsidRPr="00831211" w:rsidRDefault="00C008B0" w:rsidP="00242324">
      <w:pPr>
        <w:pStyle w:val="ListParagraph"/>
        <w:numPr>
          <w:ilvl w:val="0"/>
          <w:numId w:val="27"/>
        </w:numPr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  <w:lang w:val="ru"/>
        </w:rPr>
        <w:t xml:space="preserve">Кроме того, сообщество специалистов по океаническим данным прилагает усилия для увеличения своего вклада в Десятилетие. В настоящее время ведется активная работа над планом конфигурации Системы океанических данных и информации (ОДИС). Началось осуществление трех новых крупных проектов: «Инфохаб-Океан» МОК, который будет уделять основное внимание Латинской Америке и Карибскому бассейну, Африке и МОСРГ Тихого океана, сеть оповещения о биозагрязнении вод у островов Тихого океана и Вторая глобальная академия «Океан-инструктор». Началась разработка двух приложений для визуализации данных – портала ГСНО «БиоЭко» и портала по вредоносному цветению водорослей. Информационная система по океаническому биоразнообразию, отметившая 20-летие своей деятельности, по-прежнему часто упоминалась в научной литературе как инструмент поддержки исследователей </w:t>
      </w:r>
    </w:p>
    <w:p w14:paraId="0FBBC2A6" w14:textId="72607D9C" w:rsidR="00C008B0" w:rsidRPr="00831211" w:rsidRDefault="00C008B0" w:rsidP="00242324">
      <w:pPr>
        <w:pStyle w:val="ListParagraph"/>
        <w:numPr>
          <w:ilvl w:val="0"/>
          <w:numId w:val="27"/>
        </w:numPr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  <w:lang w:val="ru"/>
        </w:rPr>
        <w:t xml:space="preserve">Разработка региональных систем предупреждения о цунами по-прежнему координировалась в рамках четырех региональных межправительственных групп (СПЦСВАСМ — северо-западная часть Атлантического океана, КАРИБ-СРП — Карибский бассейн и прилегающие районы, СПЦТО — Тихий океан и СПЦСПИО — Индийский океан). Рабочая группа по системам предупреждения о цунами и других опасных явлениях содействовала глобальному согласованию этих систем и установлению их стандартов. Секретариат МОК продолжал тесно сотрудничать с рабочими группами экспертов и государствами-членами в целях поддержки и укрепления региональных систем и осуществления соответствующих инициатив. 137 государств-членов, в том числе 28 МОСРГ и девять стран Африки, создали национальные координационные механизмы/центры предупреждения о цунами. В регионе Южно-Китайского моря был открыт региональный консультативный центр по цунами, выполняющий роль системы предупреждения о цунами для девяти стран региона. Национальные центры предупреждения о цунами в Греции, Италии, Португалии, Турции и Франции после проведения коллегиальной оценки их функций и достижений были аккредитованы в качестве региональных провайдеров данных слежения за цунами. В настоящее время в трех регионах (Карибский бассейн, Тихий океан и Индийский океан) в экспериментальном порядке осуществляется основанная на показателях эффективности программа по сертификации готовности к цунами на уровне общин. В рамках этой программы сертификаты получили более 25 общин в 15 странах, включая десять МОСРГ. </w:t>
      </w:r>
    </w:p>
    <w:p w14:paraId="2D068C8E" w14:textId="5454D829" w:rsidR="004B4ECA" w:rsidRPr="00831211" w:rsidRDefault="00C008B0" w:rsidP="006E3870">
      <w:pPr>
        <w:pStyle w:val="ListParagraph"/>
        <w:numPr>
          <w:ilvl w:val="0"/>
          <w:numId w:val="27"/>
        </w:numPr>
        <w:snapToGrid w:val="0"/>
        <w:spacing w:after="240"/>
        <w:ind w:left="0" w:firstLine="0"/>
        <w:contextualSpacing w:val="0"/>
        <w:rPr>
          <w:rFonts w:asciiTheme="minorBidi" w:eastAsia="SimSun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  <w:lang w:val="ru"/>
        </w:rPr>
        <w:t xml:space="preserve">МОК продолжала уделять особое внимание развитию потенциала своих государств-членов, в частности в рамках своих региональных вспомогательных органов – ВЕСТПАК, МОКАРИБ, МОКАФРИКА и ИОСИНДИО. В рамках второй Международной экспедиции в Индийском океане более 50 ученых из африканских стран приняли участие в исследовательских экспедициях, организованных Южной Африкой. Представители Кении, </w:t>
      </w:r>
      <w:r>
        <w:rPr>
          <w:rFonts w:asciiTheme="minorBidi" w:hAnsiTheme="minorBidi" w:cstheme="minorBidi"/>
          <w:sz w:val="22"/>
          <w:szCs w:val="22"/>
          <w:lang w:val="ru"/>
        </w:rPr>
        <w:lastRenderedPageBreak/>
        <w:t>Коморских Островов, Маврикия, Мадагаскара, Мозамбика, Объединенной Республики Танзании и Южной Африки прошли подготовку по составлению карт наводнений и эвакуации при цунами, а представители Кении, Коморских Островов, Мадагаскара, Объединенной Республики Танзании и Южной Африки отработали стандартные оперативные процедуры предупреждения о цунами и экстренного реагирования. Все имеющие выход к Индийскому океану африканские государства-члены приняли участие в учениях по цунами, а в Кении, Объединенной Республики Танзании и на Сейшельских Островах была проведена эвакуация населения. Потенциал в области подготовки кадров был существенно увеличен благодаря 16 региональным/специализированным учебным центрам Глобальной академии «Океан-инструктор» (ГАОИ), а также региональным учебно-исследовательским центрам ВЕСТПАК, которые в совокупности обеспечили подготовку почти 1000 человек. Кроме того, были проведены две оценки потребностей в области развития потенциала, которые позволят более целенаправленно осуществлять мероприятия по развитию потенциала посредством всех глобальных программ и региональных вспомогательных органов МОК и будут способствовать привлечению внебюджетных средств. В регионе ИОСИНДИО два центра категории 2 под эгидой ЮНЕСКО — в Исламской Республике Иран и Индии — вносят ценный вклад и обеспечивают региональное участие в программах. Соглашения, находящиеся на стадии переговоров с Южно-Тихоокеанским сообществом и Ассоциацией регионального сотрудничества стран Индийского океана, станут важным шагом в этом направлении.</w:t>
      </w:r>
    </w:p>
    <w:p w14:paraId="45703EFD" w14:textId="25C4F3E7" w:rsidR="00C008B0" w:rsidRPr="00831211" w:rsidRDefault="00C008B0" w:rsidP="006E3870">
      <w:pPr>
        <w:pStyle w:val="ListParagraph"/>
        <w:numPr>
          <w:ilvl w:val="0"/>
          <w:numId w:val="27"/>
        </w:numPr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  <w:lang w:val="ru"/>
        </w:rPr>
        <w:t xml:space="preserve">Десятилетие науки об океане представляет собой исключительную возможность для развивающихся стран укрепить свой потенциал в области океанических исследований в поддержку устойчивой экономики океана. МОК совместно с Ассоциацией морских наук западной части Индийского океана и секретариатом Найробийской конвенции (ООН по окружающей среде) организовала «Региональный консультативный семинар по проведению Десятилетия ООН, посвященного науке об океане в интересах устойчивого развития 2021–2030 гг., для Африки и прилегающих островных государств», который состоялся в Найроби при поддержке правительства Кении с 27 по 29 января 2020 г. Семинар, а также вебинар на тему «Совместное планирование научных знаний в интересах Африки» (3 ноября 2020 г.) позволили определить региональные потребности и приоритеты в плане преобразования систем знаний, ускорения передачи морских технологий, создания благоприятных условий для обучения и образования, содействия диалогу между наукой и политикой и наращивания потенциала в соответствии с инициативами Африканского союза. МОК при поддержке правительства Египта в настоящее время готовится к установочной конференции Десятилетия науки об океане в поддержку устойчивого развития Африки, которая состоится в декабре 2021 года. </w:t>
      </w:r>
    </w:p>
    <w:p w14:paraId="7E2D422E" w14:textId="0FCDA43C" w:rsidR="00C008B0" w:rsidRPr="00831211" w:rsidRDefault="00C008B0" w:rsidP="006E3870">
      <w:pPr>
        <w:pStyle w:val="ListParagraph"/>
        <w:numPr>
          <w:ilvl w:val="0"/>
          <w:numId w:val="27"/>
        </w:numPr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  <w:lang w:val="ru"/>
        </w:rPr>
        <w:t xml:space="preserve">План проведения Десятилетия будет также способствовать сопряжению усилий в рамках реализации ЦУР 5 (Гендерное равенство) и ЦУР 14 (Океаны) посредством пропаганды вклада женщин в развитие морских наук, расширения знаний человечества об океане и выработки обоснованных и учитывающих интересы всех групп населения решений. </w:t>
      </w:r>
      <w:r>
        <w:rPr>
          <w:rFonts w:asciiTheme="minorBidi" w:hAnsiTheme="minorBidi" w:cstheme="minorBidi"/>
          <w:i/>
          <w:iCs/>
          <w:sz w:val="22"/>
          <w:szCs w:val="22"/>
          <w:lang w:val="ru"/>
        </w:rPr>
        <w:t>Научный доклад о Мировом океане</w:t>
      </w:r>
      <w:r>
        <w:rPr>
          <w:rFonts w:asciiTheme="minorBidi" w:hAnsiTheme="minorBidi" w:cstheme="minorBidi"/>
          <w:sz w:val="22"/>
          <w:szCs w:val="22"/>
          <w:lang w:val="ru"/>
        </w:rPr>
        <w:t>, содержащий данные с разбивкой по полу, продолжил служить одним из механизмов мониторинга прогресса.</w:t>
      </w:r>
    </w:p>
    <w:p w14:paraId="1B4E6DBF" w14:textId="43941FE6" w:rsidR="00C008B0" w:rsidRPr="00831211" w:rsidRDefault="00C008B0" w:rsidP="00831211">
      <w:pPr>
        <w:pStyle w:val="ListParagraph"/>
        <w:numPr>
          <w:ilvl w:val="0"/>
          <w:numId w:val="27"/>
        </w:numPr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Cs w:val="22"/>
        </w:rPr>
      </w:pPr>
      <w:r>
        <w:rPr>
          <w:rFonts w:asciiTheme="minorBidi" w:hAnsiTheme="minorBidi" w:cstheme="minorBidi"/>
          <w:sz w:val="22"/>
          <w:szCs w:val="22"/>
          <w:lang w:val="ru"/>
        </w:rPr>
        <w:t xml:space="preserve">При поддержке со стороны правительства Швеции МОК создала платформу для распространения знаний об океане и подготовила комплект материалов, который на экспериментальной основе используется в школах 36 стран в рамках Сети ПАШ. В сотрудничестве с международной научной группой по «голубому углероду» МОК разработала методологию количественной оценки запасов «голубого углерода» в целях оказания поддержки в подготовке национальных докладов для РКИКООН и содействовала участию Организации в КС-24 и КС-25 посредством повышения осведомленности о роли океана в регулировании изменения климата. На первом совещании в ноябре 2020 г. Председатель и сотрудники МОК, а также эксперты Консультативного научно-технического органа Конвенции об охране подводного культурного наследия 2001 г. пришли к договоренности о совместной разработке стратегических рамок, определяющих приоритетные мероприятия для сообщества специалистов по подводному культурному наследию, которые могут вдохновить </w:t>
      </w:r>
      <w:r>
        <w:rPr>
          <w:rFonts w:asciiTheme="minorBidi" w:hAnsiTheme="minorBidi" w:cstheme="minorBidi"/>
          <w:sz w:val="22"/>
          <w:szCs w:val="22"/>
          <w:lang w:val="ru"/>
        </w:rPr>
        <w:lastRenderedPageBreak/>
        <w:t>и стимулировать мероприятия в рамках Десятилетия. Десятилетие науки об океане предоставит возможности и рамочную основу для активизации существующих и развития новых синергетических связей с использованием подхода, предполагающего взаимодействие с другими секторами.</w:t>
      </w:r>
    </w:p>
    <w:p w14:paraId="2AD4E7BE" w14:textId="7A1EC82B" w:rsidR="00C008B0" w:rsidRPr="00831211" w:rsidRDefault="00C008B0" w:rsidP="00FC3532">
      <w:pPr>
        <w:spacing w:after="240"/>
        <w:jc w:val="both"/>
        <w:rPr>
          <w:rFonts w:asciiTheme="minorBidi" w:hAnsiTheme="minorBidi" w:cstheme="minorBidi"/>
          <w:b/>
          <w:bCs/>
          <w:i/>
          <w:iCs/>
          <w:szCs w:val="22"/>
        </w:rPr>
      </w:pPr>
      <w:r>
        <w:rPr>
          <w:rFonts w:asciiTheme="minorBidi" w:hAnsiTheme="minorBidi" w:cstheme="minorBidi"/>
          <w:b/>
          <w:bCs/>
          <w:i/>
          <w:iCs/>
          <w:szCs w:val="22"/>
          <w:lang w:val="ru"/>
        </w:rPr>
        <w:t xml:space="preserve">Партнерские связи </w:t>
      </w:r>
    </w:p>
    <w:p w14:paraId="44CB3612" w14:textId="0DE34876" w:rsidR="00C008B0" w:rsidRPr="00831211" w:rsidRDefault="00C008B0" w:rsidP="00831211">
      <w:pPr>
        <w:pStyle w:val="ListParagraph"/>
        <w:numPr>
          <w:ilvl w:val="0"/>
          <w:numId w:val="27"/>
        </w:numPr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Cs w:val="22"/>
        </w:rPr>
      </w:pPr>
      <w:r>
        <w:rPr>
          <w:rFonts w:asciiTheme="minorBidi" w:hAnsiTheme="minorBidi" w:cstheme="minorBidi"/>
          <w:sz w:val="22"/>
          <w:szCs w:val="22"/>
          <w:lang w:val="ru"/>
        </w:rPr>
        <w:t xml:space="preserve">В 2018 г. в Найроби прошла конференция по устойчивой «голубой» экономике, с участниками которой МОК обменялась опытом оказания государствам поддержки в области морского пространственного планирования (МПП). МОК расширила свои партнерские связи с Европейской комиссией, выступив с новой совместной инициативой, направленной на содействие трансграничному МПП. После ее успешной реализации обсуждается новая совместная дорожная карта для МПП на период 2022–2025 гг. Глобальный экологический фонд остается важным партнером МОК в ряде ключевых областей деятельности, в рамках которой начато осуществление новых проектов в Саргассовом море и в связи с биозагрязнением. Активно развивается сотрудничество с МГО по вопросам ГЕБКО и картирования океана. Обе организации осуществляют надзор за разработкой проекта «Морское дно 2030» и обеспечат его вклад в план проведения Десятилетия. В течение 2020 г. активизировалось сотрудничество с Отделом ООН по вопросам океана и морскому праву (ОВОМП) для обеспечения согласованности плана проведения Десятилетия с положениями ЮНКЛОС, а также для содействия его рассмотрению Генеральной Ассамблеей ООН. </w:t>
      </w:r>
    </w:p>
    <w:p w14:paraId="42E62668" w14:textId="62009283" w:rsidR="00C008B0" w:rsidRPr="00831211" w:rsidRDefault="00C008B0" w:rsidP="00831211">
      <w:pPr>
        <w:pStyle w:val="ListParagraph"/>
        <w:numPr>
          <w:ilvl w:val="0"/>
          <w:numId w:val="27"/>
        </w:numPr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Cs w:val="22"/>
        </w:rPr>
      </w:pPr>
      <w:r>
        <w:rPr>
          <w:rFonts w:asciiTheme="minorBidi" w:hAnsiTheme="minorBidi" w:cstheme="minorBidi"/>
          <w:sz w:val="22"/>
          <w:szCs w:val="22"/>
          <w:lang w:val="ru"/>
        </w:rPr>
        <w:tab/>
        <w:t>Бельгия (правительство Фландрии), Канада, Китай, Норвегия, Португалия, Республика Корея, Соединенное Королевство, Швеция и Япония, а также некоммерческая организация RevOcean предоставили финансовую помощь на цели подготовки плана проведения Десятилетия. Норвегия оставалась основным донором нецелевых средств для специального счета МОК, содействуя осуществлению программы с акцентом на коллективно согласованные приоритеты. Дополнительный взнос Норвежского агентства по сотрудничеству в области развития в размере 2 млн. долл. США позволит значительно активизировать усилия МОК по развитию потенциала в интересах Африки и МОСРГ.</w:t>
      </w:r>
    </w:p>
    <w:p w14:paraId="125C43C4" w14:textId="35F4B927" w:rsidR="00C008B0" w:rsidRPr="00831211" w:rsidRDefault="00C008B0" w:rsidP="00831211">
      <w:pPr>
        <w:pStyle w:val="ListParagraph"/>
        <w:numPr>
          <w:ilvl w:val="0"/>
          <w:numId w:val="27"/>
        </w:numPr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Cs w:val="22"/>
        </w:rPr>
      </w:pPr>
      <w:r>
        <w:rPr>
          <w:rFonts w:asciiTheme="minorBidi" w:hAnsiTheme="minorBidi" w:cstheme="minorBidi"/>
          <w:sz w:val="22"/>
          <w:szCs w:val="22"/>
          <w:lang w:val="ru"/>
        </w:rPr>
        <w:tab/>
        <w:t>Бельгия (правительство Фландрии), Китай и Австралия продолжали оказывать поддержку основным бюро МОК и их программам в, соответственно, Остенде (Бельгия), Перте (Австралия) и в Подкомиссии МОК для западной части Тихого океана (ВЕСТПАК).</w:t>
      </w:r>
    </w:p>
    <w:p w14:paraId="78A083D3" w14:textId="086FE058" w:rsidR="00C008B0" w:rsidRPr="00831211" w:rsidRDefault="00C008B0" w:rsidP="00831211">
      <w:pPr>
        <w:pStyle w:val="ListParagraph"/>
        <w:numPr>
          <w:ilvl w:val="0"/>
          <w:numId w:val="27"/>
        </w:numPr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Cs w:val="22"/>
        </w:rPr>
      </w:pPr>
      <w:r>
        <w:rPr>
          <w:rFonts w:asciiTheme="minorBidi" w:hAnsiTheme="minorBidi" w:cstheme="minorBidi"/>
          <w:sz w:val="22"/>
          <w:szCs w:val="22"/>
          <w:lang w:val="ru"/>
        </w:rPr>
        <w:t xml:space="preserve">Успешно развивался ряд перспективных партнерств с частным сектором, в том числе на основе сотрудничества с Платформой действий деловых кругов в поддержку устойчивого освоения океана, созданной в рамках Глобального договора ООН. МОК установила партнерские связи с фондом Velux в целях налаживания сотрудничества с благотворительными организациями в рамках мероприятия по привлечению партнеров, которое состоялось в феврале 2020 г. в Королевской академии наук и литературы Дании. Были также подписаны соглашения с организацией RevOcean (включая ее службу данных при центре по проблематике четвертой промышленной революции) и с Институтом океана Шмидта. </w:t>
      </w:r>
    </w:p>
    <w:p w14:paraId="40EE3CC0" w14:textId="29B8B768" w:rsidR="00C008B0" w:rsidRPr="00831211" w:rsidRDefault="00C008B0" w:rsidP="00831211">
      <w:pPr>
        <w:pStyle w:val="ListParagraph"/>
        <w:numPr>
          <w:ilvl w:val="0"/>
          <w:numId w:val="27"/>
        </w:numPr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Cs w:val="22"/>
        </w:rPr>
      </w:pPr>
      <w:r>
        <w:rPr>
          <w:rFonts w:asciiTheme="minorBidi" w:hAnsiTheme="minorBidi" w:cstheme="minorBidi"/>
          <w:sz w:val="22"/>
          <w:szCs w:val="22"/>
          <w:lang w:val="ru"/>
        </w:rPr>
        <w:t xml:space="preserve">В развитие нашего вклада в работу конференции «Наш океан» (23–24 октября 2019 г., Осло, Норвегия) МОК объявила о создании Альянса в поддержку проведения Десятилетия Организации Объединенных Наций, посвященного науке об океане в интересах устойчивого развития (2021–2030 гг.). Работа этого альянса началась с виртуального мероприятия под названием «Прекрасный новый океан», в котором приняли участие эксперты и руководители со всего мира, занимающиеся вопросами океана, с целью привлечения внимания к стоящим перед ним огромным вызовам, а также возможностям, которые океанография может предложить человечеству для построения более совершенного и сильного мира после пандемии. В этом мероприятии, открытом Генеральным директором, приняли участие ряд членов-основателей Альянса в поддержку Десятилетия науки об океане, включая Его Превосходительство достопочтенного Ухуру Кеньятту, президента Кении, Ее </w:t>
      </w:r>
      <w:r>
        <w:rPr>
          <w:rFonts w:asciiTheme="minorBidi" w:hAnsiTheme="minorBidi" w:cstheme="minorBidi"/>
          <w:sz w:val="22"/>
          <w:szCs w:val="22"/>
          <w:lang w:val="ru"/>
        </w:rPr>
        <w:lastRenderedPageBreak/>
        <w:t>Превосходительство Эрну Солберг, премьер-министра Норвегии, Ее Королевское Высочество принцессу Марокко Лаллу Хаснаа, Его Светлость принц Монако Альберт II и Его Превосходительство достопочтенного Марселу Ребело де Соуза, президента Португалии, а также ведущие благотворительные организации, такие как Институт океана Шмидта и Фонд Бертарелли.</w:t>
      </w:r>
    </w:p>
    <w:p w14:paraId="0E9D5869" w14:textId="1294449E" w:rsidR="00C008B0" w:rsidRPr="00831211" w:rsidRDefault="00C008B0" w:rsidP="00FC3532">
      <w:pPr>
        <w:spacing w:after="240"/>
        <w:jc w:val="both"/>
        <w:rPr>
          <w:rFonts w:asciiTheme="minorBidi" w:hAnsiTheme="minorBidi" w:cstheme="minorBidi"/>
          <w:b/>
          <w:bCs/>
          <w:i/>
          <w:iCs/>
          <w:szCs w:val="22"/>
        </w:rPr>
      </w:pPr>
      <w:r>
        <w:rPr>
          <w:rFonts w:asciiTheme="minorBidi" w:hAnsiTheme="minorBidi" w:cstheme="minorBidi"/>
          <w:b/>
          <w:bCs/>
          <w:i/>
          <w:iCs/>
          <w:szCs w:val="22"/>
          <w:lang w:val="ru"/>
        </w:rPr>
        <w:t>Проблемы и коррективные меры</w:t>
      </w:r>
    </w:p>
    <w:p w14:paraId="455572A2" w14:textId="2E60C948" w:rsidR="00C008B0" w:rsidRPr="00831211" w:rsidRDefault="00C008B0" w:rsidP="00831211">
      <w:pPr>
        <w:pStyle w:val="ListParagraph"/>
        <w:numPr>
          <w:ilvl w:val="0"/>
          <w:numId w:val="27"/>
        </w:numPr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Cs w:val="22"/>
        </w:rPr>
      </w:pPr>
      <w:r>
        <w:rPr>
          <w:rFonts w:asciiTheme="minorBidi" w:hAnsiTheme="minorBidi" w:cstheme="minorBidi"/>
          <w:sz w:val="22"/>
          <w:szCs w:val="22"/>
          <w:lang w:val="ru"/>
        </w:rPr>
        <w:t xml:space="preserve">В целом наиболее сложная проблема, стоящая перед немногочисленным секретариатом Комиссии, связана с выполнением двойной задачи, заключающейся в привлечении средств, необходимых не только для сохранения ее основных оперативных программ, но и для выполнения руководящей и координирующей роли на этапе подготовки Десятилетия. В настоящее время прорабатываются новые подходы в отношении мобилизации ресурсов и информационно-просветительской работы с упором на разъяснении выгод, которые общество получит благодаря деятельности МОК, а также на демонстрации окупаемости инвестиций в сферу морских научных исследований и океанографических наблюдений. </w:t>
      </w:r>
    </w:p>
    <w:p w14:paraId="7A1B9D6B" w14:textId="52168C7C" w:rsidR="00C008B0" w:rsidRPr="00831211" w:rsidRDefault="00C008B0" w:rsidP="00831211">
      <w:pPr>
        <w:pStyle w:val="ListParagraph"/>
        <w:numPr>
          <w:ilvl w:val="0"/>
          <w:numId w:val="27"/>
        </w:numPr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Cs w:val="22"/>
        </w:rPr>
      </w:pPr>
      <w:r>
        <w:rPr>
          <w:rFonts w:asciiTheme="minorBidi" w:hAnsiTheme="minorBidi" w:cstheme="minorBidi"/>
          <w:sz w:val="22"/>
          <w:szCs w:val="22"/>
          <w:lang w:val="ru"/>
        </w:rPr>
        <w:tab/>
        <w:t xml:space="preserve">В коммуникации и информационно-просветительской деятельности ведется более активная работа по популяризации целей Десятилетия и привлечению более широкого круга заинтересованных сторон. </w:t>
      </w:r>
    </w:p>
    <w:p w14:paraId="107319A5" w14:textId="365FF7F6" w:rsidR="00C008B0" w:rsidRPr="00831211" w:rsidRDefault="00C008B0" w:rsidP="00FC3532">
      <w:pPr>
        <w:spacing w:after="240"/>
        <w:jc w:val="both"/>
        <w:rPr>
          <w:rFonts w:asciiTheme="minorBidi" w:hAnsiTheme="minorBidi" w:cstheme="minorBidi"/>
          <w:bCs/>
          <w:i/>
          <w:szCs w:val="22"/>
        </w:rPr>
      </w:pPr>
      <w:r>
        <w:rPr>
          <w:rFonts w:asciiTheme="minorBidi" w:hAnsiTheme="minorBidi" w:cstheme="minorBidi"/>
          <w:i/>
          <w:iCs/>
          <w:szCs w:val="22"/>
          <w:lang w:val="ru"/>
        </w:rPr>
        <w:t>Воздействие пандемии COVID-19 на осуществление положений документа 40 С/5</w:t>
      </w:r>
    </w:p>
    <w:p w14:paraId="2AAB8784" w14:textId="3BE41B7E" w:rsidR="00C008B0" w:rsidRPr="00831211" w:rsidRDefault="00C008B0" w:rsidP="00831211">
      <w:pPr>
        <w:pStyle w:val="ListParagraph"/>
        <w:numPr>
          <w:ilvl w:val="0"/>
          <w:numId w:val="27"/>
        </w:numPr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Cs w:val="22"/>
        </w:rPr>
      </w:pPr>
      <w:r>
        <w:rPr>
          <w:rFonts w:asciiTheme="minorBidi" w:hAnsiTheme="minorBidi" w:cstheme="minorBidi"/>
          <w:sz w:val="22"/>
          <w:szCs w:val="22"/>
          <w:lang w:val="ru"/>
        </w:rPr>
        <w:tab/>
        <w:t xml:space="preserve">Воздействие связанного с COVID-19 режима изоляции вызвало особую озабоченность в отношении оперативных программ МОК – Глобальной системы наблюдений за океаном и Международного обмена океанографическими данными и информацией, – предоставляющих важнейшую информацию, необходимую для морских, климатических и метеорологических прогнозов и предупреждений.  </w:t>
      </w:r>
    </w:p>
    <w:p w14:paraId="25501274" w14:textId="38FF8F09" w:rsidR="00C008B0" w:rsidRPr="00831211" w:rsidRDefault="00C008B0" w:rsidP="00831211">
      <w:pPr>
        <w:pStyle w:val="ListParagraph"/>
        <w:numPr>
          <w:ilvl w:val="0"/>
          <w:numId w:val="27"/>
        </w:numPr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Cs w:val="22"/>
        </w:rPr>
      </w:pPr>
      <w:r>
        <w:rPr>
          <w:rFonts w:asciiTheme="minorBidi" w:hAnsiTheme="minorBidi" w:cstheme="minorBidi"/>
          <w:sz w:val="22"/>
          <w:szCs w:val="22"/>
          <w:lang w:val="ru"/>
        </w:rPr>
        <w:tab/>
        <w:t xml:space="preserve">МОК провела ряд опросов и продолжила тесное сотрудничество со своими партнерами в соответствующих сообществах для оценки полного воздействия до конца 2021 года, обеспечив при этом перераспределение ресурсов в связи с отменой мероприятий и сокращением числа поездок. Однако становится все более очевидно, что в наборах глобальных океанических данных будут возникать пробелы в связи с отменой исследовательских рейсов, отсутствием технического обслуживания оборудования для наблюдений во время пандемии, сокращением персонала во время и, возможно, после пандемии, а также вероятным сокращением оперативных бюджетов. Мониторинг ситуации с данными будет осуществляться через портал данных НДМО. </w:t>
      </w:r>
    </w:p>
    <w:p w14:paraId="0BE0AD7B" w14:textId="3F1F1314" w:rsidR="00C008B0" w:rsidRPr="00831211" w:rsidRDefault="00C008B0" w:rsidP="00831211">
      <w:pPr>
        <w:pStyle w:val="ListParagraph"/>
        <w:numPr>
          <w:ilvl w:val="0"/>
          <w:numId w:val="27"/>
        </w:numPr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Cs w:val="22"/>
        </w:rPr>
      </w:pPr>
      <w:r>
        <w:rPr>
          <w:rFonts w:asciiTheme="minorBidi" w:hAnsiTheme="minorBidi" w:cstheme="minorBidi"/>
          <w:sz w:val="22"/>
          <w:szCs w:val="22"/>
          <w:lang w:val="ru"/>
        </w:rPr>
        <w:t>Межправительственная координация деятельности в рамках Глобальной системы предупреждения о цунами ограничилась в основном совещаниями в режиме онлайн, а совещания руководящих органов были перенесены на более поздние сроки или, при необходимости, проведены в режиме онлайн. Мероприятия были быстро адаптированы к новой рабочей рутине, в том числе путем: (i) подготовки руководящих принципов для служб предупреждения о цунами, эвакуации и предоставления укрытий во время COVID-19 и (ii) проведения обследования по оценке воздействия пандемии COVID-19 на сети сейсмических мареографов и датчиков цунами, а также на деятельность провайдеров связанных с ними услуг.</w:t>
      </w:r>
    </w:p>
    <w:p w14:paraId="456C0A25" w14:textId="262BB2B2" w:rsidR="00C008B0" w:rsidRPr="00831211" w:rsidRDefault="00C008B0" w:rsidP="00831211">
      <w:pPr>
        <w:pStyle w:val="ListParagraph"/>
        <w:numPr>
          <w:ilvl w:val="0"/>
          <w:numId w:val="27"/>
        </w:numPr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Cs w:val="22"/>
        </w:rPr>
      </w:pPr>
      <w:r>
        <w:rPr>
          <w:rFonts w:asciiTheme="minorBidi" w:hAnsiTheme="minorBidi" w:cstheme="minorBidi"/>
          <w:sz w:val="22"/>
          <w:szCs w:val="22"/>
          <w:lang w:val="ru"/>
        </w:rPr>
        <w:t>Наличие платформы электронного обучения Глобальной академии «Океан-инструктор» позволило уже в июне 2020 г. оперативно произвести необходимые корректировки и организовать учебные курсы в режиме онлайн, чтобы сохранить усилия МОК по созданию потенциала на запланированном уровне.</w:t>
      </w:r>
    </w:p>
    <w:p w14:paraId="5CCE0BB3" w14:textId="0F01FFFC" w:rsidR="00C008B0" w:rsidRPr="00831211" w:rsidRDefault="00C008B0" w:rsidP="00831211">
      <w:pPr>
        <w:pStyle w:val="ListParagraph"/>
        <w:numPr>
          <w:ilvl w:val="0"/>
          <w:numId w:val="27"/>
        </w:numPr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Cs w:val="22"/>
        </w:rPr>
      </w:pPr>
      <w:r>
        <w:rPr>
          <w:rFonts w:asciiTheme="minorBidi" w:hAnsiTheme="minorBidi" w:cstheme="minorBidi"/>
          <w:sz w:val="22"/>
          <w:szCs w:val="22"/>
          <w:lang w:val="ru"/>
        </w:rPr>
        <w:lastRenderedPageBreak/>
        <w:t>Некоторые из крупных совещаний ООН пришлось отложить до конца 2021 г. или до 2022 г., как в случае со второй Конференцией ООН по океану, перенесенной на 2022 г. Были определены альтернативные меры для сохранения взаимодействия с заинтересованными сторонами. Например, установочная конференция Десятилетия, проведение которой планировалось при поддержке правительства Германии, была преобразована в серию мероприятий высокого уровня и лабораторий Десятилетия, которые будут реализованы в течение 2021 г.</w:t>
      </w:r>
    </w:p>
    <w:sectPr w:rsidR="00C008B0" w:rsidRPr="00831211" w:rsidSect="003F7186">
      <w:headerReference w:type="even" r:id="rId20"/>
      <w:headerReference w:type="default" r:id="rId21"/>
      <w:headerReference w:type="first" r:id="rId22"/>
      <w:type w:val="oddPage"/>
      <w:pgSz w:w="11906" w:h="16838" w:code="9"/>
      <w:pgMar w:top="1418" w:right="1134" w:bottom="1134" w:left="1134" w:header="709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B52AC1" w14:textId="77777777" w:rsidR="001A037F" w:rsidRDefault="001A037F">
      <w:r>
        <w:separator/>
      </w:r>
    </w:p>
  </w:endnote>
  <w:endnote w:type="continuationSeparator" w:id="0">
    <w:p w14:paraId="02328075" w14:textId="77777777" w:rsidR="001A037F" w:rsidRDefault="001A037F">
      <w:r>
        <w:continuationSeparator/>
      </w:r>
    </w:p>
  </w:endnote>
  <w:endnote w:type="continuationNotice" w:id="1">
    <w:p w14:paraId="736FA55B" w14:textId="77777777" w:rsidR="001A037F" w:rsidRDefault="001A03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3D238" w14:textId="77777777" w:rsidR="00831211" w:rsidRDefault="008312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50AB3" w14:textId="77777777" w:rsidR="00831211" w:rsidRDefault="008312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F3331" w14:textId="77777777" w:rsidR="00831211" w:rsidRDefault="008312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DD806C" w14:textId="77777777" w:rsidR="001A037F" w:rsidRDefault="001A037F">
      <w:r>
        <w:separator/>
      </w:r>
    </w:p>
  </w:footnote>
  <w:footnote w:type="continuationSeparator" w:id="0">
    <w:p w14:paraId="6DEB291B" w14:textId="77777777" w:rsidR="001A037F" w:rsidRDefault="001A037F">
      <w:r>
        <w:continuationSeparator/>
      </w:r>
    </w:p>
  </w:footnote>
  <w:footnote w:type="continuationNotice" w:id="1">
    <w:p w14:paraId="77BB6B2E" w14:textId="77777777" w:rsidR="001A037F" w:rsidRDefault="001A03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719C4" w14:textId="77777777" w:rsidR="00441140" w:rsidRPr="00C962F0" w:rsidRDefault="00441140">
    <w:pPr>
      <w:pStyle w:val="Header"/>
      <w:rPr>
        <w:szCs w:val="22"/>
      </w:rPr>
    </w:pPr>
    <w:r>
      <w:rPr>
        <w:szCs w:val="22"/>
        <w:lang w:val="ru"/>
      </w:rPr>
      <w:t xml:space="preserve">ICG/CARIBE-EWS II/WD </w:t>
    </w:r>
    <w:r>
      <w:rPr>
        <w:szCs w:val="22"/>
        <w:highlight w:val="cyan"/>
        <w:lang w:val="ru"/>
      </w:rPr>
      <w:t>__</w:t>
    </w:r>
  </w:p>
  <w:p w14:paraId="6A24548F" w14:textId="77777777" w:rsidR="00441140" w:rsidRPr="00C962F0" w:rsidRDefault="00441140">
    <w:pPr>
      <w:pStyle w:val="Header"/>
      <w:rPr>
        <w:szCs w:val="22"/>
      </w:rPr>
    </w:pPr>
    <w:r>
      <w:rPr>
        <w:szCs w:val="22"/>
        <w:lang w:val="ru"/>
      </w:rPr>
      <w:t>Страница </w:t>
    </w:r>
    <w:r>
      <w:rPr>
        <w:rStyle w:val="PageNumber"/>
        <w:szCs w:val="22"/>
        <w:lang w:val="ru"/>
      </w:rPr>
      <w:fldChar w:fldCharType="begin"/>
    </w:r>
    <w:r>
      <w:rPr>
        <w:rStyle w:val="PageNumber"/>
        <w:szCs w:val="22"/>
        <w:lang w:val="ru"/>
      </w:rPr>
      <w:instrText xml:space="preserve"> PAGE </w:instrText>
    </w:r>
    <w:r>
      <w:rPr>
        <w:rStyle w:val="PageNumber"/>
        <w:szCs w:val="22"/>
        <w:lang w:val="ru"/>
      </w:rPr>
      <w:fldChar w:fldCharType="separate"/>
    </w:r>
    <w:r>
      <w:rPr>
        <w:rStyle w:val="PageNumber"/>
        <w:noProof/>
        <w:szCs w:val="22"/>
        <w:lang w:val="ru"/>
      </w:rPr>
      <w:t>2</w:t>
    </w:r>
    <w:r>
      <w:rPr>
        <w:rStyle w:val="PageNumber"/>
        <w:szCs w:val="22"/>
        <w:lang w:val="ru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ED62A" w14:textId="77777777" w:rsidR="00441140" w:rsidRPr="00746B89" w:rsidRDefault="00441140" w:rsidP="00DF2FB9">
    <w:pPr>
      <w:pStyle w:val="Header"/>
      <w:tabs>
        <w:tab w:val="clear" w:pos="8306"/>
      </w:tabs>
      <w:rPr>
        <w:szCs w:val="22"/>
      </w:rPr>
    </w:pPr>
    <w:r>
      <w:rPr>
        <w:szCs w:val="22"/>
        <w:lang w:val="ru"/>
      </w:rPr>
      <w:t xml:space="preserve">IOC-XXIV/2 Annex </w:t>
    </w:r>
    <w:r>
      <w:rPr>
        <w:szCs w:val="22"/>
        <w:highlight w:val="yellow"/>
        <w:lang w:val="ru"/>
      </w:rPr>
      <w:t>__</w:t>
    </w:r>
  </w:p>
  <w:p w14:paraId="70AB0676" w14:textId="77777777" w:rsidR="00441140" w:rsidRPr="00746B89" w:rsidRDefault="00441140" w:rsidP="00DF2FB9">
    <w:pPr>
      <w:pStyle w:val="Header"/>
      <w:tabs>
        <w:tab w:val="clear" w:pos="8306"/>
      </w:tabs>
      <w:rPr>
        <w:szCs w:val="22"/>
      </w:rPr>
    </w:pPr>
    <w:r>
      <w:rPr>
        <w:szCs w:val="22"/>
        <w:lang w:val="ru"/>
      </w:rPr>
      <w:t>Страница </w:t>
    </w:r>
    <w:r>
      <w:rPr>
        <w:rStyle w:val="PageNumber"/>
        <w:szCs w:val="22"/>
        <w:lang w:val="ru"/>
      </w:rPr>
      <w:fldChar w:fldCharType="begin"/>
    </w:r>
    <w:r>
      <w:rPr>
        <w:rStyle w:val="PageNumber"/>
        <w:szCs w:val="22"/>
        <w:lang w:val="ru"/>
      </w:rPr>
      <w:instrText xml:space="preserve"> PAGE </w:instrText>
    </w:r>
    <w:r>
      <w:rPr>
        <w:rStyle w:val="PageNumber"/>
        <w:szCs w:val="22"/>
        <w:lang w:val="ru"/>
      </w:rPr>
      <w:fldChar w:fldCharType="separate"/>
    </w:r>
    <w:r>
      <w:rPr>
        <w:rStyle w:val="PageNumber"/>
        <w:noProof/>
        <w:szCs w:val="22"/>
        <w:lang w:val="ru"/>
      </w:rPr>
      <w:t>3</w:t>
    </w:r>
    <w:r>
      <w:rPr>
        <w:rStyle w:val="PageNumber"/>
        <w:szCs w:val="22"/>
        <w:lang w:val="ru"/>
      </w:rPr>
      <w:fldChar w:fldCharType="end"/>
    </w:r>
  </w:p>
  <w:p w14:paraId="6C23CAB6" w14:textId="77777777" w:rsidR="00441140" w:rsidRPr="00DF2FB9" w:rsidRDefault="00441140" w:rsidP="00DF2FB9">
    <w:pPr>
      <w:pStyle w:val="Header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3D29B" w14:textId="23F14093" w:rsidR="00441140" w:rsidRPr="005E544C" w:rsidRDefault="00441140" w:rsidP="00831211">
    <w:pPr>
      <w:pStyle w:val="Marge"/>
      <w:tabs>
        <w:tab w:val="left" w:pos="7230"/>
        <w:tab w:val="left" w:pos="8080"/>
      </w:tabs>
      <w:spacing w:after="0"/>
      <w:rPr>
        <w:rFonts w:cs="Arial"/>
        <w:b/>
        <w:szCs w:val="22"/>
      </w:rPr>
    </w:pPr>
    <w:r>
      <w:rPr>
        <w:lang w:val="ru"/>
      </w:rPr>
      <w:tab/>
    </w:r>
  </w:p>
  <w:p w14:paraId="63D946BE" w14:textId="5AC62A6E" w:rsidR="000156E0" w:rsidRPr="00C008B0" w:rsidRDefault="00C008B0" w:rsidP="00831211">
    <w:pPr>
      <w:pStyle w:val="Marge"/>
      <w:tabs>
        <w:tab w:val="left" w:pos="6804"/>
        <w:tab w:val="left" w:pos="8080"/>
      </w:tabs>
      <w:spacing w:after="0"/>
      <w:rPr>
        <w:rFonts w:cs="Arial"/>
        <w:b/>
        <w:sz w:val="28"/>
        <w:szCs w:val="28"/>
      </w:rPr>
    </w:pPr>
    <w:r>
      <w:rPr>
        <w:rFonts w:cs="Arial"/>
        <w:szCs w:val="22"/>
        <w:lang w:val="ru"/>
      </w:rPr>
      <w:t>Рассылается по списку</w:t>
    </w:r>
    <w:r>
      <w:rPr>
        <w:rFonts w:cs="Arial"/>
        <w:szCs w:val="22"/>
        <w:lang w:val="ru"/>
      </w:rPr>
      <w:tab/>
    </w:r>
    <w:r>
      <w:rPr>
        <w:rFonts w:cs="Arial"/>
        <w:b/>
        <w:bCs/>
        <w:sz w:val="28"/>
        <w:szCs w:val="28"/>
        <w:lang w:val="ru"/>
      </w:rPr>
      <w:t>IOC/A-31/3.6.Doc</w:t>
    </w:r>
  </w:p>
  <w:p w14:paraId="217BCF53" w14:textId="70DEFFC0" w:rsidR="000156E0" w:rsidRPr="005E544C" w:rsidRDefault="000156E0" w:rsidP="00831211">
    <w:pPr>
      <w:tabs>
        <w:tab w:val="clear" w:pos="567"/>
        <w:tab w:val="left" w:pos="6804"/>
        <w:tab w:val="left" w:pos="8080"/>
      </w:tabs>
      <w:rPr>
        <w:rFonts w:cs="Arial"/>
        <w:szCs w:val="22"/>
      </w:rPr>
    </w:pPr>
    <w:r>
      <w:rPr>
        <w:rFonts w:cs="Arial"/>
        <w:szCs w:val="22"/>
        <w:lang w:val="ru"/>
      </w:rPr>
      <w:tab/>
      <w:t xml:space="preserve">Париж, 25 мая 2021 года </w:t>
    </w:r>
  </w:p>
  <w:p w14:paraId="25CD7700" w14:textId="77777777" w:rsidR="000156E0" w:rsidRPr="005E544C" w:rsidRDefault="000156E0" w:rsidP="00831211">
    <w:pPr>
      <w:tabs>
        <w:tab w:val="clear" w:pos="567"/>
        <w:tab w:val="left" w:pos="6804"/>
        <w:tab w:val="left" w:pos="8080"/>
      </w:tabs>
      <w:rPr>
        <w:rFonts w:cs="Arial"/>
        <w:szCs w:val="22"/>
      </w:rPr>
    </w:pPr>
    <w:r>
      <w:rPr>
        <w:rFonts w:cs="Arial"/>
        <w:szCs w:val="22"/>
        <w:lang w:val="ru"/>
      </w:rPr>
      <w:tab/>
      <w:t>Язык оригинала:</w:t>
    </w:r>
    <w:r>
      <w:rPr>
        <w:rFonts w:cs="Arial"/>
        <w:b/>
        <w:bCs/>
        <w:szCs w:val="22"/>
        <w:lang w:val="ru"/>
      </w:rPr>
      <w:t xml:space="preserve"> </w:t>
    </w:r>
    <w:r>
      <w:rPr>
        <w:rFonts w:cs="Arial"/>
        <w:szCs w:val="22"/>
        <w:lang w:val="ru"/>
      </w:rPr>
      <w:t xml:space="preserve">английский </w:t>
    </w:r>
  </w:p>
  <w:p w14:paraId="565AF84A" w14:textId="77777777" w:rsidR="000156E0" w:rsidRPr="005E544C" w:rsidRDefault="000156E0" w:rsidP="00831211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103"/>
        <w:tab w:val="left" w:pos="5760"/>
        <w:tab w:val="left" w:pos="6096"/>
        <w:tab w:val="left" w:pos="6480"/>
        <w:tab w:val="left" w:pos="6660"/>
        <w:tab w:val="left" w:pos="6804"/>
        <w:tab w:val="left" w:pos="7020"/>
        <w:tab w:val="left" w:pos="8080"/>
      </w:tabs>
      <w:rPr>
        <w:rFonts w:cs="Arial"/>
        <w:b/>
        <w:szCs w:val="22"/>
      </w:rPr>
    </w:pPr>
  </w:p>
  <w:p w14:paraId="7AF41F0C" w14:textId="77777777" w:rsidR="000156E0" w:rsidRPr="005E544C" w:rsidRDefault="000156E0" w:rsidP="000156E0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rPr>
        <w:rFonts w:cs="Arial"/>
        <w:b/>
        <w:szCs w:val="22"/>
      </w:rPr>
    </w:pPr>
  </w:p>
  <w:p w14:paraId="02580C58" w14:textId="77777777" w:rsidR="000156E0" w:rsidRPr="00010BBB" w:rsidRDefault="000156E0" w:rsidP="000156E0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/>
        <w:sz w:val="24"/>
      </w:rPr>
    </w:pPr>
    <w:r>
      <w:rPr>
        <w:noProof/>
        <w:lang w:val="ru"/>
      </w:rPr>
      <w:drawing>
        <wp:anchor distT="0" distB="0" distL="114300" distR="114300" simplePos="0" relativeHeight="251659264" behindDoc="1" locked="0" layoutInCell="1" allowOverlap="1" wp14:anchorId="66ECD9BE" wp14:editId="276A3085">
          <wp:simplePos x="0" y="0"/>
          <wp:positionH relativeFrom="column">
            <wp:posOffset>-142240</wp:posOffset>
          </wp:positionH>
          <wp:positionV relativeFrom="paragraph">
            <wp:posOffset>1270</wp:posOffset>
          </wp:positionV>
          <wp:extent cx="1714500" cy="881380"/>
          <wp:effectExtent l="0" t="0" r="0" b="0"/>
          <wp:wrapSquare wrapText="bothSides"/>
          <wp:docPr id="1" name="Image 9" descr="notext-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notext-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lang w:val="ru"/>
      </w:rPr>
      <w:t>МЕЖПРАВИТЕЛЬСТВЕННАЯ ОКЕАНОГРАФИЧЕСКАЯ КОМИССИЯ</w:t>
    </w:r>
  </w:p>
  <w:p w14:paraId="06DE3E8D" w14:textId="77777777" w:rsidR="000156E0" w:rsidRPr="003561BE" w:rsidRDefault="000156E0" w:rsidP="000156E0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/>
        <w:bCs/>
        <w:sz w:val="24"/>
      </w:rPr>
    </w:pPr>
    <w:r>
      <w:rPr>
        <w:rFonts w:cs="Arial"/>
        <w:b/>
        <w:bCs/>
        <w:sz w:val="24"/>
        <w:lang w:val="ru"/>
      </w:rPr>
      <w:t>(ЮНЕСКО)</w:t>
    </w:r>
  </w:p>
  <w:p w14:paraId="17124BA5" w14:textId="77777777" w:rsidR="000156E0" w:rsidRPr="005E544C" w:rsidRDefault="000156E0" w:rsidP="000156E0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/>
        <w:szCs w:val="22"/>
      </w:rPr>
    </w:pPr>
  </w:p>
  <w:p w14:paraId="33ECA7B0" w14:textId="77777777" w:rsidR="000156E0" w:rsidRPr="00010BBB" w:rsidRDefault="000156E0" w:rsidP="000156E0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/>
        <w:sz w:val="24"/>
      </w:rPr>
    </w:pPr>
  </w:p>
  <w:p w14:paraId="18E9E2B8" w14:textId="5E2D9BC1" w:rsidR="000156E0" w:rsidRPr="00BF254D" w:rsidRDefault="000156E0" w:rsidP="000156E0">
    <w:pPr>
      <w:tabs>
        <w:tab w:val="left" w:pos="-1440"/>
        <w:tab w:val="left" w:pos="-720"/>
        <w:tab w:val="left" w:pos="720"/>
        <w:tab w:val="left" w:pos="1420"/>
        <w:tab w:val="left" w:pos="2160"/>
        <w:tab w:val="left" w:pos="3600"/>
        <w:tab w:val="left" w:pos="4320"/>
        <w:tab w:val="center" w:pos="4677"/>
        <w:tab w:val="left" w:pos="5040"/>
        <w:tab w:val="left" w:pos="5523"/>
        <w:tab w:val="left" w:pos="6480"/>
      </w:tabs>
      <w:ind w:left="2772"/>
      <w:rPr>
        <w:rFonts w:cs="Arial"/>
        <w:b/>
      </w:rPr>
    </w:pPr>
    <w:r>
      <w:rPr>
        <w:rFonts w:cs="Arial"/>
        <w:b/>
        <w:bCs/>
        <w:lang w:val="ru"/>
      </w:rPr>
      <w:t>Тридцать первая сессия Ассамблеи</w:t>
    </w:r>
  </w:p>
  <w:p w14:paraId="5FAB6B85" w14:textId="17F8198D" w:rsidR="000156E0" w:rsidRDefault="000156E0" w:rsidP="000156E0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Cs/>
      </w:rPr>
    </w:pPr>
    <w:r>
      <w:rPr>
        <w:rFonts w:cs="Arial"/>
        <w:lang w:val="ru"/>
      </w:rPr>
      <w:t>ЮНЕСКО, 14–25 июня 2021 года (в режиме онлайн)</w:t>
    </w:r>
  </w:p>
  <w:p w14:paraId="4E48B820" w14:textId="77777777" w:rsidR="000156E0" w:rsidRPr="005E544C" w:rsidRDefault="000156E0" w:rsidP="000156E0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Cs/>
        <w:szCs w:val="22"/>
      </w:rPr>
    </w:pPr>
  </w:p>
  <w:p w14:paraId="56CC8DDF" w14:textId="77777777" w:rsidR="000156E0" w:rsidRPr="005E544C" w:rsidRDefault="000156E0" w:rsidP="000156E0">
    <w:pPr>
      <w:jc w:val="center"/>
      <w:rPr>
        <w:rFonts w:cs="Arial"/>
        <w:szCs w:val="22"/>
      </w:rPr>
    </w:pPr>
  </w:p>
  <w:p w14:paraId="006B9396" w14:textId="77777777" w:rsidR="000156E0" w:rsidRDefault="000156E0" w:rsidP="000156E0">
    <w:pPr>
      <w:jc w:val="center"/>
      <w:rPr>
        <w:rFonts w:cs="Arial"/>
        <w:szCs w:val="22"/>
      </w:rPr>
    </w:pPr>
  </w:p>
  <w:p w14:paraId="3A09805D" w14:textId="77777777" w:rsidR="000156E0" w:rsidRDefault="000156E0" w:rsidP="000156E0">
    <w:pPr>
      <w:jc w:val="center"/>
      <w:rPr>
        <w:rFonts w:cs="Arial"/>
        <w:szCs w:val="22"/>
      </w:rPr>
    </w:pPr>
  </w:p>
  <w:p w14:paraId="198E4356" w14:textId="77777777" w:rsidR="000156E0" w:rsidRDefault="000156E0" w:rsidP="000156E0">
    <w:pPr>
      <w:jc w:val="center"/>
      <w:rPr>
        <w:rFonts w:cs="Arial"/>
        <w:szCs w:val="22"/>
      </w:rPr>
    </w:pPr>
  </w:p>
  <w:p w14:paraId="01B9E721" w14:textId="77777777" w:rsidR="000156E0" w:rsidRPr="005E544C" w:rsidRDefault="000156E0" w:rsidP="000156E0">
    <w:pPr>
      <w:jc w:val="center"/>
      <w:rPr>
        <w:rFonts w:cs="Arial"/>
        <w:szCs w:val="22"/>
      </w:rPr>
    </w:pPr>
  </w:p>
  <w:p w14:paraId="53E488E5" w14:textId="77777777" w:rsidR="000156E0" w:rsidRPr="005E544C" w:rsidRDefault="000156E0" w:rsidP="000156E0">
    <w:pPr>
      <w:jc w:val="center"/>
      <w:rPr>
        <w:rFonts w:cs="Arial"/>
        <w:szCs w:val="22"/>
      </w:rPr>
    </w:pPr>
  </w:p>
  <w:p w14:paraId="0164A3F9" w14:textId="1EFDE30E" w:rsidR="000156E0" w:rsidRPr="00831211" w:rsidRDefault="000156E0" w:rsidP="001370E4">
    <w:pPr>
      <w:pStyle w:val="Heading7"/>
      <w:tabs>
        <w:tab w:val="left" w:pos="6915"/>
      </w:tabs>
      <w:spacing w:line="240" w:lineRule="auto"/>
      <w:rPr>
        <w:rFonts w:cs="Arial"/>
        <w:sz w:val="24"/>
        <w:u w:val="none"/>
      </w:rPr>
    </w:pPr>
    <w:r>
      <w:rPr>
        <w:rFonts w:cs="Arial"/>
        <w:sz w:val="24"/>
        <w:u w:val="none"/>
        <w:lang w:val="ru"/>
      </w:rPr>
      <w:t xml:space="preserve">Пункт </w:t>
    </w:r>
    <w:r>
      <w:rPr>
        <w:rFonts w:cs="Arial"/>
        <w:b/>
        <w:bCs/>
        <w:sz w:val="24"/>
        <w:u w:val="none"/>
        <w:lang w:val="ru"/>
      </w:rPr>
      <w:t>3.6</w:t>
    </w:r>
    <w:r>
      <w:rPr>
        <w:rFonts w:cs="Arial"/>
        <w:sz w:val="24"/>
        <w:u w:val="none"/>
        <w:lang w:val="ru"/>
      </w:rPr>
      <w:t xml:space="preserve"> предварительной повестки дня</w:t>
    </w:r>
    <w:r>
      <w:rPr>
        <w:rFonts w:cs="Arial"/>
        <w:sz w:val="24"/>
        <w:u w:val="none"/>
        <w:lang w:val="ru"/>
      </w:rPr>
      <w:tab/>
    </w:r>
  </w:p>
  <w:p w14:paraId="0CF3255B" w14:textId="77777777" w:rsidR="000156E0" w:rsidRPr="005E544C" w:rsidRDefault="000156E0" w:rsidP="000156E0">
    <w:pPr>
      <w:rPr>
        <w:rFonts w:cs="Arial"/>
        <w:szCs w:val="22"/>
      </w:rPr>
    </w:pPr>
  </w:p>
  <w:p w14:paraId="1E581F27" w14:textId="77777777" w:rsidR="00441140" w:rsidRPr="005E544C" w:rsidRDefault="00441140" w:rsidP="00DF2FB9">
    <w:pPr>
      <w:rPr>
        <w:rFonts w:cs="Arial"/>
        <w:szCs w:val="22"/>
      </w:rPr>
    </w:pPr>
  </w:p>
  <w:p w14:paraId="35AFDEFB" w14:textId="764BC0CA" w:rsidR="00441140" w:rsidRPr="001370E4" w:rsidRDefault="00515584" w:rsidP="00515584">
    <w:pPr>
      <w:pStyle w:val="Docheading"/>
      <w:spacing w:after="0"/>
      <w:rPr>
        <w:color w:val="000000"/>
        <w:sz w:val="22"/>
        <w:szCs w:val="22"/>
      </w:rPr>
    </w:pPr>
    <w:r>
      <w:rPr>
        <w:color w:val="000000"/>
        <w:sz w:val="22"/>
        <w:szCs w:val="22"/>
        <w:lang w:val="ru"/>
      </w:rPr>
      <w:t xml:space="preserve">Доклад о деятельности МОК (2020–2021 гг.) </w:t>
    </w:r>
    <w:r>
      <w:rPr>
        <w:b w:val="0"/>
        <w:bCs w:val="0"/>
        <w:color w:val="000000"/>
        <w:sz w:val="22"/>
        <w:szCs w:val="22"/>
        <w:lang w:val="ru"/>
      </w:rPr>
      <w:br/>
    </w:r>
    <w:r>
      <w:rPr>
        <w:color w:val="000000"/>
        <w:sz w:val="22"/>
        <w:szCs w:val="22"/>
        <w:lang w:val="ru"/>
      </w:rPr>
      <w:t>для сорок первой Генеральной конференции ЮНЕСКО</w:t>
    </w:r>
  </w:p>
  <w:p w14:paraId="370A056C" w14:textId="77777777" w:rsidR="00441140" w:rsidRPr="00515584" w:rsidRDefault="00441140" w:rsidP="00DF2FB9">
    <w:pPr>
      <w:pStyle w:val="Header"/>
      <w:rPr>
        <w:rFonts w:cs="Arial"/>
        <w:b/>
        <w:szCs w:val="22"/>
      </w:rPr>
    </w:pPr>
  </w:p>
  <w:p w14:paraId="167EC998" w14:textId="77777777" w:rsidR="00441140" w:rsidRPr="005E544C" w:rsidRDefault="00441140">
    <w:pPr>
      <w:pStyle w:val="Header"/>
      <w:rPr>
        <w:rFonts w:cs="Arial"/>
        <w:szCs w:val="2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7CCD8" w14:textId="3B4BFFA4" w:rsidR="00441140" w:rsidRPr="006842FA" w:rsidRDefault="00242324" w:rsidP="00746B89">
    <w:pPr>
      <w:pStyle w:val="Header"/>
      <w:tabs>
        <w:tab w:val="clear" w:pos="8306"/>
      </w:tabs>
      <w:rPr>
        <w:rFonts w:cs="Arial"/>
        <w:sz w:val="20"/>
        <w:szCs w:val="20"/>
      </w:rPr>
    </w:pPr>
    <w:r>
      <w:rPr>
        <w:rFonts w:cs="Arial"/>
        <w:sz w:val="20"/>
        <w:szCs w:val="20"/>
        <w:lang w:val="ru"/>
      </w:rPr>
      <w:t>IOC/A-31/3.6.Doc</w:t>
    </w:r>
  </w:p>
  <w:p w14:paraId="2D1A695D" w14:textId="50ED381E" w:rsidR="00441140" w:rsidRPr="006842FA" w:rsidRDefault="00441140" w:rsidP="00746B89">
    <w:pPr>
      <w:pStyle w:val="Header"/>
      <w:tabs>
        <w:tab w:val="clear" w:pos="8306"/>
      </w:tabs>
      <w:rPr>
        <w:rFonts w:cs="Arial"/>
        <w:sz w:val="20"/>
        <w:szCs w:val="20"/>
      </w:rPr>
    </w:pPr>
    <w:r>
      <w:rPr>
        <w:rFonts w:cs="Arial"/>
        <w:sz w:val="20"/>
        <w:szCs w:val="20"/>
        <w:lang w:val="ru"/>
      </w:rPr>
      <w:t>стр. </w:t>
    </w:r>
    <w:r>
      <w:rPr>
        <w:rStyle w:val="PageNumber"/>
        <w:rFonts w:cs="Arial"/>
        <w:sz w:val="20"/>
        <w:szCs w:val="20"/>
        <w:lang w:val="ru"/>
      </w:rPr>
      <w:fldChar w:fldCharType="begin"/>
    </w:r>
    <w:r>
      <w:rPr>
        <w:rStyle w:val="PageNumber"/>
        <w:rFonts w:cs="Arial"/>
        <w:sz w:val="20"/>
        <w:szCs w:val="20"/>
        <w:lang w:val="ru"/>
      </w:rPr>
      <w:instrText xml:space="preserve"> PAGE </w:instrText>
    </w:r>
    <w:r>
      <w:rPr>
        <w:rStyle w:val="PageNumber"/>
        <w:rFonts w:cs="Arial"/>
        <w:sz w:val="20"/>
        <w:szCs w:val="20"/>
        <w:lang w:val="ru"/>
      </w:rPr>
      <w:fldChar w:fldCharType="separate"/>
    </w:r>
    <w:r>
      <w:rPr>
        <w:rStyle w:val="PageNumber"/>
        <w:rFonts w:cs="Arial"/>
        <w:noProof/>
        <w:sz w:val="20"/>
        <w:szCs w:val="20"/>
        <w:lang w:val="ru"/>
      </w:rPr>
      <w:t>4</w:t>
    </w:r>
    <w:r>
      <w:rPr>
        <w:rStyle w:val="PageNumber"/>
        <w:rFonts w:cs="Arial"/>
        <w:sz w:val="20"/>
        <w:szCs w:val="20"/>
        <w:lang w:val="ru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4B358" w14:textId="6FE03567" w:rsidR="0037249C" w:rsidRPr="006842FA" w:rsidRDefault="00EA6689" w:rsidP="00831211">
    <w:pPr>
      <w:pStyle w:val="Header"/>
      <w:tabs>
        <w:tab w:val="clear" w:pos="8306"/>
      </w:tabs>
      <w:ind w:firstLine="7797"/>
      <w:rPr>
        <w:rFonts w:cs="Arial"/>
        <w:sz w:val="20"/>
        <w:szCs w:val="20"/>
      </w:rPr>
    </w:pPr>
    <w:r>
      <w:rPr>
        <w:rFonts w:cs="Arial"/>
        <w:sz w:val="20"/>
        <w:szCs w:val="20"/>
        <w:lang w:val="ru"/>
      </w:rPr>
      <w:t>IOC/A-31/3.6.Doc</w:t>
    </w:r>
  </w:p>
  <w:p w14:paraId="4390F2C3" w14:textId="0773707A" w:rsidR="0037249C" w:rsidRPr="006842FA" w:rsidRDefault="006F0C64" w:rsidP="00831211">
    <w:pPr>
      <w:pStyle w:val="Header"/>
      <w:tabs>
        <w:tab w:val="clear" w:pos="8306"/>
      </w:tabs>
      <w:ind w:firstLine="7797"/>
      <w:rPr>
        <w:rFonts w:cs="Arial"/>
        <w:sz w:val="20"/>
        <w:szCs w:val="20"/>
      </w:rPr>
    </w:pPr>
    <w:r>
      <w:rPr>
        <w:rFonts w:cs="Arial"/>
        <w:sz w:val="20"/>
        <w:szCs w:val="20"/>
        <w:lang w:val="ru"/>
      </w:rPr>
      <w:t>страница </w:t>
    </w:r>
    <w:r>
      <w:rPr>
        <w:rStyle w:val="PageNumber"/>
        <w:rFonts w:cs="Arial"/>
        <w:sz w:val="20"/>
        <w:szCs w:val="20"/>
        <w:lang w:val="ru"/>
      </w:rPr>
      <w:fldChar w:fldCharType="begin"/>
    </w:r>
    <w:r>
      <w:rPr>
        <w:rStyle w:val="PageNumber"/>
        <w:rFonts w:cs="Arial"/>
        <w:sz w:val="20"/>
        <w:szCs w:val="20"/>
        <w:lang w:val="ru"/>
      </w:rPr>
      <w:instrText xml:space="preserve"> PAGE </w:instrText>
    </w:r>
    <w:r>
      <w:rPr>
        <w:rStyle w:val="PageNumber"/>
        <w:rFonts w:cs="Arial"/>
        <w:sz w:val="20"/>
        <w:szCs w:val="20"/>
        <w:lang w:val="ru"/>
      </w:rPr>
      <w:fldChar w:fldCharType="separate"/>
    </w:r>
    <w:r>
      <w:rPr>
        <w:rStyle w:val="PageNumber"/>
        <w:rFonts w:cs="Arial"/>
        <w:noProof/>
        <w:sz w:val="20"/>
        <w:szCs w:val="20"/>
        <w:lang w:val="ru"/>
      </w:rPr>
      <w:t>3</w:t>
    </w:r>
    <w:r>
      <w:rPr>
        <w:rStyle w:val="PageNumber"/>
        <w:rFonts w:cs="Arial"/>
        <w:sz w:val="20"/>
        <w:szCs w:val="20"/>
        <w:lang w:val="ru"/>
      </w:rPr>
      <w:fldChar w:fldCharType="end"/>
    </w:r>
  </w:p>
  <w:p w14:paraId="6AAB52E1" w14:textId="77777777" w:rsidR="00441140" w:rsidRPr="00424DE6" w:rsidRDefault="00441140" w:rsidP="00637672">
    <w:pPr>
      <w:pStyle w:val="Header"/>
      <w:ind w:left="8364"/>
      <w:rPr>
        <w:rFonts w:cs="Arial"/>
        <w:szCs w:val="2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75F5D" w14:textId="1634947A" w:rsidR="00441140" w:rsidRDefault="00242324" w:rsidP="00831211">
    <w:pPr>
      <w:pStyle w:val="Header"/>
      <w:tabs>
        <w:tab w:val="clear" w:pos="8306"/>
      </w:tabs>
      <w:ind w:right="400"/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  <w:lang w:val="ru"/>
      </w:rPr>
      <w:t>IOC/A-31/3.6.Doc</w:t>
    </w:r>
  </w:p>
  <w:p w14:paraId="2BFAF427" w14:textId="2CF2E322" w:rsidR="00307660" w:rsidRPr="006842FA" w:rsidRDefault="004827E4" w:rsidP="00831211">
    <w:pPr>
      <w:pStyle w:val="Header"/>
      <w:ind w:left="7655"/>
      <w:rPr>
        <w:rFonts w:cs="Arial"/>
        <w:sz w:val="20"/>
        <w:szCs w:val="20"/>
      </w:rPr>
    </w:pPr>
    <w:r>
      <w:rPr>
        <w:rFonts w:cs="Arial"/>
        <w:sz w:val="20"/>
        <w:szCs w:val="20"/>
        <w:lang w:val="ru"/>
      </w:rPr>
      <w:t>страница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007E48FC"/>
    <w:lvl w:ilvl="0">
      <w:start w:val="1"/>
      <w:numFmt w:val="lowerRoman"/>
      <w:pStyle w:val="Listnumbered"/>
      <w:lvlText w:val="(%1)"/>
      <w:lvlJc w:val="left"/>
      <w:pPr>
        <w:tabs>
          <w:tab w:val="num" w:pos="1021"/>
        </w:tabs>
        <w:ind w:left="1021" w:hanging="454"/>
      </w:pPr>
      <w:rPr>
        <w:rFonts w:hint="default"/>
      </w:rPr>
    </w:lvl>
  </w:abstractNum>
  <w:abstractNum w:abstractNumId="1" w15:restartNumberingAfterBreak="0">
    <w:nsid w:val="0CF263AC"/>
    <w:multiLevelType w:val="hybridMultilevel"/>
    <w:tmpl w:val="2506A2EE"/>
    <w:lvl w:ilvl="0" w:tplc="5410399A">
      <w:start w:val="1"/>
      <w:numFmt w:val="bullet"/>
      <w:pStyle w:val="ListBullet2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52973"/>
    <w:multiLevelType w:val="hybridMultilevel"/>
    <w:tmpl w:val="B5FC1906"/>
    <w:lvl w:ilvl="0" w:tplc="C362FA30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B1C9C"/>
    <w:multiLevelType w:val="hybridMultilevel"/>
    <w:tmpl w:val="23A85EFA"/>
    <w:lvl w:ilvl="0" w:tplc="CFBCE88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4" w15:restartNumberingAfterBreak="0">
    <w:nsid w:val="108B5D50"/>
    <w:multiLevelType w:val="hybridMultilevel"/>
    <w:tmpl w:val="72964D36"/>
    <w:lvl w:ilvl="0" w:tplc="6B565D42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B39E8"/>
    <w:multiLevelType w:val="hybridMultilevel"/>
    <w:tmpl w:val="62E8B2BC"/>
    <w:lvl w:ilvl="0" w:tplc="C0DC364A">
      <w:start w:val="1"/>
      <w:numFmt w:val="lowerRoman"/>
      <w:lvlText w:val="(%1)"/>
      <w:lvlJc w:val="left"/>
      <w:pPr>
        <w:ind w:left="1069" w:hanging="360"/>
      </w:pPr>
      <w:rPr>
        <w:rFonts w:hint="default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4513F4"/>
    <w:multiLevelType w:val="hybridMultilevel"/>
    <w:tmpl w:val="C7FA78FE"/>
    <w:lvl w:ilvl="0" w:tplc="280A53C2">
      <w:start w:val="1"/>
      <w:numFmt w:val="decimal"/>
      <w:lvlText w:val="%1."/>
      <w:lvlJc w:val="left"/>
      <w:pPr>
        <w:ind w:left="79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18" w:hanging="360"/>
      </w:pPr>
    </w:lvl>
    <w:lvl w:ilvl="2" w:tplc="040C001B" w:tentative="1">
      <w:start w:val="1"/>
      <w:numFmt w:val="lowerRoman"/>
      <w:lvlText w:val="%3."/>
      <w:lvlJc w:val="right"/>
      <w:pPr>
        <w:ind w:left="2238" w:hanging="180"/>
      </w:pPr>
    </w:lvl>
    <w:lvl w:ilvl="3" w:tplc="040C000F" w:tentative="1">
      <w:start w:val="1"/>
      <w:numFmt w:val="decimal"/>
      <w:lvlText w:val="%4."/>
      <w:lvlJc w:val="left"/>
      <w:pPr>
        <w:ind w:left="2958" w:hanging="360"/>
      </w:pPr>
    </w:lvl>
    <w:lvl w:ilvl="4" w:tplc="040C0019" w:tentative="1">
      <w:start w:val="1"/>
      <w:numFmt w:val="lowerLetter"/>
      <w:lvlText w:val="%5."/>
      <w:lvlJc w:val="left"/>
      <w:pPr>
        <w:ind w:left="3678" w:hanging="360"/>
      </w:pPr>
    </w:lvl>
    <w:lvl w:ilvl="5" w:tplc="040C001B" w:tentative="1">
      <w:start w:val="1"/>
      <w:numFmt w:val="lowerRoman"/>
      <w:lvlText w:val="%6."/>
      <w:lvlJc w:val="right"/>
      <w:pPr>
        <w:ind w:left="4398" w:hanging="180"/>
      </w:pPr>
    </w:lvl>
    <w:lvl w:ilvl="6" w:tplc="040C000F" w:tentative="1">
      <w:start w:val="1"/>
      <w:numFmt w:val="decimal"/>
      <w:lvlText w:val="%7."/>
      <w:lvlJc w:val="left"/>
      <w:pPr>
        <w:ind w:left="5118" w:hanging="360"/>
      </w:pPr>
    </w:lvl>
    <w:lvl w:ilvl="7" w:tplc="040C0019" w:tentative="1">
      <w:start w:val="1"/>
      <w:numFmt w:val="lowerLetter"/>
      <w:lvlText w:val="%8."/>
      <w:lvlJc w:val="left"/>
      <w:pPr>
        <w:ind w:left="5838" w:hanging="360"/>
      </w:pPr>
    </w:lvl>
    <w:lvl w:ilvl="8" w:tplc="040C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7" w15:restartNumberingAfterBreak="0">
    <w:nsid w:val="30CC4714"/>
    <w:multiLevelType w:val="multilevel"/>
    <w:tmpl w:val="3F98F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9" w15:restartNumberingAfterBreak="0">
    <w:nsid w:val="33D06747"/>
    <w:multiLevelType w:val="hybridMultilevel"/>
    <w:tmpl w:val="C4847498"/>
    <w:lvl w:ilvl="0" w:tplc="35405A98">
      <w:start w:val="5"/>
      <w:numFmt w:val="bullet"/>
      <w:lvlText w:val="-"/>
      <w:lvlJc w:val="left"/>
      <w:pPr>
        <w:ind w:left="1086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0" w15:restartNumberingAfterBreak="0">
    <w:nsid w:val="376F6CF5"/>
    <w:multiLevelType w:val="multilevel"/>
    <w:tmpl w:val="66C8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ED7D0D"/>
    <w:multiLevelType w:val="multilevel"/>
    <w:tmpl w:val="5B40FBF6"/>
    <w:lvl w:ilvl="0">
      <w:start w:val="1"/>
      <w:numFmt w:val="decimal"/>
      <w:lvlText w:val="%1"/>
      <w:lvlJc w:val="left"/>
      <w:pPr>
        <w:tabs>
          <w:tab w:val="num" w:pos="720"/>
        </w:tabs>
        <w:ind w:left="0" w:firstLine="709"/>
      </w:pPr>
      <w:rPr>
        <w:b w:val="0"/>
        <w:i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16202C"/>
    <w:multiLevelType w:val="hybridMultilevel"/>
    <w:tmpl w:val="5C465BE8"/>
    <w:lvl w:ilvl="0" w:tplc="6B842CB8">
      <w:start w:val="1"/>
      <w:numFmt w:val="upperLetter"/>
      <w:lvlText w:val="%1."/>
      <w:lvlJc w:val="left"/>
      <w:pPr>
        <w:ind w:left="644" w:hanging="360"/>
      </w:pPr>
      <w:rPr>
        <w:rFonts w:ascii="Arial" w:eastAsia="Arial Unicode MS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204C64"/>
    <w:multiLevelType w:val="hybridMultilevel"/>
    <w:tmpl w:val="56C4212A"/>
    <w:lvl w:ilvl="0" w:tplc="AB30E35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C768C1"/>
    <w:multiLevelType w:val="hybridMultilevel"/>
    <w:tmpl w:val="D3E809BA"/>
    <w:lvl w:ilvl="0" w:tplc="82E65492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71307C"/>
    <w:multiLevelType w:val="hybridMultilevel"/>
    <w:tmpl w:val="800A9C98"/>
    <w:lvl w:ilvl="0" w:tplc="E538536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1432EB"/>
    <w:multiLevelType w:val="hybridMultilevel"/>
    <w:tmpl w:val="5F0E0364"/>
    <w:lvl w:ilvl="0" w:tplc="9574300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F256B"/>
    <w:multiLevelType w:val="multilevel"/>
    <w:tmpl w:val="A8647B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744B35C5"/>
    <w:multiLevelType w:val="hybridMultilevel"/>
    <w:tmpl w:val="256E4662"/>
    <w:lvl w:ilvl="0" w:tplc="1AA6A19C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A87526"/>
    <w:multiLevelType w:val="multilevel"/>
    <w:tmpl w:val="023A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776214"/>
    <w:multiLevelType w:val="multilevel"/>
    <w:tmpl w:val="5ECAF156"/>
    <w:lvl w:ilvl="0">
      <w:start w:val="1"/>
      <w:numFmt w:val="decimal"/>
      <w:lvlText w:val="%1."/>
      <w:lvlJc w:val="left"/>
      <w:pPr>
        <w:ind w:left="438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90" w:hanging="1584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0"/>
  </w:num>
  <w:num w:numId="4">
    <w:abstractNumId w:val="1"/>
  </w:num>
  <w:num w:numId="5">
    <w:abstractNumId w:val="3"/>
  </w:num>
  <w:num w:numId="6">
    <w:abstractNumId w:val="13"/>
  </w:num>
  <w:num w:numId="7">
    <w:abstractNumId w:val="13"/>
  </w:num>
  <w:num w:numId="8">
    <w:abstractNumId w:val="19"/>
  </w:num>
  <w:num w:numId="9">
    <w:abstractNumId w:val="10"/>
  </w:num>
  <w:num w:numId="10">
    <w:abstractNumId w:val="7"/>
  </w:num>
  <w:num w:numId="11">
    <w:abstractNumId w:val="16"/>
  </w:num>
  <w:num w:numId="12">
    <w:abstractNumId w:val="17"/>
  </w:num>
  <w:num w:numId="13">
    <w:abstractNumId w:val="15"/>
  </w:num>
  <w:num w:numId="14">
    <w:abstractNumId w:val="12"/>
  </w:num>
  <w:num w:numId="15">
    <w:abstractNumId w:val="20"/>
  </w:num>
  <w:num w:numId="16">
    <w:abstractNumId w:val="9"/>
  </w:num>
  <w:num w:numId="17">
    <w:abstractNumId w:val="5"/>
  </w:num>
  <w:num w:numId="18">
    <w:abstractNumId w:val="14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3"/>
    <w:lvlOverride w:ilvl="0">
      <w:startOverride w:val="1"/>
    </w:lvlOverride>
  </w:num>
  <w:num w:numId="22">
    <w:abstractNumId w:val="13"/>
  </w:num>
  <w:num w:numId="23">
    <w:abstractNumId w:val="13"/>
  </w:num>
  <w:num w:numId="24">
    <w:abstractNumId w:val="6"/>
  </w:num>
  <w:num w:numId="25">
    <w:abstractNumId w:val="18"/>
  </w:num>
  <w:num w:numId="26">
    <w:abstractNumId w:val="13"/>
  </w:num>
  <w:num w:numId="2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6AC"/>
    <w:rsid w:val="000021BC"/>
    <w:rsid w:val="00010BBB"/>
    <w:rsid w:val="000156E0"/>
    <w:rsid w:val="00020AA1"/>
    <w:rsid w:val="00040227"/>
    <w:rsid w:val="00062051"/>
    <w:rsid w:val="00076BD8"/>
    <w:rsid w:val="00085D6A"/>
    <w:rsid w:val="00085D85"/>
    <w:rsid w:val="000B276A"/>
    <w:rsid w:val="000B693C"/>
    <w:rsid w:val="000C2EE5"/>
    <w:rsid w:val="000C61A0"/>
    <w:rsid w:val="000C6E08"/>
    <w:rsid w:val="000D16AC"/>
    <w:rsid w:val="000D5B8F"/>
    <w:rsid w:val="000E3E1A"/>
    <w:rsid w:val="000F0254"/>
    <w:rsid w:val="001156AE"/>
    <w:rsid w:val="00123719"/>
    <w:rsid w:val="001241D7"/>
    <w:rsid w:val="0012479D"/>
    <w:rsid w:val="001370E4"/>
    <w:rsid w:val="00137E97"/>
    <w:rsid w:val="001448C4"/>
    <w:rsid w:val="00152A1B"/>
    <w:rsid w:val="00155BA3"/>
    <w:rsid w:val="00163192"/>
    <w:rsid w:val="00166397"/>
    <w:rsid w:val="00167158"/>
    <w:rsid w:val="001732BA"/>
    <w:rsid w:val="001877F5"/>
    <w:rsid w:val="00196052"/>
    <w:rsid w:val="00196F31"/>
    <w:rsid w:val="001A037F"/>
    <w:rsid w:val="001A58AE"/>
    <w:rsid w:val="001A63A0"/>
    <w:rsid w:val="001B3B24"/>
    <w:rsid w:val="001C21FC"/>
    <w:rsid w:val="001C2C69"/>
    <w:rsid w:val="001C6455"/>
    <w:rsid w:val="001D27FC"/>
    <w:rsid w:val="001D75DB"/>
    <w:rsid w:val="00203217"/>
    <w:rsid w:val="00223053"/>
    <w:rsid w:val="00242324"/>
    <w:rsid w:val="002579C2"/>
    <w:rsid w:val="002652F9"/>
    <w:rsid w:val="002A19EF"/>
    <w:rsid w:val="002B282C"/>
    <w:rsid w:val="002B7A48"/>
    <w:rsid w:val="002C7DE3"/>
    <w:rsid w:val="002D441C"/>
    <w:rsid w:val="002D52FA"/>
    <w:rsid w:val="002E0859"/>
    <w:rsid w:val="002E6768"/>
    <w:rsid w:val="00305778"/>
    <w:rsid w:val="00307660"/>
    <w:rsid w:val="003178E9"/>
    <w:rsid w:val="00317E5D"/>
    <w:rsid w:val="003404ED"/>
    <w:rsid w:val="0034156B"/>
    <w:rsid w:val="00347E19"/>
    <w:rsid w:val="0037184C"/>
    <w:rsid w:val="0037249C"/>
    <w:rsid w:val="0038059E"/>
    <w:rsid w:val="003805F5"/>
    <w:rsid w:val="003A7860"/>
    <w:rsid w:val="003D3711"/>
    <w:rsid w:val="003F7186"/>
    <w:rsid w:val="00413F17"/>
    <w:rsid w:val="00424DE6"/>
    <w:rsid w:val="0043609D"/>
    <w:rsid w:val="00441140"/>
    <w:rsid w:val="00451B96"/>
    <w:rsid w:val="004529B8"/>
    <w:rsid w:val="00467E3F"/>
    <w:rsid w:val="004827E4"/>
    <w:rsid w:val="0048449B"/>
    <w:rsid w:val="00497E20"/>
    <w:rsid w:val="004A135F"/>
    <w:rsid w:val="004A5784"/>
    <w:rsid w:val="004B4ECA"/>
    <w:rsid w:val="004C1625"/>
    <w:rsid w:val="004E0B15"/>
    <w:rsid w:val="004F7D6C"/>
    <w:rsid w:val="0050245B"/>
    <w:rsid w:val="00515584"/>
    <w:rsid w:val="00525395"/>
    <w:rsid w:val="005407B6"/>
    <w:rsid w:val="00547068"/>
    <w:rsid w:val="00587137"/>
    <w:rsid w:val="005B2FDF"/>
    <w:rsid w:val="005B57CA"/>
    <w:rsid w:val="005B5B97"/>
    <w:rsid w:val="005C7A36"/>
    <w:rsid w:val="005C7D76"/>
    <w:rsid w:val="005D0ADD"/>
    <w:rsid w:val="005E1C99"/>
    <w:rsid w:val="005E544C"/>
    <w:rsid w:val="005E6889"/>
    <w:rsid w:val="005F4D23"/>
    <w:rsid w:val="006110DA"/>
    <w:rsid w:val="0062678D"/>
    <w:rsid w:val="006308BD"/>
    <w:rsid w:val="00633EA5"/>
    <w:rsid w:val="00637672"/>
    <w:rsid w:val="00676F33"/>
    <w:rsid w:val="0068128E"/>
    <w:rsid w:val="006842FA"/>
    <w:rsid w:val="0068682C"/>
    <w:rsid w:val="00690A0C"/>
    <w:rsid w:val="00690FD2"/>
    <w:rsid w:val="00693199"/>
    <w:rsid w:val="00696079"/>
    <w:rsid w:val="006A761F"/>
    <w:rsid w:val="006B2FDD"/>
    <w:rsid w:val="006B4B95"/>
    <w:rsid w:val="006B59E2"/>
    <w:rsid w:val="006C18D9"/>
    <w:rsid w:val="006C1BDA"/>
    <w:rsid w:val="006C6449"/>
    <w:rsid w:val="006D3998"/>
    <w:rsid w:val="006E1454"/>
    <w:rsid w:val="006E3870"/>
    <w:rsid w:val="006E692F"/>
    <w:rsid w:val="006E7073"/>
    <w:rsid w:val="006F0C64"/>
    <w:rsid w:val="006F1F38"/>
    <w:rsid w:val="00735830"/>
    <w:rsid w:val="00737A18"/>
    <w:rsid w:val="00746B89"/>
    <w:rsid w:val="007471D6"/>
    <w:rsid w:val="00762C36"/>
    <w:rsid w:val="00785386"/>
    <w:rsid w:val="0079212B"/>
    <w:rsid w:val="007C1458"/>
    <w:rsid w:val="007E4F92"/>
    <w:rsid w:val="008048D2"/>
    <w:rsid w:val="00806C60"/>
    <w:rsid w:val="008302D7"/>
    <w:rsid w:val="00831211"/>
    <w:rsid w:val="00850CB1"/>
    <w:rsid w:val="00853565"/>
    <w:rsid w:val="00870CE7"/>
    <w:rsid w:val="008754BE"/>
    <w:rsid w:val="008849F0"/>
    <w:rsid w:val="0089077E"/>
    <w:rsid w:val="00891331"/>
    <w:rsid w:val="00893AD3"/>
    <w:rsid w:val="0089563B"/>
    <w:rsid w:val="008A6E5C"/>
    <w:rsid w:val="008B2DC6"/>
    <w:rsid w:val="008B384B"/>
    <w:rsid w:val="008B4705"/>
    <w:rsid w:val="008D2398"/>
    <w:rsid w:val="008E3DD1"/>
    <w:rsid w:val="008F0FBC"/>
    <w:rsid w:val="008F6942"/>
    <w:rsid w:val="009026D3"/>
    <w:rsid w:val="00937EF7"/>
    <w:rsid w:val="00952863"/>
    <w:rsid w:val="00961211"/>
    <w:rsid w:val="00966A0F"/>
    <w:rsid w:val="00980050"/>
    <w:rsid w:val="00980B08"/>
    <w:rsid w:val="00987BBD"/>
    <w:rsid w:val="00993CA4"/>
    <w:rsid w:val="009A62A9"/>
    <w:rsid w:val="009B63AB"/>
    <w:rsid w:val="009C0A89"/>
    <w:rsid w:val="009C13EF"/>
    <w:rsid w:val="009C15B1"/>
    <w:rsid w:val="009E6A03"/>
    <w:rsid w:val="009E78BB"/>
    <w:rsid w:val="009F2FC0"/>
    <w:rsid w:val="009F7769"/>
    <w:rsid w:val="00A11697"/>
    <w:rsid w:val="00A14093"/>
    <w:rsid w:val="00A203FC"/>
    <w:rsid w:val="00A25BC8"/>
    <w:rsid w:val="00A43E9C"/>
    <w:rsid w:val="00A67718"/>
    <w:rsid w:val="00A92572"/>
    <w:rsid w:val="00A92893"/>
    <w:rsid w:val="00A931AA"/>
    <w:rsid w:val="00AA2B13"/>
    <w:rsid w:val="00AC6BA4"/>
    <w:rsid w:val="00AD3D55"/>
    <w:rsid w:val="00AD494A"/>
    <w:rsid w:val="00B042BC"/>
    <w:rsid w:val="00B06427"/>
    <w:rsid w:val="00B55C66"/>
    <w:rsid w:val="00B722DE"/>
    <w:rsid w:val="00B818D2"/>
    <w:rsid w:val="00B83068"/>
    <w:rsid w:val="00B838FB"/>
    <w:rsid w:val="00BA76D9"/>
    <w:rsid w:val="00BB5D00"/>
    <w:rsid w:val="00BD6603"/>
    <w:rsid w:val="00BE35BA"/>
    <w:rsid w:val="00BE4427"/>
    <w:rsid w:val="00BF069C"/>
    <w:rsid w:val="00BF1838"/>
    <w:rsid w:val="00BF378D"/>
    <w:rsid w:val="00BF3835"/>
    <w:rsid w:val="00BF45BD"/>
    <w:rsid w:val="00BF6786"/>
    <w:rsid w:val="00BF67E7"/>
    <w:rsid w:val="00C008B0"/>
    <w:rsid w:val="00C05769"/>
    <w:rsid w:val="00C1002D"/>
    <w:rsid w:val="00C11C55"/>
    <w:rsid w:val="00C14DD3"/>
    <w:rsid w:val="00C16294"/>
    <w:rsid w:val="00C2635E"/>
    <w:rsid w:val="00C31853"/>
    <w:rsid w:val="00C42FFB"/>
    <w:rsid w:val="00C6486C"/>
    <w:rsid w:val="00C648D3"/>
    <w:rsid w:val="00C674AF"/>
    <w:rsid w:val="00C75B02"/>
    <w:rsid w:val="00C77DDE"/>
    <w:rsid w:val="00C86109"/>
    <w:rsid w:val="00C87727"/>
    <w:rsid w:val="00C962F0"/>
    <w:rsid w:val="00CD6EF7"/>
    <w:rsid w:val="00D013ED"/>
    <w:rsid w:val="00D06F71"/>
    <w:rsid w:val="00D166EE"/>
    <w:rsid w:val="00D2392E"/>
    <w:rsid w:val="00D265AD"/>
    <w:rsid w:val="00D27F78"/>
    <w:rsid w:val="00D36BDC"/>
    <w:rsid w:val="00D448A1"/>
    <w:rsid w:val="00D5049E"/>
    <w:rsid w:val="00D55FEC"/>
    <w:rsid w:val="00D859D0"/>
    <w:rsid w:val="00D91C09"/>
    <w:rsid w:val="00D92DD1"/>
    <w:rsid w:val="00D95CAD"/>
    <w:rsid w:val="00D96F5C"/>
    <w:rsid w:val="00DB1DFA"/>
    <w:rsid w:val="00DE35FF"/>
    <w:rsid w:val="00DE6237"/>
    <w:rsid w:val="00DF2FB9"/>
    <w:rsid w:val="00E454CD"/>
    <w:rsid w:val="00E55234"/>
    <w:rsid w:val="00E608A6"/>
    <w:rsid w:val="00E60CBC"/>
    <w:rsid w:val="00E63DEF"/>
    <w:rsid w:val="00E64936"/>
    <w:rsid w:val="00E75CF6"/>
    <w:rsid w:val="00E86189"/>
    <w:rsid w:val="00EA168C"/>
    <w:rsid w:val="00EA6689"/>
    <w:rsid w:val="00EA6DDF"/>
    <w:rsid w:val="00EC53C8"/>
    <w:rsid w:val="00EC753F"/>
    <w:rsid w:val="00EE0542"/>
    <w:rsid w:val="00EE11A0"/>
    <w:rsid w:val="00EF3957"/>
    <w:rsid w:val="00F10F21"/>
    <w:rsid w:val="00F13BAA"/>
    <w:rsid w:val="00F26226"/>
    <w:rsid w:val="00F269BB"/>
    <w:rsid w:val="00F271BF"/>
    <w:rsid w:val="00F463F2"/>
    <w:rsid w:val="00F47A40"/>
    <w:rsid w:val="00F50B8E"/>
    <w:rsid w:val="00F5447C"/>
    <w:rsid w:val="00F60A12"/>
    <w:rsid w:val="00F61201"/>
    <w:rsid w:val="00F66E0A"/>
    <w:rsid w:val="00F7009F"/>
    <w:rsid w:val="00F70FD9"/>
    <w:rsid w:val="00F74494"/>
    <w:rsid w:val="00F8186D"/>
    <w:rsid w:val="00F8204B"/>
    <w:rsid w:val="00F82282"/>
    <w:rsid w:val="00FB3901"/>
    <w:rsid w:val="00FC0813"/>
    <w:rsid w:val="00FC3532"/>
    <w:rsid w:val="00FC54E1"/>
    <w:rsid w:val="00FE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004E3B1"/>
  <w15:docId w15:val="{A465CC3F-A5D9-4589-9960-2E4B7FC8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4DE6"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en-GB" w:eastAsia="en-US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b/>
      <w:bCs/>
      <w:kern w:val="28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b/>
      <w:bCs/>
      <w:caps/>
    </w:rPr>
  </w:style>
  <w:style w:type="paragraph" w:styleId="Heading3">
    <w:name w:val="heading 3"/>
    <w:basedOn w:val="Normal"/>
    <w:next w:val="Marge"/>
    <w:autoRedefine/>
    <w:qFormat/>
    <w:rsid w:val="005C7A36"/>
    <w:pPr>
      <w:keepNext/>
      <w:keepLines/>
      <w:spacing w:after="240"/>
      <w:outlineLvl w:val="2"/>
    </w:pPr>
    <w:rPr>
      <w:rFonts w:eastAsia="Arial Unicode MS"/>
      <w:b/>
      <w:bCs/>
      <w:szCs w:val="22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b/>
      <w:bCs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b/>
      <w:bCs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b/>
      <w:iCs/>
      <w:szCs w:val="22"/>
    </w:rPr>
  </w:style>
  <w:style w:type="paragraph" w:styleId="Heading7">
    <w:name w:val="heading 7"/>
    <w:basedOn w:val="Normal"/>
    <w:next w:val="Normal"/>
    <w:qFormat/>
    <w:pPr>
      <w:keepNext/>
      <w:spacing w:line="360" w:lineRule="atLeast"/>
      <w:outlineLvl w:val="6"/>
    </w:pPr>
    <w:rPr>
      <w:u w:val="singl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E0859"/>
    <w:pPr>
      <w:spacing w:before="240" w:after="60"/>
      <w:outlineLvl w:val="8"/>
    </w:pPr>
    <w:rPr>
      <w:rFonts w:eastAsia="SimSun" w:cs="Arial"/>
      <w:b/>
      <w:bCs/>
      <w:i/>
      <w:iCs/>
      <w:sz w:val="18"/>
      <w:szCs w:val="18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e">
    <w:name w:val="Marge"/>
    <w:basedOn w:val="Par"/>
    <w:link w:val="MargeChar"/>
    <w:pPr>
      <w:ind w:firstLine="0"/>
    </w:pPr>
  </w:style>
  <w:style w:type="paragraph" w:customStyle="1" w:styleId="Par">
    <w:name w:val="Par"/>
    <w:basedOn w:val="Normal"/>
    <w:link w:val="ParChar"/>
    <w:pPr>
      <w:spacing w:after="240"/>
      <w:ind w:firstLine="567"/>
      <w:jc w:val="both"/>
    </w:pPr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snapToGrid/>
    </w:rPr>
  </w:style>
  <w:style w:type="character" w:styleId="FootnoteReference">
    <w:name w:val="footnote reference"/>
    <w:aliases w:val="16 Point,Superscript 6 Point,BVI fnr,nota pié di pagina,ftref,Footnote Refernece,Footnote Reference Number,Footnotes refss,Footnote Reference1, BVI fnr,FO,footnote ref,(NECG) Footnote Reference,Ref,de nota al pie,Footnote,note bp"/>
    <w:link w:val="CarattereCharCarattereCarattereCharCarattereCharCarattereCharCharCharCharChar"/>
    <w:qFormat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uiPriority w:val="99"/>
    <w:pPr>
      <w:ind w:left="567" w:hanging="567"/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Serre">
    <w:name w:val="Serre"/>
    <w:basedOn w:val="Normal"/>
    <w:pPr>
      <w:tabs>
        <w:tab w:val="clear" w:pos="567"/>
      </w:tabs>
      <w:suppressAutoHyphens/>
      <w:snapToGrid/>
      <w:jc w:val="both"/>
      <w:outlineLvl w:val="2"/>
    </w:pPr>
    <w:rPr>
      <w:snapToGrid/>
      <w:szCs w:val="20"/>
      <w:lang w:eastAsia="fr-FR"/>
    </w:rPr>
  </w:style>
  <w:style w:type="paragraph" w:customStyle="1" w:styleId="COI">
    <w:name w:val="COI"/>
    <w:basedOn w:val="Marge"/>
    <w:link w:val="COIChar"/>
    <w:autoRedefine/>
    <w:rsid w:val="0037249C"/>
    <w:pPr>
      <w:tabs>
        <w:tab w:val="clear" w:pos="567"/>
        <w:tab w:val="left" w:pos="709"/>
      </w:tabs>
    </w:pPr>
    <w:rPr>
      <w:rFonts w:eastAsia="Arial Unicode MS" w:cs="Arial"/>
      <w:szCs w:val="22"/>
      <w:u w:val="single"/>
    </w:rPr>
  </w:style>
  <w:style w:type="paragraph" w:styleId="BlockText">
    <w:name w:val="Block Text"/>
    <w:basedOn w:val="Normal"/>
    <w:pPr>
      <w:tabs>
        <w:tab w:val="clear" w:pos="567"/>
      </w:tabs>
      <w:snapToGrid/>
      <w:ind w:left="360" w:right="540"/>
      <w:jc w:val="both"/>
    </w:pPr>
    <w:rPr>
      <w:i/>
      <w:iCs/>
      <w:snapToGrid/>
      <w:lang w:val="en-US"/>
    </w:rPr>
  </w:style>
  <w:style w:type="paragraph" w:styleId="BodyText2">
    <w:name w:val="Body Text 2"/>
    <w:basedOn w:val="Normal"/>
    <w:pPr>
      <w:tabs>
        <w:tab w:val="clear" w:pos="567"/>
      </w:tabs>
      <w:snapToGrid/>
      <w:spacing w:before="100" w:beforeAutospacing="1" w:after="100" w:afterAutospacing="1" w:line="360" w:lineRule="auto"/>
    </w:pPr>
    <w:rPr>
      <w:rFonts w:eastAsia="MS Mincho" w:cs="Arial"/>
      <w:snapToGrid/>
      <w:color w:val="FF0000"/>
      <w:lang w:val="en-US" w:eastAsia="ja-JP"/>
    </w:rPr>
  </w:style>
  <w:style w:type="paragraph" w:styleId="BodyTextIndent">
    <w:name w:val="Body Text Indent"/>
    <w:aliases w:val="Quotation"/>
    <w:basedOn w:val="Normal"/>
    <w:rsid w:val="008D2398"/>
    <w:pPr>
      <w:tabs>
        <w:tab w:val="clear" w:pos="567"/>
      </w:tabs>
      <w:snapToGrid/>
      <w:spacing w:before="120" w:after="100" w:afterAutospacing="1"/>
      <w:ind w:left="1134" w:right="1134"/>
      <w:jc w:val="both"/>
    </w:pPr>
    <w:rPr>
      <w:i/>
      <w:snapToGrid/>
    </w:rPr>
  </w:style>
  <w:style w:type="paragraph" w:customStyle="1" w:styleId="Docheading">
    <w:name w:val="Doc. heading"/>
    <w:basedOn w:val="Header"/>
    <w:rsid w:val="009C15B1"/>
    <w:pPr>
      <w:spacing w:after="480"/>
      <w:jc w:val="center"/>
    </w:pPr>
    <w:rPr>
      <w:rFonts w:cs="Arial"/>
      <w:b/>
      <w:bCs/>
      <w:caps/>
      <w:sz w:val="24"/>
    </w:rPr>
  </w:style>
  <w:style w:type="paragraph" w:styleId="BodyTextFirstIndent2">
    <w:name w:val="Body Text First Indent 2"/>
    <w:basedOn w:val="BodyTextIndent"/>
    <w:rsid w:val="008D2398"/>
    <w:pPr>
      <w:tabs>
        <w:tab w:val="left" w:pos="567"/>
      </w:tabs>
      <w:snapToGrid w:val="0"/>
      <w:spacing w:after="120"/>
      <w:ind w:left="283" w:firstLine="210"/>
      <w:jc w:val="left"/>
    </w:pPr>
    <w:rPr>
      <w:snapToGrid w:val="0"/>
    </w:rPr>
  </w:style>
  <w:style w:type="paragraph" w:customStyle="1" w:styleId="Listnumbered">
    <w:name w:val="List numbered"/>
    <w:basedOn w:val="ListBullet2"/>
    <w:autoRedefine/>
    <w:rsid w:val="00D013ED"/>
    <w:pPr>
      <w:numPr>
        <w:numId w:val="3"/>
      </w:numPr>
      <w:jc w:val="both"/>
    </w:pPr>
  </w:style>
  <w:style w:type="paragraph" w:customStyle="1" w:styleId="Style1">
    <w:name w:val="Style1"/>
    <w:basedOn w:val="Listnumbered"/>
    <w:autoRedefine/>
    <w:rsid w:val="006B4B95"/>
  </w:style>
  <w:style w:type="character" w:customStyle="1" w:styleId="ParChar">
    <w:name w:val="Par Char"/>
    <w:link w:val="Par"/>
    <w:rsid w:val="00690FD2"/>
    <w:rPr>
      <w:rFonts w:ascii="Arial" w:hAnsi="Arial"/>
      <w:snapToGrid w:val="0"/>
      <w:sz w:val="22"/>
      <w:szCs w:val="24"/>
      <w:lang w:val="en-GB" w:eastAsia="en-US" w:bidi="ar-SA"/>
    </w:rPr>
  </w:style>
  <w:style w:type="paragraph" w:styleId="ListBullet2">
    <w:name w:val="List Bullet 2"/>
    <w:basedOn w:val="Normal"/>
    <w:rsid w:val="006B4B95"/>
    <w:pPr>
      <w:numPr>
        <w:numId w:val="4"/>
      </w:numPr>
      <w:spacing w:after="240"/>
    </w:pPr>
  </w:style>
  <w:style w:type="character" w:customStyle="1" w:styleId="MargeChar">
    <w:name w:val="Marge Char"/>
    <w:basedOn w:val="ParChar"/>
    <w:link w:val="Marge"/>
    <w:rsid w:val="00690FD2"/>
    <w:rPr>
      <w:rFonts w:ascii="Arial" w:hAnsi="Arial"/>
      <w:snapToGrid w:val="0"/>
      <w:sz w:val="22"/>
      <w:szCs w:val="24"/>
      <w:lang w:val="en-GB" w:eastAsia="en-US" w:bidi="ar-SA"/>
    </w:rPr>
  </w:style>
  <w:style w:type="character" w:customStyle="1" w:styleId="COIChar">
    <w:name w:val="COI Char"/>
    <w:link w:val="COI"/>
    <w:rsid w:val="0037249C"/>
    <w:rPr>
      <w:rFonts w:ascii="Arial" w:eastAsia="Arial Unicode MS" w:hAnsi="Arial" w:cs="Arial"/>
      <w:snapToGrid w:val="0"/>
      <w:sz w:val="22"/>
      <w:szCs w:val="22"/>
      <w:u w:val="single"/>
      <w:lang w:val="en-GB" w:eastAsia="en-US"/>
    </w:rPr>
  </w:style>
  <w:style w:type="character" w:customStyle="1" w:styleId="Heading9Char">
    <w:name w:val="Heading 9 Char"/>
    <w:link w:val="Heading9"/>
    <w:semiHidden/>
    <w:locked/>
    <w:rsid w:val="002E0859"/>
    <w:rPr>
      <w:rFonts w:ascii="Arial" w:eastAsia="SimSun" w:hAnsi="Arial" w:cs="Arial"/>
      <w:b/>
      <w:bCs/>
      <w:i/>
      <w:iCs/>
      <w:snapToGrid w:val="0"/>
      <w:sz w:val="18"/>
      <w:szCs w:val="18"/>
      <w:u w:val="single"/>
      <w:lang w:val="en-GB" w:eastAsia="zh-CN" w:bidi="ar-SA"/>
    </w:rPr>
  </w:style>
  <w:style w:type="character" w:customStyle="1" w:styleId="Titre9Car1">
    <w:name w:val="Titre 9 Car1"/>
    <w:semiHidden/>
    <w:rsid w:val="002E0859"/>
    <w:rPr>
      <w:rFonts w:ascii="Cambria" w:eastAsia="Times New Roman" w:hAnsi="Cambria" w:cs="Times New Roman"/>
      <w:snapToGrid w:val="0"/>
      <w:sz w:val="22"/>
      <w:szCs w:val="22"/>
      <w:lang w:val="en-GB" w:eastAsia="en-US"/>
    </w:rPr>
  </w:style>
  <w:style w:type="character" w:styleId="Hyperlink">
    <w:name w:val="Hyperlink"/>
    <w:basedOn w:val="DefaultParagraphFont"/>
    <w:rsid w:val="00C2635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06C60"/>
    <w:pPr>
      <w:tabs>
        <w:tab w:val="clear" w:pos="567"/>
      </w:tabs>
      <w:snapToGrid/>
      <w:spacing w:before="100" w:beforeAutospacing="1" w:after="100" w:afterAutospacing="1"/>
    </w:pPr>
    <w:rPr>
      <w:rFonts w:ascii="Times New Roman" w:hAnsi="Times New Roman"/>
      <w:snapToGrid/>
      <w:sz w:val="24"/>
      <w:lang w:val="fr-FR" w:eastAsia="fr-FR"/>
    </w:rPr>
  </w:style>
  <w:style w:type="character" w:styleId="Emphasis">
    <w:name w:val="Emphasis"/>
    <w:basedOn w:val="DefaultParagraphFont"/>
    <w:uiPriority w:val="20"/>
    <w:qFormat/>
    <w:rsid w:val="00D95CAD"/>
    <w:rPr>
      <w:i/>
      <w:iCs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F2FC0"/>
    <w:rPr>
      <w:rFonts w:ascii="Arial" w:hAnsi="Arial"/>
      <w:snapToGrid w:val="0"/>
      <w:lang w:val="en-GB" w:eastAsia="en-US"/>
    </w:rPr>
  </w:style>
  <w:style w:type="paragraph" w:styleId="CommentText">
    <w:name w:val="annotation text"/>
    <w:basedOn w:val="Normal"/>
    <w:link w:val="CommentTextChar"/>
    <w:rsid w:val="009F2F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F2FC0"/>
    <w:rPr>
      <w:rFonts w:ascii="Arial" w:hAnsi="Arial"/>
      <w:snapToGrid w:val="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F2FC0"/>
    <w:pPr>
      <w:tabs>
        <w:tab w:val="clear" w:pos="567"/>
        <w:tab w:val="left" w:pos="709"/>
      </w:tabs>
    </w:pPr>
    <w:rPr>
      <w:rFonts w:ascii="Times New Roman" w:eastAsia="SimSun" w:hAnsi="Times New Roman"/>
      <w:b/>
      <w:bCs/>
      <w:lang w:val="fr-FR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F2FC0"/>
    <w:rPr>
      <w:rFonts w:ascii="Arial" w:eastAsia="SimSun" w:hAnsi="Arial"/>
      <w:b/>
      <w:bCs/>
      <w:snapToGrid w:val="0"/>
      <w:lang w:val="en-GB" w:eastAsia="zh-CN"/>
    </w:rPr>
  </w:style>
  <w:style w:type="paragraph" w:styleId="BalloonText">
    <w:name w:val="Balloon Text"/>
    <w:basedOn w:val="Normal"/>
    <w:link w:val="BalloonTextChar"/>
    <w:rsid w:val="00E75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5CF6"/>
    <w:rPr>
      <w:rFonts w:ascii="Tahoma" w:hAnsi="Tahoma" w:cs="Tahoma"/>
      <w:snapToGrid w:val="0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BE35BA"/>
    <w:pPr>
      <w:tabs>
        <w:tab w:val="clear" w:pos="567"/>
        <w:tab w:val="left" w:pos="709"/>
      </w:tabs>
      <w:snapToGrid/>
      <w:ind w:left="720"/>
      <w:contextualSpacing/>
      <w:jc w:val="both"/>
    </w:pPr>
    <w:rPr>
      <w:rFonts w:ascii="Times New Roman" w:hAnsi="Times New Roman"/>
      <w:snapToGrid/>
      <w:sz w:val="24"/>
      <w:szCs w:val="20"/>
    </w:rPr>
  </w:style>
  <w:style w:type="character" w:styleId="FollowedHyperlink">
    <w:name w:val="FollowedHyperlink"/>
    <w:basedOn w:val="DefaultParagraphFont"/>
    <w:semiHidden/>
    <w:unhideWhenUsed/>
    <w:rsid w:val="0089563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6E1454"/>
    <w:rPr>
      <w:sz w:val="16"/>
      <w:szCs w:val="16"/>
    </w:rPr>
  </w:style>
  <w:style w:type="paragraph" w:styleId="Revision">
    <w:name w:val="Revision"/>
    <w:hidden/>
    <w:uiPriority w:val="99"/>
    <w:semiHidden/>
    <w:rsid w:val="006E1454"/>
    <w:rPr>
      <w:rFonts w:ascii="Arial" w:hAnsi="Arial"/>
      <w:snapToGrid w:val="0"/>
      <w:sz w:val="22"/>
      <w:szCs w:val="24"/>
      <w:lang w:val="en-GB" w:eastAsia="en-US"/>
    </w:rPr>
  </w:style>
  <w:style w:type="paragraph" w:customStyle="1" w:styleId="CarattereCharCarattereCarattereCharCarattereCharCarattereCharCharCharCharChar">
    <w:name w:val="Carattere Char Carattere Carattere Char Carattere Char Carattere Char Char Char Char Char"/>
    <w:aliases w:val="Footnote Reference Char Char Char Char Char Char Char Char Char Char Char Char Char Char Char Char Char,footnote number Char Char"/>
    <w:basedOn w:val="Normal"/>
    <w:link w:val="FootnoteReference"/>
    <w:rsid w:val="00C008B0"/>
    <w:pPr>
      <w:tabs>
        <w:tab w:val="clear" w:pos="567"/>
      </w:tabs>
      <w:snapToGrid/>
      <w:spacing w:before="120" w:after="160" w:line="240" w:lineRule="exact"/>
    </w:pPr>
    <w:rPr>
      <w:rFonts w:ascii="Times New Roman" w:hAnsi="Times New Roman"/>
      <w:snapToGrid/>
      <w:sz w:val="20"/>
      <w:szCs w:val="20"/>
      <w:vertAlign w:val="superscript"/>
      <w:lang w:val="fr-FR" w:eastAsia="fr-F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23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92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4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3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6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8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86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54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69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758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83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4" w:color="B6B6B6"/>
                                                <w:left w:val="single" w:sz="6" w:space="4" w:color="B6B6B6"/>
                                                <w:bottom w:val="single" w:sz="6" w:space="4" w:color="B6B6B6"/>
                                                <w:right w:val="single" w:sz="6" w:space="4" w:color="B6B6B6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7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esdoc.unesco.org/ark:/48223/pf0000124367.locale=fr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yperlink" Target="https://oceanexpert.org/document/28075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ceanexpert.org/document/28305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hyperlink" Target="https://oceanexpert.org/document/28078" TargetMode="External"/><Relationship Id="rId19" Type="http://schemas.openxmlformats.org/officeDocument/2006/relationships/hyperlink" Target="https://unesdoc.unesco.org/ark:/48223/pf0000374421.locale=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esdoc.unesco.org/ark:/48223/pf0000125186.locale=fr" TargetMode="External"/><Relationship Id="rId14" Type="http://schemas.openxmlformats.org/officeDocument/2006/relationships/header" Target="header2.xml"/><Relationship Id="rId22" Type="http://schemas.openxmlformats.org/officeDocument/2006/relationships/header" Target="header6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_boned\AppData\Local\Microsoft\Windows\Temporary%20Internet%20Files\Content.Outlook\U6GEGBZT\Template%20WD-IOC2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C50D6-B2DB-48DC-88DF-1AEEF74B0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WD-IOC27.dotx</Template>
  <TotalTime>0</TotalTime>
  <Pages>8</Pages>
  <Words>2642</Words>
  <Characters>18701</Characters>
  <Application>Microsoft Office Word</Application>
  <DocSecurity>4</DocSecurity>
  <Lines>155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The Road to the UN Year</vt:lpstr>
      <vt:lpstr>The Road to the UN Year</vt:lpstr>
    </vt:vector>
  </TitlesOfParts>
  <Company>UNESCO</Company>
  <LinksUpToDate>false</LinksUpToDate>
  <CharactersWithSpaces>21301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Road to the UN Year</dc:title>
  <dc:creator>Boned, Patrice</dc:creator>
  <cp:lastModifiedBy>Pastor Reyes, Ingrid</cp:lastModifiedBy>
  <cp:revision>2</cp:revision>
  <cp:lastPrinted>2021-05-26T08:45:00Z</cp:lastPrinted>
  <dcterms:created xsi:type="dcterms:W3CDTF">2021-06-17T06:32:00Z</dcterms:created>
  <dcterms:modified xsi:type="dcterms:W3CDTF">2021-06-17T06:32:00Z</dcterms:modified>
</cp:coreProperties>
</file>