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A19D6" w14:textId="442B036C" w:rsidR="00B831D1" w:rsidRPr="008A068D" w:rsidRDefault="00B831D1" w:rsidP="00B831D1">
      <w:pPr>
        <w:rPr>
          <w:rFonts w:ascii="Arial" w:hAnsi="Arial" w:cs="Arial"/>
          <w:b/>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390657" w:rsidRPr="006842FA" w14:paraId="59CB5877" w14:textId="77777777" w:rsidTr="00270FDB">
        <w:trPr>
          <w:jc w:val="center"/>
        </w:trPr>
        <w:tc>
          <w:tcPr>
            <w:tcW w:w="7654" w:type="dxa"/>
            <w:tcMar>
              <w:top w:w="170" w:type="dxa"/>
              <w:left w:w="170" w:type="dxa"/>
              <w:bottom w:w="170" w:type="dxa"/>
              <w:right w:w="170" w:type="dxa"/>
            </w:tcMar>
          </w:tcPr>
          <w:p w14:paraId="11720E1E" w14:textId="44D4034D" w:rsidR="00390657" w:rsidRDefault="00390657" w:rsidP="00390657">
            <w:pPr>
              <w:pStyle w:val="Marge"/>
              <w:spacing w:after="120"/>
              <w:jc w:val="center"/>
              <w:rPr>
                <w:rFonts w:cs="Arial"/>
                <w:szCs w:val="22"/>
                <w:u w:val="single"/>
              </w:rPr>
            </w:pPr>
            <w:r w:rsidRPr="006F5FEA">
              <w:rPr>
                <w:rFonts w:cs="Arial"/>
                <w:szCs w:val="22"/>
                <w:u w:val="single"/>
              </w:rPr>
              <w:t>Summary</w:t>
            </w:r>
          </w:p>
          <w:p w14:paraId="5F945D47" w14:textId="1073C833" w:rsidR="00390657" w:rsidRPr="00BF387A" w:rsidRDefault="00390657" w:rsidP="00270FDB">
            <w:pPr>
              <w:pStyle w:val="ListParagraph"/>
              <w:snapToGrid w:val="0"/>
              <w:spacing w:after="240"/>
              <w:ind w:left="115"/>
              <w:contextualSpacing w:val="0"/>
              <w:jc w:val="both"/>
              <w:rPr>
                <w:rFonts w:ascii="Arial" w:hAnsi="Arial" w:cs="Arial"/>
                <w:sz w:val="22"/>
                <w:szCs w:val="22"/>
              </w:rPr>
            </w:pPr>
            <w:r w:rsidRPr="00390657">
              <w:rPr>
                <w:rFonts w:ascii="Arial" w:hAnsi="Arial" w:cs="Arial"/>
                <w:sz w:val="22"/>
                <w:szCs w:val="22"/>
              </w:rPr>
              <w:t xml:space="preserve">This information document </w:t>
            </w:r>
            <w:proofErr w:type="spellStart"/>
            <w:r w:rsidRPr="00390657">
              <w:rPr>
                <w:rFonts w:ascii="Arial" w:hAnsi="Arial" w:cs="Arial"/>
                <w:sz w:val="22"/>
                <w:szCs w:val="22"/>
              </w:rPr>
              <w:t>provides</w:t>
            </w:r>
            <w:proofErr w:type="spellEnd"/>
            <w:r w:rsidRPr="00390657">
              <w:rPr>
                <w:rFonts w:ascii="Arial" w:hAnsi="Arial" w:cs="Arial"/>
                <w:sz w:val="22"/>
                <w:szCs w:val="22"/>
              </w:rPr>
              <w:t xml:space="preserve"> an </w:t>
            </w:r>
            <w:proofErr w:type="spellStart"/>
            <w:r w:rsidRPr="00390657">
              <w:rPr>
                <w:rFonts w:ascii="Arial" w:hAnsi="Arial" w:cs="Arial"/>
                <w:sz w:val="22"/>
                <w:szCs w:val="22"/>
              </w:rPr>
              <w:t>overview</w:t>
            </w:r>
            <w:proofErr w:type="spellEnd"/>
            <w:r w:rsidRPr="00390657">
              <w:rPr>
                <w:rFonts w:ascii="Arial" w:hAnsi="Arial" w:cs="Arial"/>
                <w:sz w:val="22"/>
                <w:szCs w:val="22"/>
              </w:rPr>
              <w:t xml:space="preserve"> of the contribution of IOC to a </w:t>
            </w:r>
            <w:proofErr w:type="spellStart"/>
            <w:r w:rsidRPr="00390657">
              <w:rPr>
                <w:rFonts w:ascii="Arial" w:hAnsi="Arial" w:cs="Arial"/>
                <w:sz w:val="22"/>
                <w:szCs w:val="22"/>
              </w:rPr>
              <w:t>number</w:t>
            </w:r>
            <w:proofErr w:type="spellEnd"/>
            <w:r w:rsidRPr="00390657">
              <w:rPr>
                <w:rFonts w:ascii="Arial" w:hAnsi="Arial" w:cs="Arial"/>
                <w:sz w:val="22"/>
                <w:szCs w:val="22"/>
              </w:rPr>
              <w:t xml:space="preserve"> of global UN </w:t>
            </w:r>
            <w:proofErr w:type="spellStart"/>
            <w:r w:rsidRPr="00390657">
              <w:rPr>
                <w:rFonts w:ascii="Arial" w:hAnsi="Arial" w:cs="Arial"/>
                <w:sz w:val="22"/>
                <w:szCs w:val="22"/>
              </w:rPr>
              <w:t>processes</w:t>
            </w:r>
            <w:proofErr w:type="spellEnd"/>
            <w:r w:rsidRPr="00390657">
              <w:rPr>
                <w:rFonts w:ascii="Arial" w:hAnsi="Arial" w:cs="Arial"/>
                <w:sz w:val="22"/>
                <w:szCs w:val="22"/>
              </w:rPr>
              <w:t xml:space="preserve"> relevant to the </w:t>
            </w:r>
            <w:proofErr w:type="spellStart"/>
            <w:r w:rsidRPr="00390657">
              <w:rPr>
                <w:rFonts w:ascii="Arial" w:hAnsi="Arial" w:cs="Arial"/>
                <w:sz w:val="22"/>
                <w:szCs w:val="22"/>
              </w:rPr>
              <w:t>ocean</w:t>
            </w:r>
            <w:proofErr w:type="spellEnd"/>
            <w:r w:rsidRPr="00390657">
              <w:rPr>
                <w:rFonts w:ascii="Arial" w:hAnsi="Arial" w:cs="Arial"/>
                <w:sz w:val="22"/>
                <w:szCs w:val="22"/>
              </w:rPr>
              <w:t xml:space="preserve">, </w:t>
            </w:r>
            <w:proofErr w:type="spellStart"/>
            <w:r w:rsidRPr="00390657">
              <w:rPr>
                <w:rFonts w:ascii="Arial" w:hAnsi="Arial" w:cs="Arial"/>
                <w:sz w:val="22"/>
                <w:szCs w:val="22"/>
              </w:rPr>
              <w:t>namely</w:t>
            </w:r>
            <w:proofErr w:type="spellEnd"/>
            <w:r w:rsidRPr="00390657">
              <w:rPr>
                <w:rFonts w:ascii="Arial" w:hAnsi="Arial" w:cs="Arial"/>
                <w:sz w:val="22"/>
                <w:szCs w:val="22"/>
              </w:rPr>
              <w:t xml:space="preserve"> UN Framework Convention on </w:t>
            </w:r>
            <w:proofErr w:type="spellStart"/>
            <w:r w:rsidRPr="00390657">
              <w:rPr>
                <w:rFonts w:ascii="Arial" w:hAnsi="Arial" w:cs="Arial"/>
                <w:sz w:val="22"/>
                <w:szCs w:val="22"/>
              </w:rPr>
              <w:t>Climate</w:t>
            </w:r>
            <w:proofErr w:type="spellEnd"/>
            <w:r w:rsidRPr="00390657">
              <w:rPr>
                <w:rFonts w:ascii="Arial" w:hAnsi="Arial" w:cs="Arial"/>
                <w:sz w:val="22"/>
                <w:szCs w:val="22"/>
              </w:rPr>
              <w:t xml:space="preserve"> Change (UNFCCC), </w:t>
            </w:r>
            <w:proofErr w:type="spellStart"/>
            <w:r w:rsidRPr="00390657">
              <w:rPr>
                <w:rFonts w:ascii="Arial" w:hAnsi="Arial" w:cs="Arial"/>
                <w:sz w:val="22"/>
                <w:szCs w:val="22"/>
              </w:rPr>
              <w:t>Biodiversity</w:t>
            </w:r>
            <w:proofErr w:type="spellEnd"/>
            <w:r w:rsidRPr="00390657">
              <w:rPr>
                <w:rFonts w:ascii="Arial" w:hAnsi="Arial" w:cs="Arial"/>
                <w:sz w:val="22"/>
                <w:szCs w:val="22"/>
              </w:rPr>
              <w:t xml:space="preserve"> in Areas </w:t>
            </w:r>
            <w:proofErr w:type="spellStart"/>
            <w:r w:rsidRPr="00390657">
              <w:rPr>
                <w:rFonts w:ascii="Arial" w:hAnsi="Arial" w:cs="Arial"/>
                <w:sz w:val="22"/>
                <w:szCs w:val="22"/>
              </w:rPr>
              <w:t>beyond</w:t>
            </w:r>
            <w:proofErr w:type="spellEnd"/>
            <w:r w:rsidRPr="00390657">
              <w:rPr>
                <w:rFonts w:ascii="Arial" w:hAnsi="Arial" w:cs="Arial"/>
                <w:sz w:val="22"/>
                <w:szCs w:val="22"/>
              </w:rPr>
              <w:t xml:space="preserve"> National </w:t>
            </w:r>
            <w:proofErr w:type="spellStart"/>
            <w:r w:rsidRPr="00390657">
              <w:rPr>
                <w:rFonts w:ascii="Arial" w:hAnsi="Arial" w:cs="Arial"/>
                <w:sz w:val="22"/>
                <w:szCs w:val="22"/>
              </w:rPr>
              <w:t>Jurisdiction</w:t>
            </w:r>
            <w:proofErr w:type="spellEnd"/>
            <w:r w:rsidRPr="00390657">
              <w:rPr>
                <w:rFonts w:ascii="Arial" w:hAnsi="Arial" w:cs="Arial"/>
                <w:sz w:val="22"/>
                <w:szCs w:val="22"/>
              </w:rPr>
              <w:t xml:space="preserve"> (BBNJ), World </w:t>
            </w:r>
            <w:proofErr w:type="spellStart"/>
            <w:r w:rsidRPr="00390657">
              <w:rPr>
                <w:rFonts w:ascii="Arial" w:hAnsi="Arial" w:cs="Arial"/>
                <w:sz w:val="22"/>
                <w:szCs w:val="22"/>
              </w:rPr>
              <w:t>Ocean</w:t>
            </w:r>
            <w:proofErr w:type="spellEnd"/>
            <w:r w:rsidRPr="00390657">
              <w:rPr>
                <w:rFonts w:ascii="Arial" w:hAnsi="Arial" w:cs="Arial"/>
                <w:sz w:val="22"/>
                <w:szCs w:val="22"/>
              </w:rPr>
              <w:t xml:space="preserve"> </w:t>
            </w:r>
            <w:proofErr w:type="spellStart"/>
            <w:r w:rsidRPr="00390657">
              <w:rPr>
                <w:rFonts w:ascii="Arial" w:hAnsi="Arial" w:cs="Arial"/>
                <w:sz w:val="22"/>
                <w:szCs w:val="22"/>
              </w:rPr>
              <w:t>Assessment</w:t>
            </w:r>
            <w:proofErr w:type="spellEnd"/>
            <w:r w:rsidRPr="00390657">
              <w:rPr>
                <w:rFonts w:ascii="Arial" w:hAnsi="Arial" w:cs="Arial"/>
                <w:sz w:val="22"/>
                <w:szCs w:val="22"/>
              </w:rPr>
              <w:t xml:space="preserve"> (WOA), and the Convention on </w:t>
            </w:r>
            <w:proofErr w:type="spellStart"/>
            <w:r w:rsidRPr="00390657">
              <w:rPr>
                <w:rFonts w:ascii="Arial" w:hAnsi="Arial" w:cs="Arial"/>
                <w:sz w:val="22"/>
                <w:szCs w:val="22"/>
              </w:rPr>
              <w:t>Biological</w:t>
            </w:r>
            <w:proofErr w:type="spellEnd"/>
            <w:r w:rsidRPr="00390657">
              <w:rPr>
                <w:rFonts w:ascii="Arial" w:hAnsi="Arial" w:cs="Arial"/>
                <w:sz w:val="22"/>
                <w:szCs w:val="22"/>
              </w:rPr>
              <w:t xml:space="preserve"> Diversity</w:t>
            </w:r>
          </w:p>
        </w:tc>
      </w:tr>
    </w:tbl>
    <w:p w14:paraId="652C780D" w14:textId="7E55F831" w:rsidR="00390657" w:rsidRDefault="00390657">
      <w:pPr>
        <w:rPr>
          <w:rFonts w:ascii="Arial" w:hAnsi="Arial" w:cs="Arial"/>
          <w:b/>
          <w:sz w:val="22"/>
          <w:szCs w:val="22"/>
          <w:lang w:val="en-US"/>
        </w:rPr>
      </w:pPr>
      <w:r>
        <w:rPr>
          <w:rFonts w:ascii="Arial" w:hAnsi="Arial" w:cs="Arial"/>
          <w:b/>
          <w:sz w:val="22"/>
          <w:szCs w:val="22"/>
          <w:lang w:val="en-US"/>
        </w:rPr>
        <w:br w:type="page"/>
      </w:r>
    </w:p>
    <w:p w14:paraId="4CCCC865" w14:textId="6832C479" w:rsidR="008A068D" w:rsidRPr="008A068D" w:rsidRDefault="008A068D" w:rsidP="00390657">
      <w:pPr>
        <w:pBdr>
          <w:top w:val="nil"/>
          <w:left w:val="nil"/>
          <w:bottom w:val="nil"/>
          <w:right w:val="nil"/>
          <w:between w:val="nil"/>
        </w:pBdr>
        <w:tabs>
          <w:tab w:val="left" w:pos="709"/>
        </w:tabs>
        <w:snapToGrid w:val="0"/>
        <w:spacing w:after="240"/>
        <w:jc w:val="both"/>
        <w:textAlignment w:val="baseline"/>
        <w:rPr>
          <w:rFonts w:ascii="Arial" w:hAnsi="Arial" w:cs="Arial"/>
          <w:color w:val="000000"/>
          <w:sz w:val="22"/>
          <w:szCs w:val="22"/>
          <w:lang w:val="en-US"/>
        </w:rPr>
      </w:pPr>
      <w:r w:rsidRPr="008A068D">
        <w:rPr>
          <w:rFonts w:ascii="Arial" w:hAnsi="Arial" w:cs="Arial"/>
          <w:color w:val="000000"/>
          <w:sz w:val="22"/>
          <w:szCs w:val="22"/>
          <w:lang w:val="en-US"/>
        </w:rPr>
        <w:lastRenderedPageBreak/>
        <w:t>IOC enjoys a recognized role in the UN system, in accordance with its Statutes. As a competent international organization in the fields of Marine Scientific Research and TMT, IOC contributes to various UNCLOS processes, i</w:t>
      </w:r>
      <w:sdt>
        <w:sdtPr>
          <w:rPr>
            <w:rFonts w:ascii="Arial" w:hAnsi="Arial" w:cs="Arial"/>
            <w:sz w:val="22"/>
            <w:szCs w:val="22"/>
          </w:rPr>
          <w:tag w:val="goog_rdk_35"/>
          <w:id w:val="467098850"/>
        </w:sdtPr>
        <w:sdtEndPr/>
        <w:sdtContent/>
      </w:sdt>
      <w:sdt>
        <w:sdtPr>
          <w:rPr>
            <w:rFonts w:ascii="Arial" w:hAnsi="Arial" w:cs="Arial"/>
            <w:sz w:val="22"/>
            <w:szCs w:val="22"/>
          </w:rPr>
          <w:tag w:val="goog_rdk_36"/>
          <w:id w:val="-1685041391"/>
        </w:sdtPr>
        <w:sdtEndPr/>
        <w:sdtContent/>
      </w:sdt>
      <w:r w:rsidRPr="008A068D">
        <w:rPr>
          <w:rFonts w:ascii="Arial" w:hAnsi="Arial" w:cs="Arial"/>
          <w:color w:val="000000"/>
          <w:sz w:val="22"/>
          <w:szCs w:val="22"/>
          <w:lang w:val="en-US"/>
        </w:rPr>
        <w:t>ncluding the emerging international legally binding instrument on the conservation and sustainable use of marine biological diversity of areas beyond national jurisdiction. In the framework of the its current and next Medium Term Strategy,  IOC will continue to contribute to major UN global agreements and frameworks including: the UN 2030 Agenda and its Sustainable Development Goals (SDGs),; the UNFCCC Paris Agreement by advocating for the increasing role of the ocean; the Sendai Framework for Disaster Risk Reduction</w:t>
      </w:r>
      <w:sdt>
        <w:sdtPr>
          <w:rPr>
            <w:rFonts w:ascii="Arial" w:hAnsi="Arial" w:cs="Arial"/>
            <w:sz w:val="22"/>
            <w:szCs w:val="22"/>
          </w:rPr>
          <w:tag w:val="goog_rdk_40"/>
          <w:id w:val="445820029"/>
        </w:sdtPr>
        <w:sdtEndPr/>
        <w:sdtContent/>
      </w:sdt>
      <w:r w:rsidRPr="008A068D">
        <w:rPr>
          <w:rFonts w:ascii="Arial" w:hAnsi="Arial" w:cs="Arial"/>
          <w:color w:val="000000"/>
          <w:sz w:val="22"/>
          <w:szCs w:val="22"/>
          <w:lang w:val="en-US"/>
        </w:rPr>
        <w:t>, the Convention on Biological Diversity and the Samoa SIDS Pathway.</w:t>
      </w:r>
    </w:p>
    <w:p w14:paraId="4ED03340" w14:textId="1C0AD921" w:rsidR="000276F8" w:rsidRPr="008A068D" w:rsidRDefault="008A068D" w:rsidP="00390657">
      <w:pPr>
        <w:pBdr>
          <w:top w:val="nil"/>
          <w:left w:val="nil"/>
          <w:bottom w:val="nil"/>
          <w:right w:val="nil"/>
          <w:between w:val="nil"/>
        </w:pBdr>
        <w:tabs>
          <w:tab w:val="left" w:pos="709"/>
        </w:tabs>
        <w:snapToGrid w:val="0"/>
        <w:spacing w:after="240"/>
        <w:jc w:val="both"/>
        <w:textAlignment w:val="baseline"/>
        <w:rPr>
          <w:rFonts w:ascii="Arial" w:hAnsi="Arial" w:cs="Arial"/>
          <w:color w:val="000000"/>
          <w:sz w:val="22"/>
          <w:szCs w:val="22"/>
          <w:lang w:val="en-US"/>
        </w:rPr>
      </w:pPr>
      <w:r w:rsidRPr="008A068D">
        <w:rPr>
          <w:rFonts w:ascii="Arial" w:hAnsi="Arial" w:cs="Arial"/>
          <w:color w:val="000000"/>
          <w:sz w:val="22"/>
          <w:szCs w:val="22"/>
          <w:lang w:val="en-US"/>
        </w:rPr>
        <w:t xml:space="preserve">This report provides information on the </w:t>
      </w:r>
      <w:r w:rsidR="001636DD">
        <w:rPr>
          <w:rFonts w:ascii="Arial" w:hAnsi="Arial" w:cs="Arial"/>
          <w:color w:val="000000"/>
          <w:sz w:val="22"/>
          <w:szCs w:val="22"/>
          <w:lang w:val="en-US"/>
        </w:rPr>
        <w:t xml:space="preserve">IOC </w:t>
      </w:r>
      <w:r w:rsidRPr="008A068D">
        <w:rPr>
          <w:rFonts w:ascii="Arial" w:hAnsi="Arial" w:cs="Arial"/>
          <w:color w:val="000000"/>
          <w:sz w:val="22"/>
          <w:szCs w:val="22"/>
          <w:lang w:val="en-US"/>
        </w:rPr>
        <w:t>engagement with the following UN processes:</w:t>
      </w:r>
    </w:p>
    <w:p w14:paraId="0254A578" w14:textId="67388E51" w:rsidR="001636DD" w:rsidRPr="001636DD" w:rsidRDefault="003D162E" w:rsidP="00390657">
      <w:pPr>
        <w:pStyle w:val="ListParagraph"/>
        <w:numPr>
          <w:ilvl w:val="0"/>
          <w:numId w:val="4"/>
        </w:numPr>
        <w:snapToGrid w:val="0"/>
        <w:spacing w:after="240"/>
        <w:ind w:hanging="720"/>
        <w:contextualSpacing w:val="0"/>
        <w:rPr>
          <w:rFonts w:ascii="Arial" w:hAnsi="Arial" w:cs="Arial"/>
          <w:b/>
          <w:sz w:val="22"/>
          <w:szCs w:val="22"/>
          <w:lang w:val="en-US"/>
        </w:rPr>
      </w:pPr>
      <w:r w:rsidRPr="008A068D">
        <w:rPr>
          <w:rFonts w:ascii="Arial" w:hAnsi="Arial" w:cs="Arial"/>
          <w:b/>
          <w:sz w:val="22"/>
          <w:szCs w:val="22"/>
          <w:lang w:val="en-US"/>
        </w:rPr>
        <w:t xml:space="preserve">Cooperation with </w:t>
      </w:r>
      <w:r w:rsidR="008A068D" w:rsidRPr="008A068D">
        <w:rPr>
          <w:rFonts w:ascii="Arial" w:hAnsi="Arial" w:cs="Arial"/>
          <w:b/>
          <w:sz w:val="22"/>
          <w:szCs w:val="22"/>
          <w:lang w:val="en-US"/>
        </w:rPr>
        <w:t xml:space="preserve">and contribution to the </w:t>
      </w:r>
      <w:r w:rsidRPr="008A068D">
        <w:rPr>
          <w:rFonts w:ascii="Arial" w:hAnsi="Arial" w:cs="Arial"/>
          <w:b/>
          <w:sz w:val="22"/>
          <w:szCs w:val="22"/>
          <w:lang w:val="en-US"/>
        </w:rPr>
        <w:t>UN</w:t>
      </w:r>
      <w:r w:rsidR="008A068D" w:rsidRPr="008A068D">
        <w:rPr>
          <w:rFonts w:ascii="Arial" w:hAnsi="Arial" w:cs="Arial"/>
          <w:b/>
          <w:sz w:val="22"/>
          <w:szCs w:val="22"/>
          <w:lang w:val="en-US"/>
        </w:rPr>
        <w:t xml:space="preserve"> Framework Convent</w:t>
      </w:r>
      <w:r w:rsidR="001636DD">
        <w:rPr>
          <w:rFonts w:ascii="Arial" w:hAnsi="Arial" w:cs="Arial"/>
          <w:b/>
          <w:sz w:val="22"/>
          <w:szCs w:val="22"/>
          <w:lang w:val="en-US"/>
        </w:rPr>
        <w:t>i</w:t>
      </w:r>
      <w:r w:rsidR="008A068D" w:rsidRPr="008A068D">
        <w:rPr>
          <w:rFonts w:ascii="Arial" w:hAnsi="Arial" w:cs="Arial"/>
          <w:b/>
          <w:sz w:val="22"/>
          <w:szCs w:val="22"/>
          <w:lang w:val="en-US"/>
        </w:rPr>
        <w:t>on on Climate Change (UNFCCC)</w:t>
      </w:r>
      <w:r w:rsidR="001636DD">
        <w:rPr>
          <w:rFonts w:ascii="Arial" w:hAnsi="Arial" w:cs="Arial"/>
          <w:b/>
          <w:sz w:val="22"/>
          <w:szCs w:val="22"/>
          <w:lang w:val="en-US"/>
        </w:rPr>
        <w:t xml:space="preserve"> </w:t>
      </w:r>
    </w:p>
    <w:p w14:paraId="7DDB1F9D" w14:textId="383AB6D3" w:rsidR="003D162E" w:rsidRPr="00390657" w:rsidRDefault="001636DD" w:rsidP="00390657">
      <w:pPr>
        <w:snapToGrid w:val="0"/>
        <w:spacing w:after="240"/>
        <w:jc w:val="both"/>
        <w:rPr>
          <w:rFonts w:ascii="Arial" w:eastAsia="Times New Roman" w:hAnsi="Arial" w:cs="Arial"/>
          <w:sz w:val="22"/>
          <w:szCs w:val="22"/>
          <w:lang w:val="en-US" w:eastAsia="en-GB"/>
        </w:rPr>
      </w:pPr>
      <w:r w:rsidRPr="00E65A73">
        <w:rPr>
          <w:rFonts w:ascii="Arial" w:eastAsia="Times New Roman" w:hAnsi="Arial" w:cs="Arial"/>
          <w:sz w:val="22"/>
          <w:szCs w:val="22"/>
          <w:lang w:val="en-US" w:eastAsia="en-GB"/>
        </w:rPr>
        <w:t>IOC was instrumental in providing knowledge and recommending leading scientists and experts to act as authors and contributors to the IPCC Special Report on the Ocean and Cryosphere in a Changing Climate (</w:t>
      </w:r>
      <w:r w:rsidRPr="00E65A73">
        <w:rPr>
          <w:rFonts w:ascii="Arial" w:eastAsia="Times New Roman" w:hAnsi="Arial" w:cs="Arial"/>
          <w:color w:val="0000FF"/>
          <w:sz w:val="22"/>
          <w:szCs w:val="22"/>
          <w:lang w:val="en-US" w:eastAsia="en-GB"/>
        </w:rPr>
        <w:t>SROCC</w:t>
      </w:r>
      <w:r w:rsidRPr="00E65A73">
        <w:rPr>
          <w:rFonts w:ascii="Arial" w:eastAsia="Times New Roman" w:hAnsi="Arial" w:cs="Arial"/>
          <w:sz w:val="22"/>
          <w:szCs w:val="22"/>
          <w:lang w:val="en-US" w:eastAsia="en-GB"/>
        </w:rPr>
        <w:t>). The report exerted a major positive influence on the UNFCCC process. The IOC delegation, led by the IOC Chair, participated in the UNFCCC 25</w:t>
      </w:r>
      <w:proofErr w:type="spellStart"/>
      <w:r w:rsidRPr="00E65A73">
        <w:rPr>
          <w:rFonts w:ascii="Arial" w:eastAsia="Times New Roman" w:hAnsi="Arial" w:cs="Arial"/>
          <w:position w:val="8"/>
          <w:sz w:val="22"/>
          <w:szCs w:val="22"/>
          <w:lang w:val="en-US" w:eastAsia="en-GB"/>
        </w:rPr>
        <w:t>th</w:t>
      </w:r>
      <w:proofErr w:type="spellEnd"/>
      <w:r w:rsidRPr="00E65A73">
        <w:rPr>
          <w:rFonts w:ascii="Arial" w:eastAsia="Times New Roman" w:hAnsi="Arial" w:cs="Arial"/>
          <w:position w:val="8"/>
          <w:sz w:val="22"/>
          <w:szCs w:val="22"/>
          <w:lang w:val="en-US" w:eastAsia="en-GB"/>
        </w:rPr>
        <w:t xml:space="preserve"> </w:t>
      </w:r>
      <w:r w:rsidRPr="00E65A73">
        <w:rPr>
          <w:rFonts w:ascii="Arial" w:eastAsia="Times New Roman" w:hAnsi="Arial" w:cs="Arial"/>
          <w:sz w:val="22"/>
          <w:szCs w:val="22"/>
          <w:lang w:val="en-US" w:eastAsia="en-GB"/>
        </w:rPr>
        <w:t xml:space="preserve">Conference of Parties in Madrid in early December 2019. The discussions there, informed by the SROCC, led to the establishment of the UNFCCC Ocean and Climate Dialogue under the Convention’s Subsidiary Body for Scientific and Technological Advice (SBSTA). IOC actively and visibly participated in the first Dialogue on 2 and 3 December 2020, offering the Ocean Decade as a platform for strengthening the scientific basis for UNFCCC deliberations on ocean and climate. </w:t>
      </w:r>
    </w:p>
    <w:p w14:paraId="4F7FFFB2" w14:textId="3F849392" w:rsidR="00A50BF4" w:rsidRPr="00390657" w:rsidRDefault="000A5D94" w:rsidP="00390657">
      <w:pPr>
        <w:snapToGrid w:val="0"/>
        <w:spacing w:after="240"/>
        <w:rPr>
          <w:rFonts w:ascii="Arial" w:hAnsi="Arial" w:cs="Arial"/>
          <w:bCs/>
          <w:i/>
          <w:iCs/>
          <w:sz w:val="22"/>
          <w:szCs w:val="22"/>
          <w:u w:val="single"/>
          <w:lang w:val="en-US"/>
        </w:rPr>
      </w:pPr>
      <w:r w:rsidRPr="008A068D">
        <w:rPr>
          <w:rFonts w:ascii="Arial" w:hAnsi="Arial" w:cs="Arial"/>
          <w:bCs/>
          <w:i/>
          <w:iCs/>
          <w:sz w:val="22"/>
          <w:szCs w:val="22"/>
          <w:u w:val="single"/>
          <w:lang w:val="en-US"/>
        </w:rPr>
        <w:t xml:space="preserve">Contribution to the </w:t>
      </w:r>
      <w:r w:rsidR="00A50BF4" w:rsidRPr="008A068D">
        <w:rPr>
          <w:rFonts w:ascii="Arial" w:hAnsi="Arial" w:cs="Arial"/>
          <w:bCs/>
          <w:i/>
          <w:iCs/>
          <w:sz w:val="22"/>
          <w:szCs w:val="22"/>
          <w:u w:val="single"/>
          <w:lang w:val="en-US"/>
        </w:rPr>
        <w:t xml:space="preserve">Marrakech Partnership </w:t>
      </w:r>
      <w:r w:rsidRPr="008A068D">
        <w:rPr>
          <w:rFonts w:ascii="Arial" w:hAnsi="Arial" w:cs="Arial"/>
          <w:bCs/>
          <w:i/>
          <w:iCs/>
          <w:sz w:val="22"/>
          <w:szCs w:val="22"/>
          <w:u w:val="single"/>
          <w:lang w:val="en-US"/>
        </w:rPr>
        <w:t>under the UNFCCC</w:t>
      </w:r>
    </w:p>
    <w:p w14:paraId="1D877E12" w14:textId="5C1E167D" w:rsidR="00CA525D" w:rsidRPr="008A068D" w:rsidRDefault="00CA525D" w:rsidP="00390657">
      <w:pPr>
        <w:snapToGrid w:val="0"/>
        <w:spacing w:after="240"/>
        <w:jc w:val="both"/>
        <w:rPr>
          <w:rFonts w:ascii="Arial" w:hAnsi="Arial" w:cs="Arial"/>
          <w:sz w:val="22"/>
          <w:szCs w:val="22"/>
          <w:lang w:val="en-US"/>
        </w:rPr>
      </w:pPr>
      <w:r w:rsidRPr="008A068D">
        <w:rPr>
          <w:rFonts w:ascii="Arial" w:hAnsi="Arial" w:cs="Arial"/>
          <w:sz w:val="22"/>
          <w:szCs w:val="22"/>
          <w:lang w:val="en-US"/>
        </w:rPr>
        <w:t xml:space="preserve">Under the leadership of the High-Level Climate Champions, </w:t>
      </w:r>
      <w:hyperlink r:id="rId7" w:history="1">
        <w:r w:rsidRPr="008A068D">
          <w:rPr>
            <w:rStyle w:val="Hyperlink"/>
            <w:rFonts w:ascii="Arial" w:hAnsi="Arial" w:cs="Arial"/>
            <w:color w:val="auto"/>
            <w:sz w:val="22"/>
            <w:szCs w:val="22"/>
            <w:lang w:val="en-US"/>
          </w:rPr>
          <w:t>the Marrakech Partnership for Global Climate Action</w:t>
        </w:r>
      </w:hyperlink>
      <w:r w:rsidRPr="008A068D">
        <w:rPr>
          <w:rFonts w:ascii="Arial" w:hAnsi="Arial" w:cs="Arial"/>
          <w:sz w:val="22"/>
          <w:szCs w:val="22"/>
          <w:lang w:val="en-US"/>
        </w:rPr>
        <w:t xml:space="preserve"> supports the implementation of the Paris Agreement by enabling collaboration between governments and the cities, regions, businesses and investors that must act on climate change.</w:t>
      </w:r>
    </w:p>
    <w:p w14:paraId="345C8CF4" w14:textId="09519A12" w:rsidR="00CA525D" w:rsidRPr="008A068D" w:rsidRDefault="00CA525D" w:rsidP="00390657">
      <w:pPr>
        <w:snapToGrid w:val="0"/>
        <w:spacing w:after="240"/>
        <w:jc w:val="both"/>
        <w:rPr>
          <w:rFonts w:ascii="Arial" w:hAnsi="Arial" w:cs="Arial"/>
          <w:sz w:val="22"/>
          <w:szCs w:val="22"/>
          <w:lang w:val="en-US"/>
        </w:rPr>
      </w:pPr>
      <w:r w:rsidRPr="008A068D">
        <w:rPr>
          <w:rFonts w:ascii="Arial" w:hAnsi="Arial" w:cs="Arial"/>
          <w:sz w:val="22"/>
          <w:szCs w:val="22"/>
          <w:lang w:val="en-US"/>
        </w:rPr>
        <w:t xml:space="preserve">The mission is to strengthen collaboration between governments and key stakeholders to immediately lower emissions and increase resilience against climate impacts. These actions are guided by the long-term goals of the Paris Agreement and undertaken in the context of the 2030 Agenda for Sustainable Development. The focus is on environmental, </w:t>
      </w:r>
      <w:proofErr w:type="gramStart"/>
      <w:r w:rsidRPr="008A068D">
        <w:rPr>
          <w:rFonts w:ascii="Arial" w:hAnsi="Arial" w:cs="Arial"/>
          <w:sz w:val="22"/>
          <w:szCs w:val="22"/>
          <w:lang w:val="en-US"/>
        </w:rPr>
        <w:t>economic</w:t>
      </w:r>
      <w:proofErr w:type="gramEnd"/>
      <w:r w:rsidRPr="008A068D">
        <w:rPr>
          <w:rFonts w:ascii="Arial" w:hAnsi="Arial" w:cs="Arial"/>
          <w:sz w:val="22"/>
          <w:szCs w:val="22"/>
          <w:lang w:val="en-US"/>
        </w:rPr>
        <w:t xml:space="preserve"> and social system transformation, promoting higher ambition of all stakeholders to collectively strive for the 1.5 °C temperature goal and a climate-neutral and resilient world.</w:t>
      </w:r>
    </w:p>
    <w:p w14:paraId="5248647F" w14:textId="305F0E2D" w:rsidR="00DC54A0" w:rsidRPr="008A068D" w:rsidRDefault="00CA525D" w:rsidP="00390657">
      <w:pPr>
        <w:snapToGrid w:val="0"/>
        <w:spacing w:after="240"/>
        <w:jc w:val="both"/>
        <w:rPr>
          <w:rFonts w:ascii="Arial" w:hAnsi="Arial" w:cs="Arial"/>
          <w:sz w:val="22"/>
          <w:szCs w:val="22"/>
          <w:lang w:val="en-US"/>
        </w:rPr>
      </w:pPr>
      <w:r w:rsidRPr="008A068D">
        <w:rPr>
          <w:rFonts w:ascii="Arial" w:hAnsi="Arial" w:cs="Arial"/>
          <w:sz w:val="22"/>
          <w:szCs w:val="22"/>
          <w:lang w:val="en-US"/>
        </w:rPr>
        <w:t>Within the Marrakech Partnership different thematic areas were identified. IOC actively contributes to the ocean and coastal zones thematic area led by Conservation International and the Ocean and Climate Platform. The IOC-</w:t>
      </w:r>
      <w:r w:rsidR="00A50BF4" w:rsidRPr="008A068D">
        <w:rPr>
          <w:rFonts w:ascii="Arial" w:hAnsi="Arial" w:cs="Arial"/>
          <w:sz w:val="22"/>
          <w:szCs w:val="22"/>
          <w:lang w:val="en-US"/>
        </w:rPr>
        <w:t>Secretariat</w:t>
      </w:r>
      <w:r w:rsidRPr="008A068D">
        <w:rPr>
          <w:rFonts w:ascii="Arial" w:hAnsi="Arial" w:cs="Arial"/>
          <w:sz w:val="22"/>
          <w:szCs w:val="22"/>
          <w:lang w:val="en-US"/>
        </w:rPr>
        <w:t xml:space="preserve"> is co-focal point for the </w:t>
      </w:r>
      <w:hyperlink r:id="rId8" w:history="1">
        <w:r w:rsidRPr="008A068D">
          <w:rPr>
            <w:rStyle w:val="Hyperlink"/>
            <w:rFonts w:ascii="Arial" w:hAnsi="Arial" w:cs="Arial"/>
            <w:color w:val="auto"/>
            <w:sz w:val="22"/>
            <w:szCs w:val="22"/>
            <w:lang w:val="en-US"/>
          </w:rPr>
          <w:t>pathway</w:t>
        </w:r>
      </w:hyperlink>
      <w:r w:rsidRPr="008A068D">
        <w:rPr>
          <w:rFonts w:ascii="Arial" w:hAnsi="Arial" w:cs="Arial"/>
          <w:sz w:val="22"/>
          <w:szCs w:val="22"/>
          <w:lang w:val="en-US"/>
        </w:rPr>
        <w:t xml:space="preserve"> in the thematic area. Together with the other co-focal point</w:t>
      </w:r>
      <w:r w:rsidR="000A5D94" w:rsidRPr="008A068D">
        <w:rPr>
          <w:rFonts w:ascii="Arial" w:hAnsi="Arial" w:cs="Arial"/>
          <w:sz w:val="22"/>
          <w:szCs w:val="22"/>
          <w:lang w:val="en-US"/>
        </w:rPr>
        <w:t>,</w:t>
      </w:r>
      <w:r w:rsidRPr="008A068D">
        <w:rPr>
          <w:rFonts w:ascii="Arial" w:hAnsi="Arial" w:cs="Arial"/>
          <w:sz w:val="22"/>
          <w:szCs w:val="22"/>
          <w:lang w:val="en-US"/>
        </w:rPr>
        <w:t xml:space="preserve"> IUCN</w:t>
      </w:r>
      <w:r w:rsidR="000A5D94" w:rsidRPr="008A068D">
        <w:rPr>
          <w:rFonts w:ascii="Arial" w:hAnsi="Arial" w:cs="Arial"/>
          <w:sz w:val="22"/>
          <w:szCs w:val="22"/>
          <w:lang w:val="en-US"/>
        </w:rPr>
        <w:t>,</w:t>
      </w:r>
      <w:r w:rsidRPr="008A068D">
        <w:rPr>
          <w:rFonts w:ascii="Arial" w:hAnsi="Arial" w:cs="Arial"/>
          <w:sz w:val="22"/>
          <w:szCs w:val="22"/>
          <w:lang w:val="en-US"/>
        </w:rPr>
        <w:t xml:space="preserve"> and </w:t>
      </w:r>
      <w:r w:rsidR="000A5D94" w:rsidRPr="008A068D">
        <w:rPr>
          <w:rFonts w:ascii="Arial" w:hAnsi="Arial" w:cs="Arial"/>
          <w:sz w:val="22"/>
          <w:szCs w:val="22"/>
          <w:lang w:val="en-US"/>
        </w:rPr>
        <w:t xml:space="preserve">the </w:t>
      </w:r>
      <w:r w:rsidRPr="008A068D">
        <w:rPr>
          <w:rFonts w:ascii="Arial" w:hAnsi="Arial" w:cs="Arial"/>
          <w:sz w:val="22"/>
          <w:szCs w:val="22"/>
          <w:lang w:val="en-US"/>
        </w:rPr>
        <w:t>support by the High Level Champion Team</w:t>
      </w:r>
      <w:r w:rsidR="000A5D94" w:rsidRPr="008A068D">
        <w:rPr>
          <w:rFonts w:ascii="Arial" w:hAnsi="Arial" w:cs="Arial"/>
          <w:sz w:val="22"/>
          <w:szCs w:val="22"/>
          <w:lang w:val="en-US"/>
        </w:rPr>
        <w:t>,</w:t>
      </w:r>
      <w:r w:rsidRPr="008A068D">
        <w:rPr>
          <w:rFonts w:ascii="Arial" w:hAnsi="Arial" w:cs="Arial"/>
          <w:sz w:val="22"/>
          <w:szCs w:val="22"/>
          <w:lang w:val="en-US"/>
        </w:rPr>
        <w:t xml:space="preserve"> the </w:t>
      </w:r>
      <w:r w:rsidR="000A5D94" w:rsidRPr="008A068D">
        <w:rPr>
          <w:rFonts w:ascii="Arial" w:hAnsi="Arial" w:cs="Arial"/>
          <w:sz w:val="22"/>
          <w:szCs w:val="22"/>
          <w:lang w:val="en-US"/>
        </w:rPr>
        <w:t xml:space="preserve">IOC </w:t>
      </w:r>
      <w:r w:rsidRPr="008A068D">
        <w:rPr>
          <w:rFonts w:ascii="Arial" w:hAnsi="Arial" w:cs="Arial"/>
          <w:sz w:val="22"/>
          <w:szCs w:val="22"/>
          <w:lang w:val="en-US"/>
        </w:rPr>
        <w:t xml:space="preserve">Secretariat, </w:t>
      </w:r>
      <w:r w:rsidR="000A5D94" w:rsidRPr="008A068D">
        <w:rPr>
          <w:rFonts w:ascii="Arial" w:hAnsi="Arial" w:cs="Arial"/>
          <w:sz w:val="22"/>
          <w:szCs w:val="22"/>
          <w:lang w:val="en-US"/>
        </w:rPr>
        <w:t xml:space="preserve">in consultation with </w:t>
      </w:r>
      <w:r w:rsidRPr="008A068D">
        <w:rPr>
          <w:rFonts w:ascii="Arial" w:hAnsi="Arial" w:cs="Arial"/>
          <w:sz w:val="22"/>
          <w:szCs w:val="22"/>
          <w:lang w:val="en-US"/>
        </w:rPr>
        <w:t>a wide range of stakeholders, including NGOS, science organizations, the private sector and UN agencies</w:t>
      </w:r>
      <w:r w:rsidR="000A5D94" w:rsidRPr="008A068D">
        <w:rPr>
          <w:rFonts w:ascii="Arial" w:hAnsi="Arial" w:cs="Arial"/>
          <w:sz w:val="22"/>
          <w:szCs w:val="22"/>
          <w:lang w:val="en-US"/>
        </w:rPr>
        <w:t>, produced</w:t>
      </w:r>
      <w:r w:rsidRPr="008A068D">
        <w:rPr>
          <w:rFonts w:ascii="Arial" w:hAnsi="Arial" w:cs="Arial"/>
          <w:sz w:val="22"/>
          <w:szCs w:val="22"/>
          <w:lang w:val="en-US"/>
        </w:rPr>
        <w:t xml:space="preserve"> a first edition of the pathway (including Vision &amp; Summary and </w:t>
      </w:r>
      <w:r w:rsidR="000A5D94" w:rsidRPr="008A068D">
        <w:rPr>
          <w:rFonts w:ascii="Arial" w:hAnsi="Arial" w:cs="Arial"/>
          <w:sz w:val="22"/>
          <w:szCs w:val="22"/>
          <w:lang w:val="en-US"/>
        </w:rPr>
        <w:t xml:space="preserve">an </w:t>
      </w:r>
      <w:r w:rsidRPr="008A068D">
        <w:rPr>
          <w:rFonts w:ascii="Arial" w:hAnsi="Arial" w:cs="Arial"/>
          <w:sz w:val="22"/>
          <w:szCs w:val="22"/>
          <w:lang w:val="en-US"/>
        </w:rPr>
        <w:t>Action</w:t>
      </w:r>
      <w:r w:rsidR="000A5D94" w:rsidRPr="008A068D">
        <w:rPr>
          <w:rFonts w:ascii="Arial" w:hAnsi="Arial" w:cs="Arial"/>
          <w:sz w:val="22"/>
          <w:szCs w:val="22"/>
          <w:lang w:val="en-US"/>
        </w:rPr>
        <w:t xml:space="preserve"> T</w:t>
      </w:r>
      <w:r w:rsidRPr="008A068D">
        <w:rPr>
          <w:rFonts w:ascii="Arial" w:hAnsi="Arial" w:cs="Arial"/>
          <w:sz w:val="22"/>
          <w:szCs w:val="22"/>
          <w:lang w:val="en-US"/>
        </w:rPr>
        <w:t xml:space="preserve">able) in November 2020. An </w:t>
      </w:r>
      <w:r w:rsidR="00940CE0" w:rsidRPr="008A068D">
        <w:rPr>
          <w:rFonts w:ascii="Arial" w:hAnsi="Arial" w:cs="Arial"/>
          <w:sz w:val="22"/>
          <w:szCs w:val="22"/>
          <w:lang w:val="en-US"/>
        </w:rPr>
        <w:t>amended</w:t>
      </w:r>
      <w:r w:rsidRPr="008A068D">
        <w:rPr>
          <w:rFonts w:ascii="Arial" w:hAnsi="Arial" w:cs="Arial"/>
          <w:sz w:val="22"/>
          <w:szCs w:val="22"/>
          <w:lang w:val="en-US"/>
        </w:rPr>
        <w:t xml:space="preserve"> </w:t>
      </w:r>
      <w:r w:rsidR="00940CE0" w:rsidRPr="008A068D">
        <w:rPr>
          <w:rFonts w:ascii="Arial" w:hAnsi="Arial" w:cs="Arial"/>
          <w:sz w:val="22"/>
          <w:szCs w:val="22"/>
          <w:lang w:val="en-US"/>
        </w:rPr>
        <w:t xml:space="preserve">and </w:t>
      </w:r>
      <w:r w:rsidRPr="008A068D">
        <w:rPr>
          <w:rFonts w:ascii="Arial" w:hAnsi="Arial" w:cs="Arial"/>
          <w:sz w:val="22"/>
          <w:szCs w:val="22"/>
          <w:lang w:val="en-US"/>
        </w:rPr>
        <w:t xml:space="preserve">updated version was prepared </w:t>
      </w:r>
      <w:r w:rsidR="00940CE0" w:rsidRPr="008A068D">
        <w:rPr>
          <w:rFonts w:ascii="Arial" w:hAnsi="Arial" w:cs="Arial"/>
          <w:sz w:val="22"/>
          <w:szCs w:val="22"/>
          <w:lang w:val="en-US"/>
        </w:rPr>
        <w:t>and published in May 2021. The pathway, the Vision and the Action</w:t>
      </w:r>
      <w:r w:rsidR="000A5D94" w:rsidRPr="008A068D">
        <w:rPr>
          <w:rFonts w:ascii="Arial" w:hAnsi="Arial" w:cs="Arial"/>
          <w:sz w:val="22"/>
          <w:szCs w:val="22"/>
          <w:lang w:val="en-US"/>
        </w:rPr>
        <w:t xml:space="preserve"> T</w:t>
      </w:r>
      <w:r w:rsidR="00940CE0" w:rsidRPr="008A068D">
        <w:rPr>
          <w:rFonts w:ascii="Arial" w:hAnsi="Arial" w:cs="Arial"/>
          <w:sz w:val="22"/>
          <w:szCs w:val="22"/>
          <w:lang w:val="en-US"/>
        </w:rPr>
        <w:t>able, will allow further engagement with all relevant stakeholders in the lead up to the UNFCCC COP26. The Ocean Action Day during the COP26 will provide the platform to highlight the actions identified in the field of marine Nature Based Solutions, Aquatic Food production, Zero-emission shipping and Ocean Renewable Energy</w:t>
      </w:r>
      <w:r w:rsidR="000A5D94" w:rsidRPr="008A068D">
        <w:rPr>
          <w:rFonts w:ascii="Arial" w:hAnsi="Arial" w:cs="Arial"/>
          <w:sz w:val="22"/>
          <w:szCs w:val="22"/>
          <w:lang w:val="en-US"/>
        </w:rPr>
        <w:t xml:space="preserve"> as presented in the pathway</w:t>
      </w:r>
      <w:r w:rsidR="00940CE0" w:rsidRPr="008A068D">
        <w:rPr>
          <w:rFonts w:ascii="Arial" w:hAnsi="Arial" w:cs="Arial"/>
          <w:sz w:val="22"/>
          <w:szCs w:val="22"/>
          <w:lang w:val="en-US"/>
        </w:rPr>
        <w:t>.</w:t>
      </w:r>
    </w:p>
    <w:p w14:paraId="06926F7A" w14:textId="1A906428" w:rsidR="00DC54A0" w:rsidRPr="00390657" w:rsidRDefault="000A5D94" w:rsidP="00390657">
      <w:pPr>
        <w:snapToGrid w:val="0"/>
        <w:spacing w:after="240"/>
        <w:rPr>
          <w:rFonts w:ascii="Arial" w:hAnsi="Arial" w:cs="Arial"/>
          <w:i/>
          <w:iCs/>
          <w:sz w:val="22"/>
          <w:szCs w:val="22"/>
          <w:u w:val="single"/>
          <w:lang w:val="en-US"/>
        </w:rPr>
      </w:pPr>
      <w:r w:rsidRPr="008A068D">
        <w:rPr>
          <w:rFonts w:ascii="Arial" w:hAnsi="Arial" w:cs="Arial"/>
          <w:i/>
          <w:iCs/>
          <w:sz w:val="22"/>
          <w:szCs w:val="22"/>
          <w:u w:val="single"/>
          <w:lang w:val="en-US"/>
        </w:rPr>
        <w:lastRenderedPageBreak/>
        <w:t xml:space="preserve">Contribution to the work of the UNFCCC </w:t>
      </w:r>
      <w:r w:rsidR="00DC54A0" w:rsidRPr="008A068D">
        <w:rPr>
          <w:rFonts w:ascii="Arial" w:hAnsi="Arial" w:cs="Arial"/>
          <w:i/>
          <w:iCs/>
          <w:sz w:val="22"/>
          <w:szCs w:val="22"/>
          <w:u w:val="single"/>
          <w:lang w:val="en-US"/>
        </w:rPr>
        <w:t xml:space="preserve">Subsidiary Body for Scientific and Technological Advice (SBSTA) </w:t>
      </w:r>
    </w:p>
    <w:p w14:paraId="25A5751F" w14:textId="49AF9E4D" w:rsidR="007B5EFF" w:rsidRPr="008A068D" w:rsidRDefault="00AA113C" w:rsidP="00390657">
      <w:pPr>
        <w:snapToGrid w:val="0"/>
        <w:spacing w:after="240"/>
        <w:jc w:val="both"/>
        <w:rPr>
          <w:rFonts w:ascii="Arial" w:hAnsi="Arial" w:cs="Arial"/>
          <w:sz w:val="22"/>
          <w:szCs w:val="22"/>
          <w:lang w:val="en-US"/>
        </w:rPr>
      </w:pPr>
      <w:r w:rsidRPr="008A068D">
        <w:rPr>
          <w:rFonts w:ascii="Arial" w:hAnsi="Arial" w:cs="Arial"/>
          <w:sz w:val="22"/>
          <w:szCs w:val="22"/>
          <w:lang w:val="en-US"/>
        </w:rPr>
        <w:t>The SBSTA is one of two permanent subsidiary bodies to the UNFCCC. It supports the work of the </w:t>
      </w:r>
      <w:hyperlink r:id="rId9" w:tgtFrame="_blank" w:history="1">
        <w:r w:rsidRPr="008A068D">
          <w:rPr>
            <w:rStyle w:val="Hyperlink"/>
            <w:rFonts w:ascii="Arial" w:hAnsi="Arial" w:cs="Arial"/>
            <w:color w:val="auto"/>
            <w:sz w:val="22"/>
            <w:szCs w:val="22"/>
            <w:lang w:val="en-US"/>
          </w:rPr>
          <w:t>COP</w:t>
        </w:r>
      </w:hyperlink>
      <w:r w:rsidRPr="008A068D">
        <w:rPr>
          <w:rFonts w:ascii="Arial" w:hAnsi="Arial" w:cs="Arial"/>
          <w:sz w:val="22"/>
          <w:szCs w:val="22"/>
          <w:lang w:val="en-US"/>
        </w:rPr>
        <w:t>, the </w:t>
      </w:r>
      <w:hyperlink r:id="rId10" w:tgtFrame="_blank" w:history="1">
        <w:r w:rsidRPr="008A068D">
          <w:rPr>
            <w:rStyle w:val="Hyperlink"/>
            <w:rFonts w:ascii="Arial" w:hAnsi="Arial" w:cs="Arial"/>
            <w:color w:val="auto"/>
            <w:sz w:val="22"/>
            <w:szCs w:val="22"/>
            <w:lang w:val="en-US"/>
          </w:rPr>
          <w:t>CMP</w:t>
        </w:r>
      </w:hyperlink>
      <w:r w:rsidRPr="008A068D">
        <w:rPr>
          <w:rFonts w:ascii="Arial" w:hAnsi="Arial" w:cs="Arial"/>
          <w:sz w:val="22"/>
          <w:szCs w:val="22"/>
          <w:lang w:val="en-US"/>
        </w:rPr>
        <w:t> and the </w:t>
      </w:r>
      <w:hyperlink r:id="rId11" w:tgtFrame="_blank" w:history="1">
        <w:r w:rsidRPr="008A068D">
          <w:rPr>
            <w:rStyle w:val="Hyperlink"/>
            <w:rFonts w:ascii="Arial" w:hAnsi="Arial" w:cs="Arial"/>
            <w:color w:val="auto"/>
            <w:sz w:val="22"/>
            <w:szCs w:val="22"/>
            <w:lang w:val="en-US"/>
          </w:rPr>
          <w:t>CMA</w:t>
        </w:r>
      </w:hyperlink>
      <w:r w:rsidRPr="008A068D">
        <w:rPr>
          <w:rFonts w:ascii="Arial" w:hAnsi="Arial" w:cs="Arial"/>
          <w:sz w:val="22"/>
          <w:szCs w:val="22"/>
          <w:lang w:val="en-US"/>
        </w:rPr>
        <w:t> through the provision of timely information and advice on scientific and technological matters as they relate to the </w:t>
      </w:r>
      <w:hyperlink r:id="rId12" w:tgtFrame="_self" w:history="1">
        <w:r w:rsidRPr="008A068D">
          <w:rPr>
            <w:rStyle w:val="Hyperlink"/>
            <w:rFonts w:ascii="Arial" w:hAnsi="Arial" w:cs="Arial"/>
            <w:color w:val="auto"/>
            <w:sz w:val="22"/>
            <w:szCs w:val="22"/>
            <w:lang w:val="en-US"/>
          </w:rPr>
          <w:t>Convention</w:t>
        </w:r>
      </w:hyperlink>
      <w:r w:rsidRPr="008A068D">
        <w:rPr>
          <w:rFonts w:ascii="Arial" w:hAnsi="Arial" w:cs="Arial"/>
          <w:sz w:val="22"/>
          <w:szCs w:val="22"/>
          <w:lang w:val="en-US"/>
        </w:rPr>
        <w:t>, its </w:t>
      </w:r>
      <w:hyperlink r:id="rId13" w:tgtFrame="_blank" w:history="1">
        <w:r w:rsidRPr="008A068D">
          <w:rPr>
            <w:rStyle w:val="Hyperlink"/>
            <w:rFonts w:ascii="Arial" w:hAnsi="Arial" w:cs="Arial"/>
            <w:color w:val="auto"/>
            <w:sz w:val="22"/>
            <w:szCs w:val="22"/>
            <w:lang w:val="en-US"/>
          </w:rPr>
          <w:t>Kyoto Protocol</w:t>
        </w:r>
      </w:hyperlink>
      <w:r w:rsidRPr="008A068D">
        <w:rPr>
          <w:rFonts w:ascii="Arial" w:hAnsi="Arial" w:cs="Arial"/>
          <w:sz w:val="22"/>
          <w:szCs w:val="22"/>
          <w:lang w:val="en-US"/>
        </w:rPr>
        <w:t> and the </w:t>
      </w:r>
      <w:hyperlink r:id="rId14" w:tgtFrame="_blank" w:history="1">
        <w:r w:rsidRPr="008A068D">
          <w:rPr>
            <w:rStyle w:val="Hyperlink"/>
            <w:rFonts w:ascii="Arial" w:hAnsi="Arial" w:cs="Arial"/>
            <w:color w:val="auto"/>
            <w:sz w:val="22"/>
            <w:szCs w:val="22"/>
            <w:lang w:val="en-US"/>
          </w:rPr>
          <w:t>Paris Agreement</w:t>
        </w:r>
      </w:hyperlink>
      <w:r w:rsidRPr="008A068D">
        <w:rPr>
          <w:rFonts w:ascii="Arial" w:hAnsi="Arial" w:cs="Arial"/>
          <w:sz w:val="22"/>
          <w:szCs w:val="22"/>
          <w:lang w:val="en-US"/>
        </w:rPr>
        <w:t xml:space="preserve">. </w:t>
      </w:r>
      <w:r w:rsidR="00B728F7" w:rsidRPr="008A068D">
        <w:rPr>
          <w:rFonts w:ascii="Arial" w:hAnsi="Arial" w:cs="Arial"/>
          <w:sz w:val="22"/>
          <w:szCs w:val="22"/>
          <w:lang w:val="en-US"/>
        </w:rPr>
        <w:t xml:space="preserve">The </w:t>
      </w:r>
      <w:r w:rsidRPr="008A068D">
        <w:rPr>
          <w:rFonts w:ascii="Arial" w:hAnsi="Arial" w:cs="Arial"/>
          <w:sz w:val="22"/>
          <w:szCs w:val="22"/>
          <w:lang w:val="en-US"/>
        </w:rPr>
        <w:t xml:space="preserve">SBSTA </w:t>
      </w:r>
      <w:r w:rsidR="007B5EFF" w:rsidRPr="008A068D">
        <w:rPr>
          <w:rFonts w:ascii="Arial" w:hAnsi="Arial" w:cs="Arial"/>
          <w:sz w:val="22"/>
          <w:szCs w:val="22"/>
          <w:lang w:val="en-US"/>
        </w:rPr>
        <w:t>R</w:t>
      </w:r>
      <w:r w:rsidR="00B728F7" w:rsidRPr="008A068D">
        <w:rPr>
          <w:rFonts w:ascii="Arial" w:hAnsi="Arial" w:cs="Arial"/>
          <w:sz w:val="22"/>
          <w:szCs w:val="22"/>
          <w:lang w:val="en-US"/>
        </w:rPr>
        <w:t xml:space="preserve">esearch </w:t>
      </w:r>
      <w:r w:rsidR="007B5EFF" w:rsidRPr="008A068D">
        <w:rPr>
          <w:rFonts w:ascii="Arial" w:hAnsi="Arial" w:cs="Arial"/>
          <w:sz w:val="22"/>
          <w:szCs w:val="22"/>
          <w:lang w:val="en-US"/>
        </w:rPr>
        <w:t>D</w:t>
      </w:r>
      <w:r w:rsidR="00B728F7" w:rsidRPr="008A068D">
        <w:rPr>
          <w:rFonts w:ascii="Arial" w:hAnsi="Arial" w:cs="Arial"/>
          <w:sz w:val="22"/>
          <w:szCs w:val="22"/>
          <w:lang w:val="en-US"/>
        </w:rPr>
        <w:t>ialogue provides a forum between the scientific community</w:t>
      </w:r>
      <w:r w:rsidR="007B5EFF" w:rsidRPr="008A068D">
        <w:rPr>
          <w:rFonts w:ascii="Arial" w:hAnsi="Arial" w:cs="Arial"/>
          <w:sz w:val="22"/>
          <w:szCs w:val="22"/>
          <w:lang w:val="en-US"/>
        </w:rPr>
        <w:t xml:space="preserve"> and</w:t>
      </w:r>
      <w:r w:rsidR="00B728F7" w:rsidRPr="008A068D">
        <w:rPr>
          <w:rFonts w:ascii="Arial" w:hAnsi="Arial" w:cs="Arial"/>
          <w:sz w:val="22"/>
          <w:szCs w:val="22"/>
          <w:lang w:val="en-US"/>
        </w:rPr>
        <w:t xml:space="preserve"> Parties </w:t>
      </w:r>
      <w:r w:rsidR="007B5EFF" w:rsidRPr="008A068D">
        <w:rPr>
          <w:rFonts w:ascii="Arial" w:hAnsi="Arial" w:cs="Arial"/>
          <w:sz w:val="22"/>
          <w:szCs w:val="22"/>
          <w:lang w:val="en-US"/>
        </w:rPr>
        <w:t xml:space="preserve">(as well as </w:t>
      </w:r>
      <w:r w:rsidR="00B728F7" w:rsidRPr="008A068D">
        <w:rPr>
          <w:rFonts w:ascii="Arial" w:hAnsi="Arial" w:cs="Arial"/>
          <w:sz w:val="22"/>
          <w:szCs w:val="22"/>
          <w:lang w:val="en-US"/>
        </w:rPr>
        <w:t>non-Party stakeholders</w:t>
      </w:r>
      <w:r w:rsidR="007B5EFF" w:rsidRPr="008A068D">
        <w:rPr>
          <w:rFonts w:ascii="Arial" w:hAnsi="Arial" w:cs="Arial"/>
          <w:sz w:val="22"/>
          <w:szCs w:val="22"/>
          <w:lang w:val="en-US"/>
        </w:rPr>
        <w:t>)</w:t>
      </w:r>
      <w:r w:rsidR="00B728F7" w:rsidRPr="008A068D">
        <w:rPr>
          <w:rFonts w:ascii="Arial" w:hAnsi="Arial" w:cs="Arial"/>
          <w:sz w:val="22"/>
          <w:szCs w:val="22"/>
          <w:lang w:val="en-US"/>
        </w:rPr>
        <w:t xml:space="preserve"> to exchange knowledge on the latest scientific information and</w:t>
      </w:r>
      <w:r w:rsidRPr="008A068D">
        <w:rPr>
          <w:rFonts w:ascii="Arial" w:hAnsi="Arial" w:cs="Arial"/>
          <w:sz w:val="22"/>
          <w:szCs w:val="22"/>
          <w:lang w:val="en-US"/>
        </w:rPr>
        <w:t xml:space="preserve"> </w:t>
      </w:r>
      <w:r w:rsidR="00B728F7" w:rsidRPr="008A068D">
        <w:rPr>
          <w:rFonts w:ascii="Arial" w:hAnsi="Arial" w:cs="Arial"/>
          <w:sz w:val="22"/>
          <w:szCs w:val="22"/>
          <w:lang w:val="en-US"/>
        </w:rPr>
        <w:t>identify gaps and needs related to the implementation of the UNFCCC and the Paris</w:t>
      </w:r>
      <w:r w:rsidRPr="008A068D">
        <w:rPr>
          <w:rFonts w:ascii="Arial" w:hAnsi="Arial" w:cs="Arial"/>
          <w:sz w:val="22"/>
          <w:szCs w:val="22"/>
          <w:lang w:val="en-US"/>
        </w:rPr>
        <w:t xml:space="preserve"> </w:t>
      </w:r>
      <w:r w:rsidR="00B728F7" w:rsidRPr="008A068D">
        <w:rPr>
          <w:rFonts w:ascii="Arial" w:hAnsi="Arial" w:cs="Arial"/>
          <w:sz w:val="22"/>
          <w:szCs w:val="22"/>
          <w:lang w:val="en-US"/>
        </w:rPr>
        <w:t>Agreement.</w:t>
      </w:r>
    </w:p>
    <w:p w14:paraId="7F21407E" w14:textId="7158D486" w:rsidR="007B5EFF" w:rsidRPr="008A068D" w:rsidRDefault="007B5EFF" w:rsidP="00390657">
      <w:pPr>
        <w:snapToGrid w:val="0"/>
        <w:spacing w:after="240"/>
        <w:jc w:val="both"/>
        <w:rPr>
          <w:rFonts w:ascii="Arial" w:hAnsi="Arial" w:cs="Arial"/>
          <w:sz w:val="22"/>
          <w:szCs w:val="22"/>
          <w:lang w:val="en-US"/>
        </w:rPr>
      </w:pPr>
      <w:r w:rsidRPr="008A068D">
        <w:rPr>
          <w:rFonts w:ascii="Arial" w:hAnsi="Arial" w:cs="Arial"/>
          <w:sz w:val="22"/>
          <w:szCs w:val="22"/>
          <w:lang w:val="en-US"/>
        </w:rPr>
        <w:t xml:space="preserve">Thanks to the good on-going cooperation between UNFCCC and IOC and to IOC’s demonstrated record of provision of relevant and timely scientific information to the SBSTA, the Commission is invited on a regular basis to contribute to the SBSTA Research Dialogue. </w:t>
      </w:r>
      <w:r w:rsidR="00AA113C" w:rsidRPr="008A068D">
        <w:rPr>
          <w:rFonts w:ascii="Arial" w:hAnsi="Arial" w:cs="Arial"/>
          <w:sz w:val="22"/>
          <w:szCs w:val="22"/>
          <w:lang w:val="en-US"/>
        </w:rPr>
        <w:t>The thirteenth meeting of the research dialogue (1-2 June 2021) explored two themes:</w:t>
      </w:r>
    </w:p>
    <w:p w14:paraId="0B0C8EED" w14:textId="77777777" w:rsidR="00AA113C" w:rsidRPr="008A068D" w:rsidRDefault="00AA113C" w:rsidP="00390657">
      <w:pPr>
        <w:pStyle w:val="ListParagraph"/>
        <w:numPr>
          <w:ilvl w:val="0"/>
          <w:numId w:val="1"/>
        </w:numPr>
        <w:snapToGrid w:val="0"/>
        <w:spacing w:after="240"/>
        <w:ind w:left="709" w:hanging="709"/>
        <w:contextualSpacing w:val="0"/>
        <w:jc w:val="both"/>
        <w:rPr>
          <w:rFonts w:ascii="Arial" w:hAnsi="Arial" w:cs="Arial"/>
          <w:sz w:val="22"/>
          <w:szCs w:val="22"/>
          <w:lang w:val="en-US"/>
        </w:rPr>
      </w:pPr>
      <w:r w:rsidRPr="008A068D">
        <w:rPr>
          <w:rFonts w:ascii="Arial" w:hAnsi="Arial" w:cs="Arial"/>
          <w:sz w:val="22"/>
          <w:szCs w:val="22"/>
          <w:lang w:val="en-US"/>
        </w:rPr>
        <w:t>Theme 1. Climate system dynamics and modelling: New knowledge and its implications for decision making.</w:t>
      </w:r>
    </w:p>
    <w:p w14:paraId="19768DC5" w14:textId="450C3B38" w:rsidR="00AA113C" w:rsidRPr="00390657" w:rsidRDefault="00AA113C" w:rsidP="00390657">
      <w:pPr>
        <w:pStyle w:val="ListParagraph"/>
        <w:numPr>
          <w:ilvl w:val="0"/>
          <w:numId w:val="1"/>
        </w:numPr>
        <w:snapToGrid w:val="0"/>
        <w:spacing w:after="240"/>
        <w:ind w:left="709" w:hanging="709"/>
        <w:contextualSpacing w:val="0"/>
        <w:jc w:val="both"/>
        <w:rPr>
          <w:rFonts w:ascii="Arial" w:hAnsi="Arial" w:cs="Arial"/>
          <w:sz w:val="22"/>
          <w:szCs w:val="22"/>
          <w:lang w:val="en-US"/>
        </w:rPr>
      </w:pPr>
      <w:r w:rsidRPr="008A068D">
        <w:rPr>
          <w:rFonts w:ascii="Arial" w:hAnsi="Arial" w:cs="Arial"/>
          <w:sz w:val="22"/>
          <w:szCs w:val="22"/>
          <w:lang w:val="en-US"/>
        </w:rPr>
        <w:t xml:space="preserve">Theme 2. Resilience for and by nature: Building knowledge and understanding to weave the protection and restoration of nature into decision making on mitigation and adaptation. </w:t>
      </w:r>
    </w:p>
    <w:p w14:paraId="62286FDD" w14:textId="01489DC0" w:rsidR="007B5EFF" w:rsidRPr="008A068D" w:rsidRDefault="007B5EFF" w:rsidP="00390657">
      <w:pPr>
        <w:snapToGrid w:val="0"/>
        <w:spacing w:after="240"/>
        <w:jc w:val="both"/>
        <w:rPr>
          <w:rFonts w:ascii="Arial" w:hAnsi="Arial" w:cs="Arial"/>
          <w:sz w:val="22"/>
          <w:szCs w:val="22"/>
          <w:lang w:val="en-US"/>
        </w:rPr>
      </w:pPr>
      <w:r w:rsidRPr="008A068D">
        <w:rPr>
          <w:rFonts w:ascii="Arial" w:hAnsi="Arial" w:cs="Arial"/>
          <w:sz w:val="22"/>
          <w:szCs w:val="22"/>
          <w:lang w:val="en-US"/>
        </w:rPr>
        <w:t>The IOC Secretariat mobilized the participation of an expert from the IOC Group of Experts on Integrated Ocean Carbon Research (IOC-R), who made a presentation at the Research Dialogue entitled ‘</w:t>
      </w:r>
      <w:r w:rsidR="007A5AE5" w:rsidRPr="008A068D">
        <w:rPr>
          <w:rFonts w:ascii="Arial" w:hAnsi="Arial" w:cs="Arial"/>
          <w:sz w:val="22"/>
          <w:szCs w:val="22"/>
          <w:lang w:val="en-US"/>
        </w:rPr>
        <w:t>Potential synergies between mitigation and adaptation for the ocean sink and how to evaluate opportunities and tradeoffs</w:t>
      </w:r>
      <w:r w:rsidRPr="008A068D">
        <w:rPr>
          <w:rFonts w:ascii="Arial" w:hAnsi="Arial" w:cs="Arial"/>
          <w:sz w:val="22"/>
          <w:szCs w:val="22"/>
          <w:lang w:val="en-US"/>
        </w:rPr>
        <w:t>’.</w:t>
      </w:r>
      <w:r w:rsidR="007A5AE5" w:rsidRPr="008A068D">
        <w:rPr>
          <w:rFonts w:ascii="Arial" w:hAnsi="Arial" w:cs="Arial"/>
          <w:sz w:val="22"/>
          <w:szCs w:val="22"/>
          <w:lang w:val="en-US"/>
        </w:rPr>
        <w:t xml:space="preserve"> The presentation allowed to put ocean issues at the heart of the Research Dialogue, was very well received and triggered </w:t>
      </w:r>
      <w:proofErr w:type="gramStart"/>
      <w:r w:rsidR="007A5AE5" w:rsidRPr="008A068D">
        <w:rPr>
          <w:rFonts w:ascii="Arial" w:hAnsi="Arial" w:cs="Arial"/>
          <w:sz w:val="22"/>
          <w:szCs w:val="22"/>
          <w:lang w:val="en-US"/>
        </w:rPr>
        <w:t>a number of</w:t>
      </w:r>
      <w:proofErr w:type="gramEnd"/>
      <w:r w:rsidR="007A5AE5" w:rsidRPr="008A068D">
        <w:rPr>
          <w:rFonts w:ascii="Arial" w:hAnsi="Arial" w:cs="Arial"/>
          <w:sz w:val="22"/>
          <w:szCs w:val="22"/>
          <w:lang w:val="en-US"/>
        </w:rPr>
        <w:t xml:space="preserve"> questions by and interactions between the IOC-R expert and Parties to the Convention. </w:t>
      </w:r>
    </w:p>
    <w:p w14:paraId="25433385" w14:textId="59D89063" w:rsidR="003D162E" w:rsidRPr="008A068D" w:rsidRDefault="003D162E" w:rsidP="00390657">
      <w:pPr>
        <w:snapToGrid w:val="0"/>
        <w:spacing w:after="240"/>
        <w:jc w:val="both"/>
        <w:rPr>
          <w:rFonts w:ascii="Arial" w:hAnsi="Arial" w:cs="Arial"/>
          <w:sz w:val="22"/>
          <w:szCs w:val="22"/>
          <w:lang w:val="en-US"/>
        </w:rPr>
      </w:pPr>
      <w:r w:rsidRPr="008A068D">
        <w:rPr>
          <w:rFonts w:ascii="Arial" w:hAnsi="Arial" w:cs="Arial"/>
          <w:sz w:val="22"/>
          <w:szCs w:val="22"/>
          <w:lang w:val="en-US"/>
        </w:rPr>
        <w:t>Since the industrial revolution, the ocean has evolved into a major sink for carbon generated by human activities. Without oceanic and terrestrial sinks, atmospheric CO</w:t>
      </w:r>
      <w:r w:rsidRPr="008A068D">
        <w:rPr>
          <w:rFonts w:ascii="Arial" w:hAnsi="Arial" w:cs="Arial"/>
          <w:sz w:val="22"/>
          <w:szCs w:val="22"/>
          <w:vertAlign w:val="subscript"/>
          <w:lang w:val="en-US"/>
        </w:rPr>
        <w:t>2</w:t>
      </w:r>
      <w:r w:rsidRPr="008A068D">
        <w:rPr>
          <w:rFonts w:ascii="Arial" w:hAnsi="Arial" w:cs="Arial"/>
          <w:sz w:val="22"/>
          <w:szCs w:val="22"/>
          <w:lang w:val="en-US"/>
        </w:rPr>
        <w:t xml:space="preserve"> levels would be close to 600 ppm (parts per million), well above the level compatible with a global warming target limited to 2 ̊C.</w:t>
      </w:r>
      <w:r w:rsidR="008A068D" w:rsidRPr="008A068D">
        <w:rPr>
          <w:rFonts w:ascii="Arial" w:hAnsi="Arial" w:cs="Arial"/>
          <w:sz w:val="22"/>
          <w:szCs w:val="22"/>
          <w:lang w:val="en-US"/>
        </w:rPr>
        <w:t xml:space="preserve"> </w:t>
      </w:r>
      <w:r w:rsidRPr="008A068D">
        <w:rPr>
          <w:rFonts w:ascii="Arial" w:hAnsi="Arial" w:cs="Arial"/>
          <w:sz w:val="22"/>
          <w:szCs w:val="22"/>
          <w:lang w:val="en-US"/>
        </w:rPr>
        <w:t>In the context of climate change, however, it is still unclear to scientists if the ocean will continue to help mitigate the effects of global warming, or its capacity to absorb carbon from the atmosphere will be altered as a consequence of the numerous human-induced ocean changes.</w:t>
      </w:r>
      <w:r w:rsidR="008A068D" w:rsidRPr="008A068D">
        <w:rPr>
          <w:rFonts w:ascii="Arial" w:hAnsi="Arial" w:cs="Arial"/>
          <w:sz w:val="22"/>
          <w:szCs w:val="22"/>
          <w:lang w:val="en-US"/>
        </w:rPr>
        <w:t xml:space="preserve"> </w:t>
      </w:r>
      <w:r w:rsidRPr="008A068D">
        <w:rPr>
          <w:rFonts w:ascii="Arial" w:hAnsi="Arial" w:cs="Arial"/>
          <w:sz w:val="22"/>
          <w:szCs w:val="22"/>
          <w:lang w:val="en-US"/>
        </w:rPr>
        <w:t xml:space="preserve">Faced with the urgent need to find answers to this and other crucial scientific questions, five international research programmes on ocean and climate interaction have joined the Intergovernmental Oceanographic Commission (IOC) of UNESCO to agree on a roadmap for future research, with the ultimate goal of providing decision-makers with the knowledge needed to implement effective climate change mitigation and adaptation policies in the next ten years. </w:t>
      </w:r>
    </w:p>
    <w:p w14:paraId="3B3B8F90" w14:textId="6428044D" w:rsidR="003D162E" w:rsidRPr="008A068D" w:rsidRDefault="003D162E" w:rsidP="00390657">
      <w:pPr>
        <w:snapToGrid w:val="0"/>
        <w:spacing w:after="240"/>
        <w:jc w:val="both"/>
        <w:rPr>
          <w:rFonts w:ascii="Arial" w:hAnsi="Arial" w:cs="Arial"/>
          <w:sz w:val="22"/>
          <w:szCs w:val="22"/>
          <w:lang w:val="en-US"/>
        </w:rPr>
      </w:pPr>
      <w:r w:rsidRPr="008A068D">
        <w:rPr>
          <w:rFonts w:ascii="Arial" w:hAnsi="Arial" w:cs="Arial"/>
          <w:sz w:val="22"/>
          <w:szCs w:val="22"/>
          <w:lang w:val="en-US"/>
        </w:rPr>
        <w:t>The IOC Working Group on Integrated Ocean Carbon Research (IOC-R), established in 2018,  and coordinated by IOC, fosters active collaboration and synergies amongst IOC, the International Ocean Carbon Coordination Project (IOCCP), the Surface-Ocean Lower Atmosphere Study (SOLAS), the Integrated Marine Biosphere Research (IMBeR), the Global Carbon Project (GCP), the core project on Climate and Ocean Variability, Predictability and Change (CLIVAR) of the World Climate Research Programme (WCRP), and relevant national efforts on carbon research. IOC-R welcomes promotion of this programme from all the Member States, encourages national support of coordinated carbon research, and is open to any other relevant international efforts on ocean carbon research.</w:t>
      </w:r>
    </w:p>
    <w:p w14:paraId="181FF251" w14:textId="33FC30C8" w:rsidR="003D162E" w:rsidRPr="008A068D" w:rsidRDefault="003D162E" w:rsidP="00390657">
      <w:pPr>
        <w:snapToGrid w:val="0"/>
        <w:spacing w:after="240"/>
        <w:jc w:val="both"/>
        <w:rPr>
          <w:rFonts w:ascii="Arial" w:hAnsi="Arial" w:cs="Arial"/>
          <w:sz w:val="22"/>
          <w:szCs w:val="22"/>
          <w:lang w:val="en-US"/>
        </w:rPr>
      </w:pPr>
      <w:r w:rsidRPr="008A068D">
        <w:rPr>
          <w:rFonts w:ascii="Arial" w:hAnsi="Arial" w:cs="Arial"/>
          <w:sz w:val="22"/>
          <w:szCs w:val="22"/>
          <w:lang w:val="en-US"/>
        </w:rPr>
        <w:lastRenderedPageBreak/>
        <w:t>A dedicated publication has been made available to IOC Member States attending the 31st session of the IOC Assembly.</w:t>
      </w:r>
      <w:r w:rsidRPr="008A068D">
        <w:rPr>
          <w:rStyle w:val="FootnoteReference"/>
          <w:rFonts w:ascii="Arial" w:hAnsi="Arial" w:cs="Arial"/>
          <w:sz w:val="22"/>
          <w:szCs w:val="22"/>
          <w:lang w:val="en-US"/>
        </w:rPr>
        <w:footnoteReference w:id="1"/>
      </w:r>
      <w:r w:rsidR="008A068D" w:rsidRPr="008A068D">
        <w:rPr>
          <w:rFonts w:ascii="Arial" w:hAnsi="Arial" w:cs="Arial"/>
          <w:sz w:val="22"/>
          <w:szCs w:val="22"/>
          <w:lang w:val="en-US"/>
        </w:rPr>
        <w:t xml:space="preserve"> </w:t>
      </w:r>
      <w:r w:rsidRPr="008A068D">
        <w:rPr>
          <w:rFonts w:ascii="Arial" w:hAnsi="Arial" w:cs="Arial"/>
          <w:sz w:val="22"/>
          <w:szCs w:val="22"/>
          <w:lang w:val="en-US"/>
        </w:rPr>
        <w:t>UNFCCC has collaborated to the shaping of the IOC-R agenda by informing the IOC-R Group of Experts of policy needs for information on scientific and technological aspects of ocean carbon.</w:t>
      </w:r>
    </w:p>
    <w:p w14:paraId="6DFD0669" w14:textId="37904036" w:rsidR="00B3713D" w:rsidRPr="008A068D" w:rsidRDefault="00AA113C" w:rsidP="00390657">
      <w:pPr>
        <w:snapToGrid w:val="0"/>
        <w:spacing w:after="240"/>
        <w:jc w:val="both"/>
        <w:rPr>
          <w:rFonts w:ascii="Arial" w:hAnsi="Arial" w:cs="Arial"/>
          <w:sz w:val="22"/>
          <w:szCs w:val="22"/>
          <w:lang w:val="en-US"/>
        </w:rPr>
      </w:pPr>
      <w:r w:rsidRPr="008A068D">
        <w:rPr>
          <w:rFonts w:ascii="Arial" w:hAnsi="Arial" w:cs="Arial"/>
          <w:sz w:val="22"/>
          <w:szCs w:val="22"/>
          <w:lang w:val="en-US"/>
        </w:rPr>
        <w:t>P</w:t>
      </w:r>
      <w:r w:rsidR="00B728F7" w:rsidRPr="008A068D">
        <w:rPr>
          <w:rFonts w:ascii="Arial" w:hAnsi="Arial" w:cs="Arial"/>
          <w:sz w:val="22"/>
          <w:szCs w:val="22"/>
          <w:lang w:val="en-US"/>
        </w:rPr>
        <w:t>rotecting and restoring nature is fundamental for resilience to climate</w:t>
      </w:r>
      <w:r w:rsidRPr="008A068D">
        <w:rPr>
          <w:rFonts w:ascii="Arial" w:hAnsi="Arial" w:cs="Arial"/>
          <w:sz w:val="22"/>
          <w:szCs w:val="22"/>
          <w:lang w:val="en-US"/>
        </w:rPr>
        <w:t xml:space="preserve"> </w:t>
      </w:r>
      <w:r w:rsidR="00B728F7" w:rsidRPr="008A068D">
        <w:rPr>
          <w:rFonts w:ascii="Arial" w:hAnsi="Arial" w:cs="Arial"/>
          <w:sz w:val="22"/>
          <w:szCs w:val="22"/>
          <w:lang w:val="en-US"/>
        </w:rPr>
        <w:t>change and to</w:t>
      </w:r>
      <w:r w:rsidRPr="008A068D">
        <w:rPr>
          <w:rFonts w:ascii="Arial" w:hAnsi="Arial" w:cs="Arial"/>
          <w:sz w:val="22"/>
          <w:szCs w:val="22"/>
          <w:lang w:val="en-US"/>
        </w:rPr>
        <w:t xml:space="preserve"> </w:t>
      </w:r>
      <w:r w:rsidR="00B728F7" w:rsidRPr="008A068D">
        <w:rPr>
          <w:rFonts w:ascii="Arial" w:hAnsi="Arial" w:cs="Arial"/>
          <w:sz w:val="22"/>
          <w:szCs w:val="22"/>
          <w:lang w:val="en-US"/>
        </w:rPr>
        <w:t>pathways that limit warming to 1.5 degrees while providing co-benefits for</w:t>
      </w:r>
      <w:r w:rsidRPr="008A068D">
        <w:rPr>
          <w:rFonts w:ascii="Arial" w:hAnsi="Arial" w:cs="Arial"/>
          <w:sz w:val="22"/>
          <w:szCs w:val="22"/>
          <w:lang w:val="en-US"/>
        </w:rPr>
        <w:t xml:space="preserve"> </w:t>
      </w:r>
      <w:r w:rsidR="00B728F7" w:rsidRPr="008A068D">
        <w:rPr>
          <w:rFonts w:ascii="Arial" w:hAnsi="Arial" w:cs="Arial"/>
          <w:sz w:val="22"/>
          <w:szCs w:val="22"/>
          <w:lang w:val="en-US"/>
        </w:rPr>
        <w:t>ecosystem</w:t>
      </w:r>
      <w:r w:rsidRPr="008A068D">
        <w:rPr>
          <w:rFonts w:ascii="Arial" w:hAnsi="Arial" w:cs="Arial"/>
          <w:sz w:val="22"/>
          <w:szCs w:val="22"/>
          <w:lang w:val="en-US"/>
        </w:rPr>
        <w:t xml:space="preserve"> </w:t>
      </w:r>
      <w:r w:rsidR="00B728F7" w:rsidRPr="008A068D">
        <w:rPr>
          <w:rFonts w:ascii="Arial" w:hAnsi="Arial" w:cs="Arial"/>
          <w:sz w:val="22"/>
          <w:szCs w:val="22"/>
          <w:lang w:val="en-US"/>
        </w:rPr>
        <w:t xml:space="preserve">health, community resilience, and biodiversity. </w:t>
      </w:r>
      <w:r w:rsidR="00E07939" w:rsidRPr="008A068D">
        <w:rPr>
          <w:rFonts w:ascii="Arial" w:hAnsi="Arial" w:cs="Arial"/>
          <w:sz w:val="22"/>
          <w:szCs w:val="22"/>
          <w:lang w:val="en-US"/>
        </w:rPr>
        <w:t>The IOC Secretariat contributed to Theme 2</w:t>
      </w:r>
      <w:r w:rsidR="007B5EFF" w:rsidRPr="008A068D">
        <w:rPr>
          <w:rFonts w:ascii="Arial" w:hAnsi="Arial" w:cs="Arial"/>
          <w:sz w:val="22"/>
          <w:szCs w:val="22"/>
          <w:lang w:val="en-US"/>
        </w:rPr>
        <w:t xml:space="preserve"> </w:t>
      </w:r>
      <w:r w:rsidR="00E07939" w:rsidRPr="008A068D">
        <w:rPr>
          <w:rFonts w:ascii="Arial" w:hAnsi="Arial" w:cs="Arial"/>
          <w:sz w:val="22"/>
          <w:szCs w:val="22"/>
          <w:lang w:val="en-US"/>
        </w:rPr>
        <w:t xml:space="preserve">with a </w:t>
      </w:r>
      <w:hyperlink r:id="rId15" w:history="1">
        <w:r w:rsidR="00E07939" w:rsidRPr="008A068D">
          <w:rPr>
            <w:rStyle w:val="Hyperlink"/>
            <w:rFonts w:ascii="Arial" w:hAnsi="Arial" w:cs="Arial"/>
            <w:sz w:val="22"/>
            <w:szCs w:val="22"/>
            <w:lang w:val="en-US"/>
          </w:rPr>
          <w:t>poster presentation</w:t>
        </w:r>
      </w:hyperlink>
      <w:r w:rsidR="00E07939" w:rsidRPr="008A068D">
        <w:rPr>
          <w:rFonts w:ascii="Arial" w:hAnsi="Arial" w:cs="Arial"/>
          <w:sz w:val="22"/>
          <w:szCs w:val="22"/>
          <w:lang w:val="en-US"/>
        </w:rPr>
        <w:t xml:space="preserve"> on current work in support of the protection and restoration of coastal </w:t>
      </w:r>
      <w:r w:rsidR="00B3713D" w:rsidRPr="008A068D">
        <w:rPr>
          <w:rFonts w:ascii="Arial" w:hAnsi="Arial" w:cs="Arial"/>
          <w:sz w:val="22"/>
          <w:szCs w:val="22"/>
          <w:lang w:val="en-US"/>
        </w:rPr>
        <w:t>b</w:t>
      </w:r>
      <w:r w:rsidR="00E07939" w:rsidRPr="008A068D">
        <w:rPr>
          <w:rFonts w:ascii="Arial" w:hAnsi="Arial" w:cs="Arial"/>
          <w:sz w:val="22"/>
          <w:szCs w:val="22"/>
          <w:lang w:val="en-US"/>
        </w:rPr>
        <w:t xml:space="preserve">lue </w:t>
      </w:r>
      <w:r w:rsidR="00B3713D" w:rsidRPr="008A068D">
        <w:rPr>
          <w:rFonts w:ascii="Arial" w:hAnsi="Arial" w:cs="Arial"/>
          <w:sz w:val="22"/>
          <w:szCs w:val="22"/>
          <w:lang w:val="en-US"/>
        </w:rPr>
        <w:t>c</w:t>
      </w:r>
      <w:r w:rsidR="00E07939" w:rsidRPr="008A068D">
        <w:rPr>
          <w:rFonts w:ascii="Arial" w:hAnsi="Arial" w:cs="Arial"/>
          <w:sz w:val="22"/>
          <w:szCs w:val="22"/>
          <w:lang w:val="en-US"/>
        </w:rPr>
        <w:t xml:space="preserve">arbon ecosystems for climate change mitigation and adaptation. This includes the coordination of the </w:t>
      </w:r>
      <w:hyperlink r:id="rId16" w:history="1">
        <w:r w:rsidR="00E07939" w:rsidRPr="008A068D">
          <w:rPr>
            <w:rStyle w:val="Hyperlink"/>
            <w:rFonts w:ascii="Arial" w:hAnsi="Arial" w:cs="Arial"/>
            <w:color w:val="auto"/>
            <w:sz w:val="22"/>
            <w:szCs w:val="22"/>
            <w:lang w:val="en-US"/>
          </w:rPr>
          <w:t>Blue Carbon Initiative</w:t>
        </w:r>
      </w:hyperlink>
      <w:r w:rsidR="00E07939" w:rsidRPr="008A068D">
        <w:rPr>
          <w:rFonts w:ascii="Arial" w:hAnsi="Arial" w:cs="Arial"/>
          <w:sz w:val="22"/>
          <w:szCs w:val="22"/>
          <w:lang w:val="en-US"/>
        </w:rPr>
        <w:t xml:space="preserve"> </w:t>
      </w:r>
      <w:r w:rsidR="00B3713D" w:rsidRPr="008A068D">
        <w:rPr>
          <w:rFonts w:ascii="Arial" w:hAnsi="Arial" w:cs="Arial"/>
          <w:sz w:val="22"/>
          <w:szCs w:val="22"/>
          <w:lang w:val="en-US"/>
        </w:rPr>
        <w:t xml:space="preserve">with Conservation International and IUCN, </w:t>
      </w:r>
      <w:r w:rsidR="00E07939" w:rsidRPr="008A068D">
        <w:rPr>
          <w:rFonts w:ascii="Arial" w:hAnsi="Arial" w:cs="Arial"/>
          <w:sz w:val="22"/>
          <w:szCs w:val="22"/>
          <w:lang w:val="en-US"/>
        </w:rPr>
        <w:t xml:space="preserve">and the </w:t>
      </w:r>
      <w:r w:rsidR="00B3713D" w:rsidRPr="008A068D">
        <w:rPr>
          <w:rFonts w:ascii="Arial" w:hAnsi="Arial" w:cs="Arial"/>
          <w:sz w:val="22"/>
          <w:szCs w:val="22"/>
          <w:lang w:val="en-US"/>
        </w:rPr>
        <w:t xml:space="preserve">coordination of the </w:t>
      </w:r>
      <w:hyperlink r:id="rId17" w:history="1">
        <w:r w:rsidR="00E07939" w:rsidRPr="008A068D">
          <w:rPr>
            <w:rStyle w:val="Hyperlink"/>
            <w:rFonts w:ascii="Arial" w:hAnsi="Arial" w:cs="Arial"/>
            <w:color w:val="auto"/>
            <w:sz w:val="22"/>
            <w:szCs w:val="22"/>
            <w:lang w:val="en-US"/>
          </w:rPr>
          <w:t>International Partnership for Blue Carbon</w:t>
        </w:r>
      </w:hyperlink>
      <w:r w:rsidR="00B3713D" w:rsidRPr="008A068D">
        <w:rPr>
          <w:rFonts w:ascii="Arial" w:hAnsi="Arial" w:cs="Arial"/>
          <w:sz w:val="22"/>
          <w:szCs w:val="22"/>
          <w:lang w:val="en-US"/>
        </w:rPr>
        <w:t xml:space="preserve"> with the Australian Department for Agriculture, Water and the Environment. By connecting governments with scientists, non-governmental organizations and intergovernmental organizations, the IOC helps building knowledge to weave the protection and restoration of coastal blue carbon ecosystems into decision making on mitigation and adaptation to climate change. </w:t>
      </w:r>
    </w:p>
    <w:p w14:paraId="7D45C697" w14:textId="3C021945" w:rsidR="00E07939" w:rsidRPr="008A068D" w:rsidRDefault="00B3713D" w:rsidP="00390657">
      <w:pPr>
        <w:snapToGrid w:val="0"/>
        <w:spacing w:after="240"/>
        <w:jc w:val="both"/>
        <w:rPr>
          <w:rFonts w:ascii="Arial" w:hAnsi="Arial" w:cs="Arial"/>
          <w:sz w:val="22"/>
          <w:szCs w:val="22"/>
          <w:lang w:val="en-US"/>
        </w:rPr>
      </w:pPr>
      <w:r w:rsidRPr="008A068D">
        <w:rPr>
          <w:rFonts w:ascii="Arial" w:hAnsi="Arial" w:cs="Arial"/>
          <w:sz w:val="22"/>
          <w:szCs w:val="22"/>
          <w:lang w:val="en-US"/>
        </w:rPr>
        <w:t xml:space="preserve">Depending on the format of COP26, the possibility of organizing a side event on blue carbon will be discussed with partners from the Blue Carbon Initiative and the International Partnership for Blue Carbon in the </w:t>
      </w:r>
      <w:r w:rsidR="003E25A7" w:rsidRPr="008A068D">
        <w:rPr>
          <w:rFonts w:ascii="Arial" w:hAnsi="Arial" w:cs="Arial"/>
          <w:sz w:val="22"/>
          <w:szCs w:val="22"/>
          <w:lang w:val="en-US"/>
        </w:rPr>
        <w:t xml:space="preserve">lead up to </w:t>
      </w:r>
      <w:r w:rsidR="0009684A" w:rsidRPr="008A068D">
        <w:rPr>
          <w:rFonts w:ascii="Arial" w:hAnsi="Arial" w:cs="Arial"/>
          <w:sz w:val="22"/>
          <w:szCs w:val="22"/>
          <w:lang w:val="en-US"/>
        </w:rPr>
        <w:t xml:space="preserve">the COP. </w:t>
      </w:r>
    </w:p>
    <w:p w14:paraId="40C289BD" w14:textId="6E39D736" w:rsidR="000276F8" w:rsidRPr="00390657" w:rsidRDefault="008A068D" w:rsidP="00390657">
      <w:pPr>
        <w:snapToGrid w:val="0"/>
        <w:spacing w:after="240"/>
        <w:jc w:val="both"/>
        <w:rPr>
          <w:rFonts w:ascii="Arial" w:hAnsi="Arial" w:cs="Arial"/>
          <w:bCs/>
          <w:i/>
          <w:iCs/>
          <w:noProof/>
          <w:color w:val="000000" w:themeColor="text1"/>
          <w:sz w:val="22"/>
          <w:szCs w:val="22"/>
          <w:u w:val="single"/>
          <w:lang w:val="en-US"/>
        </w:rPr>
      </w:pPr>
      <w:r w:rsidRPr="008A068D">
        <w:rPr>
          <w:rFonts w:ascii="Arial" w:hAnsi="Arial" w:cs="Arial"/>
          <w:bCs/>
          <w:i/>
          <w:iCs/>
          <w:noProof/>
          <w:color w:val="000000" w:themeColor="text1"/>
          <w:sz w:val="22"/>
          <w:szCs w:val="22"/>
          <w:u w:val="single"/>
          <w:lang w:val="en-US"/>
        </w:rPr>
        <w:t xml:space="preserve">Contribution to the </w:t>
      </w:r>
      <w:r w:rsidRPr="008A068D">
        <w:rPr>
          <w:rFonts w:ascii="Arial" w:hAnsi="Arial" w:cs="Arial"/>
          <w:bCs/>
          <w:i/>
          <w:iCs/>
          <w:color w:val="202020"/>
          <w:sz w:val="22"/>
          <w:szCs w:val="22"/>
          <w:u w:val="single"/>
          <w:lang w:val="en-US"/>
        </w:rPr>
        <w:t xml:space="preserve">Nairobi Work </w:t>
      </w:r>
      <w:proofErr w:type="spellStart"/>
      <w:r w:rsidRPr="008A068D">
        <w:rPr>
          <w:rFonts w:ascii="Arial" w:hAnsi="Arial" w:cs="Arial"/>
          <w:bCs/>
          <w:i/>
          <w:iCs/>
          <w:color w:val="202020"/>
          <w:sz w:val="22"/>
          <w:szCs w:val="22"/>
          <w:u w:val="single"/>
          <w:lang w:val="en-US"/>
        </w:rPr>
        <w:t>Programme</w:t>
      </w:r>
      <w:proofErr w:type="spellEnd"/>
      <w:r w:rsidRPr="008A068D">
        <w:rPr>
          <w:rFonts w:ascii="Arial" w:hAnsi="Arial" w:cs="Arial"/>
          <w:bCs/>
          <w:i/>
          <w:iCs/>
          <w:color w:val="202020"/>
          <w:sz w:val="22"/>
          <w:szCs w:val="22"/>
          <w:u w:val="single"/>
          <w:lang w:val="en-US"/>
        </w:rPr>
        <w:t xml:space="preserve"> (NWP) on Ocean</w:t>
      </w:r>
    </w:p>
    <w:p w14:paraId="42DEBFED" w14:textId="6CE84856" w:rsidR="000276F8" w:rsidRPr="008A068D" w:rsidRDefault="000276F8" w:rsidP="00390657">
      <w:pPr>
        <w:snapToGrid w:val="0"/>
        <w:spacing w:after="240"/>
        <w:jc w:val="both"/>
        <w:rPr>
          <w:rFonts w:ascii="Arial" w:hAnsi="Arial" w:cs="Arial"/>
          <w:color w:val="202020"/>
          <w:sz w:val="22"/>
          <w:szCs w:val="22"/>
          <w:lang w:val="en-US"/>
        </w:rPr>
      </w:pPr>
      <w:r w:rsidRPr="008A068D">
        <w:rPr>
          <w:rFonts w:ascii="Arial" w:hAnsi="Arial" w:cs="Arial"/>
          <w:noProof/>
          <w:color w:val="000000" w:themeColor="text1"/>
          <w:sz w:val="22"/>
          <w:szCs w:val="22"/>
          <w:lang w:val="en-US"/>
        </w:rPr>
        <w:t>During this period, the IOC collaborated with the UNFCCC and partners on the</w:t>
      </w:r>
      <w:r w:rsidRPr="008A068D">
        <w:rPr>
          <w:rFonts w:ascii="Arial" w:hAnsi="Arial" w:cs="Arial"/>
          <w:color w:val="202020"/>
          <w:sz w:val="22"/>
          <w:szCs w:val="22"/>
          <w:lang w:val="en-US"/>
        </w:rPr>
        <w:t xml:space="preserve"> Nairobi Work </w:t>
      </w:r>
      <w:proofErr w:type="spellStart"/>
      <w:r w:rsidRPr="008A068D">
        <w:rPr>
          <w:rFonts w:ascii="Arial" w:hAnsi="Arial" w:cs="Arial"/>
          <w:color w:val="202020"/>
          <w:sz w:val="22"/>
          <w:szCs w:val="22"/>
          <w:lang w:val="en-US"/>
        </w:rPr>
        <w:t>Programme</w:t>
      </w:r>
      <w:proofErr w:type="spellEnd"/>
      <w:r w:rsidRPr="008A068D">
        <w:rPr>
          <w:rFonts w:ascii="Arial" w:hAnsi="Arial" w:cs="Arial"/>
          <w:color w:val="202020"/>
          <w:sz w:val="22"/>
          <w:szCs w:val="22"/>
          <w:lang w:val="en-US"/>
        </w:rPr>
        <w:t xml:space="preserve"> (NWP) on Ocean. The NWP works in collaboration with partners and experts to advance activities that produce usable knowledge products and catalyze partnerships for collaborative action through a stepwise approach in response to identified knowledge needs in a wide range of thematic areas (e.g. oceans, coastal areas, ecosystems etc.).The NWP is currently focusing on the topic of Ocean. In line with the NWP knowledge to action methodology, key steps were undertaken to close knowledge gaps on oceans that help scale up adaptation action. A Group of Experts was convened, and a scoping paper was produced in November 2019. IOC participates in the newly created Group of Experts. In addition, a virtual Group of the Expert meeting was held on 21-22 November 2019 to co-design the thirteenth Focal Point Forum and plan collaborative actions. </w:t>
      </w:r>
    </w:p>
    <w:p w14:paraId="1BF69CB4" w14:textId="262C09B9" w:rsidR="000276F8" w:rsidRPr="008A068D" w:rsidRDefault="000276F8" w:rsidP="00390657">
      <w:pPr>
        <w:snapToGrid w:val="0"/>
        <w:spacing w:after="240"/>
        <w:jc w:val="both"/>
        <w:rPr>
          <w:rFonts w:ascii="Arial" w:hAnsi="Arial" w:cs="Arial"/>
          <w:color w:val="252525"/>
          <w:sz w:val="22"/>
          <w:szCs w:val="22"/>
          <w:lang w:val="en-US"/>
        </w:rPr>
      </w:pPr>
      <w:r w:rsidRPr="008A068D">
        <w:rPr>
          <w:rFonts w:ascii="Arial" w:hAnsi="Arial" w:cs="Arial"/>
          <w:color w:val="202020"/>
          <w:sz w:val="22"/>
          <w:szCs w:val="22"/>
          <w:lang w:val="en-US"/>
        </w:rPr>
        <w:t>The Thirteenth NWP Focal Point Forum was held under the guidance of the Chair of the SBSTA as a side event at COP 25, 6 December 2019, Madrid, Spain. The Focal Point Forum focused on four themes: Governance and Participation; Data and Methods; Restoration and Protection; Support (Technology and Innovation, finance and funding, capacity building and education). IOC led and moderated the Data and Methods session.</w:t>
      </w:r>
      <w:r w:rsidRPr="008A068D">
        <w:rPr>
          <w:rFonts w:ascii="Arial" w:hAnsi="Arial" w:cs="Arial"/>
          <w:color w:val="252525"/>
          <w:sz w:val="22"/>
          <w:szCs w:val="22"/>
          <w:lang w:val="en-US"/>
        </w:rPr>
        <w:t xml:space="preserve"> </w:t>
      </w:r>
    </w:p>
    <w:p w14:paraId="4A025F3F" w14:textId="027DC911" w:rsidR="000276F8" w:rsidRPr="008A068D" w:rsidRDefault="000276F8" w:rsidP="00390657">
      <w:pPr>
        <w:snapToGrid w:val="0"/>
        <w:spacing w:after="240"/>
        <w:jc w:val="both"/>
        <w:rPr>
          <w:rFonts w:ascii="Arial" w:hAnsi="Arial" w:cs="Arial"/>
          <w:bCs/>
          <w:color w:val="000000" w:themeColor="text1"/>
          <w:sz w:val="22"/>
          <w:szCs w:val="22"/>
          <w:lang w:val="en-US"/>
        </w:rPr>
      </w:pPr>
      <w:r w:rsidRPr="008A068D">
        <w:rPr>
          <w:rFonts w:ascii="Arial" w:hAnsi="Arial" w:cs="Arial"/>
          <w:color w:val="252525"/>
          <w:sz w:val="22"/>
          <w:szCs w:val="22"/>
          <w:lang w:val="en-US"/>
        </w:rPr>
        <w:t xml:space="preserve">The UNFCCC and NWP are preparing a report to capture the outcomes in terms of actions </w:t>
      </w:r>
      <w:proofErr w:type="gramStart"/>
      <w:r w:rsidRPr="008A068D">
        <w:rPr>
          <w:rFonts w:ascii="Arial" w:hAnsi="Arial" w:cs="Arial"/>
          <w:color w:val="252525"/>
          <w:sz w:val="22"/>
          <w:szCs w:val="22"/>
          <w:lang w:val="en-US"/>
        </w:rPr>
        <w:t>as a result of</w:t>
      </w:r>
      <w:proofErr w:type="gramEnd"/>
      <w:r w:rsidRPr="008A068D">
        <w:rPr>
          <w:rFonts w:ascii="Arial" w:hAnsi="Arial" w:cs="Arial"/>
          <w:color w:val="252525"/>
          <w:sz w:val="22"/>
          <w:szCs w:val="22"/>
          <w:lang w:val="en-US"/>
        </w:rPr>
        <w:t xml:space="preserve"> the findings in the scoping paper, Group of the Expert meeting, as well as discussions during the</w:t>
      </w:r>
      <w:r w:rsidRPr="008A068D">
        <w:rPr>
          <w:rFonts w:ascii="Arial" w:hAnsi="Arial" w:cs="Arial"/>
          <w:color w:val="202020"/>
          <w:sz w:val="22"/>
          <w:szCs w:val="22"/>
          <w:lang w:val="en-US"/>
        </w:rPr>
        <w:t xml:space="preserve"> thirteenth</w:t>
      </w:r>
      <w:r w:rsidRPr="008A068D">
        <w:rPr>
          <w:rFonts w:ascii="Arial" w:hAnsi="Arial" w:cs="Arial"/>
          <w:color w:val="252525"/>
          <w:sz w:val="22"/>
          <w:szCs w:val="22"/>
          <w:lang w:val="en-US"/>
        </w:rPr>
        <w:t xml:space="preserve"> Focal Point Forum. The report will include indicative collaborative actions of engaging experts, </w:t>
      </w:r>
      <w:proofErr w:type="gramStart"/>
      <w:r w:rsidRPr="008A068D">
        <w:rPr>
          <w:rFonts w:ascii="Arial" w:hAnsi="Arial" w:cs="Arial"/>
          <w:color w:val="252525"/>
          <w:sz w:val="22"/>
          <w:szCs w:val="22"/>
          <w:lang w:val="en-US"/>
        </w:rPr>
        <w:t>organizations</w:t>
      </w:r>
      <w:proofErr w:type="gramEnd"/>
      <w:r w:rsidRPr="008A068D">
        <w:rPr>
          <w:rFonts w:ascii="Arial" w:hAnsi="Arial" w:cs="Arial"/>
          <w:color w:val="252525"/>
          <w:sz w:val="22"/>
          <w:szCs w:val="22"/>
          <w:lang w:val="en-US"/>
        </w:rPr>
        <w:t xml:space="preserve"> and partners.</w:t>
      </w:r>
    </w:p>
    <w:p w14:paraId="182A648D" w14:textId="2E972FE6" w:rsidR="000276F8" w:rsidRPr="00390657" w:rsidRDefault="000276F8" w:rsidP="00390657">
      <w:pPr>
        <w:snapToGrid w:val="0"/>
        <w:spacing w:after="240"/>
        <w:jc w:val="both"/>
        <w:rPr>
          <w:rFonts w:ascii="Arial" w:hAnsi="Arial" w:cs="Arial"/>
          <w:bCs/>
          <w:color w:val="000000" w:themeColor="text1"/>
          <w:sz w:val="22"/>
          <w:szCs w:val="22"/>
          <w:lang w:val="en-US"/>
        </w:rPr>
      </w:pPr>
      <w:r w:rsidRPr="008A068D">
        <w:rPr>
          <w:rFonts w:ascii="Arial" w:hAnsi="Arial" w:cs="Arial"/>
          <w:sz w:val="22"/>
          <w:szCs w:val="22"/>
          <w:lang w:val="en-US"/>
        </w:rPr>
        <w:t xml:space="preserve">These collaborative actions will aim at addressing the knowledge gaps on this thematic area </w:t>
      </w:r>
      <w:proofErr w:type="gramStart"/>
      <w:r w:rsidRPr="008A068D">
        <w:rPr>
          <w:rFonts w:ascii="Arial" w:hAnsi="Arial" w:cs="Arial"/>
          <w:sz w:val="22"/>
          <w:szCs w:val="22"/>
          <w:lang w:val="en-US"/>
        </w:rPr>
        <w:t>during the course of</w:t>
      </w:r>
      <w:proofErr w:type="gramEnd"/>
      <w:r w:rsidRPr="008A068D">
        <w:rPr>
          <w:rFonts w:ascii="Arial" w:hAnsi="Arial" w:cs="Arial"/>
          <w:sz w:val="22"/>
          <w:szCs w:val="22"/>
          <w:lang w:val="en-US"/>
        </w:rPr>
        <w:t xml:space="preserve"> 2020. The progress made on these partnerships will be shared with Parties at SBSTA 52 (June 2020). In addition, the NWP intends to explore the possibility of co-</w:t>
      </w:r>
      <w:r w:rsidRPr="008A068D">
        <w:rPr>
          <w:rFonts w:ascii="Arial" w:hAnsi="Arial" w:cs="Arial"/>
          <w:sz w:val="22"/>
          <w:szCs w:val="22"/>
          <w:lang w:val="en-US"/>
        </w:rPr>
        <w:lastRenderedPageBreak/>
        <w:t xml:space="preserve">producing relevant knowledge products in the context of these collaborative actions as well as co-presenting the outcomes in various relevant events/meeting </w:t>
      </w:r>
      <w:proofErr w:type="gramStart"/>
      <w:r w:rsidRPr="008A068D">
        <w:rPr>
          <w:rFonts w:ascii="Arial" w:hAnsi="Arial" w:cs="Arial"/>
          <w:sz w:val="22"/>
          <w:szCs w:val="22"/>
          <w:lang w:val="en-US"/>
        </w:rPr>
        <w:t>during the course of</w:t>
      </w:r>
      <w:proofErr w:type="gramEnd"/>
      <w:r w:rsidRPr="008A068D">
        <w:rPr>
          <w:rFonts w:ascii="Arial" w:hAnsi="Arial" w:cs="Arial"/>
          <w:sz w:val="22"/>
          <w:szCs w:val="22"/>
          <w:lang w:val="en-US"/>
        </w:rPr>
        <w:t xml:space="preserve"> 2020. </w:t>
      </w:r>
    </w:p>
    <w:p w14:paraId="667506A7" w14:textId="7915502A" w:rsidR="000276F8" w:rsidRPr="00390657" w:rsidRDefault="000276F8" w:rsidP="00390657">
      <w:pPr>
        <w:snapToGrid w:val="0"/>
        <w:spacing w:after="240"/>
        <w:jc w:val="both"/>
        <w:rPr>
          <w:rFonts w:ascii="Arial" w:hAnsi="Arial" w:cs="Arial"/>
          <w:sz w:val="22"/>
          <w:szCs w:val="22"/>
          <w:lang w:val="en-US"/>
        </w:rPr>
      </w:pPr>
      <w:r w:rsidRPr="008A068D">
        <w:rPr>
          <w:rFonts w:ascii="Arial" w:hAnsi="Arial" w:cs="Arial"/>
          <w:bCs/>
          <w:color w:val="000000" w:themeColor="text1"/>
          <w:sz w:val="22"/>
          <w:szCs w:val="22"/>
          <w:lang w:val="en-US"/>
        </w:rPr>
        <w:t xml:space="preserve">The NWP </w:t>
      </w:r>
      <w:r w:rsidRPr="008A068D">
        <w:rPr>
          <w:rFonts w:ascii="Arial" w:hAnsi="Arial" w:cs="Arial"/>
          <w:sz w:val="22"/>
          <w:szCs w:val="22"/>
          <w:lang w:val="en-US"/>
        </w:rPr>
        <w:t>Expert Group on the Ocean has co-designed collaborative actions based on the second expert group meeting held 17-18 June 2020.</w:t>
      </w:r>
      <w:r w:rsidR="006737A7">
        <w:rPr>
          <w:rFonts w:ascii="Arial" w:hAnsi="Arial" w:cs="Arial"/>
          <w:sz w:val="22"/>
          <w:szCs w:val="22"/>
          <w:lang w:val="en-US"/>
        </w:rPr>
        <w:t xml:space="preserve"> I</w:t>
      </w:r>
      <w:r w:rsidRPr="008A068D">
        <w:rPr>
          <w:rFonts w:ascii="Arial" w:hAnsi="Arial" w:cs="Arial"/>
          <w:bCs/>
          <w:color w:val="000000" w:themeColor="text1"/>
          <w:sz w:val="22"/>
          <w:szCs w:val="22"/>
          <w:lang w:val="en-US"/>
        </w:rPr>
        <w:t xml:space="preserve">OC also participated in a Third NWP </w:t>
      </w:r>
      <w:r w:rsidRPr="008A068D">
        <w:rPr>
          <w:rFonts w:ascii="Arial" w:hAnsi="Arial" w:cs="Arial"/>
          <w:sz w:val="22"/>
          <w:szCs w:val="22"/>
          <w:lang w:val="en-US"/>
        </w:rPr>
        <w:t>Expert Group online meeting on the Ocean held on 11-12</w:t>
      </w:r>
      <w:r w:rsidRPr="008A068D">
        <w:rPr>
          <w:rFonts w:ascii="Arial" w:hAnsi="Arial" w:cs="Arial"/>
          <w:sz w:val="22"/>
          <w:szCs w:val="22"/>
          <w:vertAlign w:val="superscript"/>
          <w:lang w:val="en-US"/>
        </w:rPr>
        <w:t xml:space="preserve"> </w:t>
      </w:r>
      <w:r w:rsidRPr="008A068D">
        <w:rPr>
          <w:rFonts w:ascii="Arial" w:hAnsi="Arial" w:cs="Arial"/>
          <w:sz w:val="22"/>
          <w:szCs w:val="22"/>
          <w:lang w:val="en-US"/>
        </w:rPr>
        <w:t xml:space="preserve">May 2021. The Group discussed the </w:t>
      </w:r>
      <w:r w:rsidRPr="008A068D">
        <w:rPr>
          <w:rFonts w:ascii="Arial" w:hAnsi="Arial" w:cs="Arial"/>
          <w:bCs/>
          <w:sz w:val="22"/>
          <w:szCs w:val="22"/>
          <w:lang w:val="en-US"/>
        </w:rPr>
        <w:t>overarching operating context and overview</w:t>
      </w:r>
      <w:r w:rsidRPr="008A068D">
        <w:rPr>
          <w:rFonts w:ascii="Arial" w:hAnsi="Arial" w:cs="Arial"/>
          <w:b/>
          <w:bCs/>
          <w:sz w:val="22"/>
          <w:szCs w:val="22"/>
          <w:lang w:val="en-US"/>
        </w:rPr>
        <w:t xml:space="preserve"> </w:t>
      </w:r>
      <w:r w:rsidRPr="008A068D">
        <w:rPr>
          <w:rFonts w:ascii="Arial" w:hAnsi="Arial" w:cs="Arial"/>
          <w:bCs/>
          <w:sz w:val="22"/>
          <w:szCs w:val="22"/>
          <w:lang w:val="en-US"/>
        </w:rPr>
        <w:t>of the progress</w:t>
      </w:r>
      <w:r w:rsidRPr="008A068D">
        <w:rPr>
          <w:rFonts w:ascii="Arial" w:hAnsi="Arial" w:cs="Arial"/>
          <w:sz w:val="22"/>
          <w:szCs w:val="22"/>
          <w:lang w:val="en-US"/>
        </w:rPr>
        <w:t xml:space="preserve"> the Expert Group on the Ocean has made to date regarding collaborative actions by thematic Groups on: 1) Governance and Participation, 2) Data and Methods, 3) Restoration and Protection and 4) Support. The meeting also discussed </w:t>
      </w:r>
      <w:r w:rsidRPr="008A068D">
        <w:rPr>
          <w:rFonts w:ascii="Arial" w:hAnsi="Arial" w:cs="Arial"/>
          <w:bCs/>
          <w:sz w:val="22"/>
          <w:szCs w:val="22"/>
          <w:lang w:val="en-US"/>
        </w:rPr>
        <w:t xml:space="preserve">how to strengthen the engagement and partnerships of organizations. The Group further explored the </w:t>
      </w:r>
      <w:r w:rsidRPr="008A068D">
        <w:rPr>
          <w:rFonts w:ascii="Arial" w:eastAsia="Times New Roman" w:hAnsi="Arial" w:cs="Arial"/>
          <w:sz w:val="22"/>
          <w:szCs w:val="22"/>
          <w:lang w:val="en-US"/>
        </w:rPr>
        <w:t>work of the constituted bodies and other processes within and outside the UNFCCC, building synergies with other thematic areas under the NWP (e.g. biodiversity) and increasing visibility, monitoring impact and information exchange.</w:t>
      </w:r>
    </w:p>
    <w:p w14:paraId="6AB14908" w14:textId="41B14249" w:rsidR="000276F8" w:rsidRPr="00390657" w:rsidRDefault="000276F8" w:rsidP="00390657">
      <w:pPr>
        <w:snapToGrid w:val="0"/>
        <w:spacing w:after="240"/>
        <w:jc w:val="both"/>
        <w:rPr>
          <w:rFonts w:ascii="Arial" w:hAnsi="Arial" w:cs="Arial"/>
          <w:sz w:val="22"/>
          <w:szCs w:val="22"/>
          <w:lang w:val="en-US"/>
        </w:rPr>
      </w:pPr>
      <w:r w:rsidRPr="008A068D">
        <w:rPr>
          <w:rFonts w:ascii="Arial" w:hAnsi="Arial" w:cs="Arial"/>
          <w:sz w:val="22"/>
          <w:szCs w:val="22"/>
          <w:lang w:val="en-US"/>
        </w:rPr>
        <w:t>The Expert Group (Restoration) has prepared a Supplement to the National Adaptation Plan (NAP) Technical Guidelines on “</w:t>
      </w:r>
      <w:hyperlink r:id="rId18" w:history="1">
        <w:r w:rsidRPr="008A068D">
          <w:rPr>
            <w:rStyle w:val="Hyperlink"/>
            <w:rFonts w:ascii="Arial" w:hAnsi="Arial" w:cs="Arial"/>
            <w:bCs/>
            <w:sz w:val="22"/>
            <w:szCs w:val="22"/>
            <w:lang w:val="en-US"/>
          </w:rPr>
          <w:t>Coastal Adaptation and Nature-based Solutions for the Implementation of NAPs: Considerations for GCF Proposal Development</w:t>
        </w:r>
      </w:hyperlink>
      <w:r w:rsidRPr="008A068D">
        <w:rPr>
          <w:rFonts w:ascii="Arial" w:hAnsi="Arial" w:cs="Arial"/>
          <w:sz w:val="22"/>
          <w:szCs w:val="22"/>
          <w:lang w:val="en-US"/>
        </w:rPr>
        <w:t xml:space="preserve">”. The Supplement was referenced during the NWP negotiations in June 2021 when sharing examples of credible support and knowledge products coming from the NWP’s Expert Group on Oceans. </w:t>
      </w:r>
    </w:p>
    <w:p w14:paraId="2708BCB2" w14:textId="4848BB11" w:rsidR="000276F8" w:rsidRPr="008A068D" w:rsidRDefault="000276F8" w:rsidP="00390657">
      <w:pPr>
        <w:snapToGrid w:val="0"/>
        <w:spacing w:after="240"/>
        <w:jc w:val="both"/>
        <w:rPr>
          <w:rFonts w:ascii="Arial" w:hAnsi="Arial" w:cs="Arial"/>
          <w:bCs/>
          <w:color w:val="000000" w:themeColor="text1"/>
          <w:sz w:val="22"/>
          <w:szCs w:val="22"/>
          <w:lang w:val="en-US"/>
        </w:rPr>
      </w:pPr>
      <w:r w:rsidRPr="008A068D">
        <w:rPr>
          <w:rFonts w:ascii="Arial" w:hAnsi="Arial" w:cs="Arial"/>
          <w:sz w:val="22"/>
          <w:szCs w:val="22"/>
          <w:lang w:val="en-US"/>
        </w:rPr>
        <w:t>IOC is contributing to a new document on '</w:t>
      </w:r>
      <w:r w:rsidRPr="008A068D">
        <w:rPr>
          <w:rFonts w:ascii="Arial" w:hAnsi="Arial" w:cs="Arial"/>
          <w:bCs/>
          <w:color w:val="000000" w:themeColor="text1"/>
          <w:sz w:val="22"/>
          <w:szCs w:val="22"/>
          <w:lang w:val="en-US"/>
        </w:rPr>
        <w:t>Enhancing Resilience of Oceans, Coastal Areas and Ecosystems</w:t>
      </w:r>
      <w:r w:rsidRPr="008A068D">
        <w:rPr>
          <w:rFonts w:ascii="Arial" w:hAnsi="Arial" w:cs="Arial"/>
          <w:sz w:val="22"/>
          <w:szCs w:val="22"/>
          <w:lang w:val="en-US"/>
        </w:rPr>
        <w:t xml:space="preserve"> </w:t>
      </w:r>
      <w:r w:rsidRPr="008A068D">
        <w:rPr>
          <w:rFonts w:ascii="Arial" w:hAnsi="Arial" w:cs="Arial"/>
          <w:bCs/>
          <w:color w:val="000000" w:themeColor="text1"/>
          <w:sz w:val="22"/>
          <w:szCs w:val="22"/>
          <w:lang w:val="en-US"/>
        </w:rPr>
        <w:t xml:space="preserve">through Collaborative Partnerships’ as a contribution to the NWP on Impacts, Vulnerability and Adaptation to Climate Change. </w:t>
      </w:r>
    </w:p>
    <w:p w14:paraId="44F9B942" w14:textId="293D5F22" w:rsidR="000276F8" w:rsidRPr="00390657" w:rsidRDefault="000276F8" w:rsidP="00390657">
      <w:pPr>
        <w:snapToGrid w:val="0"/>
        <w:spacing w:after="240"/>
        <w:jc w:val="both"/>
        <w:rPr>
          <w:rFonts w:ascii="Arial" w:hAnsi="Arial" w:cs="Arial"/>
          <w:color w:val="222222"/>
          <w:sz w:val="22"/>
          <w:szCs w:val="22"/>
          <w:lang w:val="en-US"/>
        </w:rPr>
      </w:pPr>
      <w:r w:rsidRPr="008A068D">
        <w:rPr>
          <w:rFonts w:ascii="Arial" w:hAnsi="Arial" w:cs="Arial"/>
          <w:bCs/>
          <w:color w:val="000000" w:themeColor="text1"/>
          <w:sz w:val="22"/>
          <w:szCs w:val="22"/>
          <w:lang w:val="en-US"/>
        </w:rPr>
        <w:t xml:space="preserve">IOC is co-leading the thematic Group of Data and Methods and currently preparing a data policy brief on </w:t>
      </w:r>
      <w:r w:rsidRPr="008A068D">
        <w:rPr>
          <w:rFonts w:ascii="Arial" w:hAnsi="Arial" w:cs="Arial"/>
          <w:color w:val="222222"/>
          <w:sz w:val="22"/>
          <w:szCs w:val="22"/>
          <w:highlight w:val="white"/>
          <w:lang w:val="en-US"/>
        </w:rPr>
        <w:t>Integrating Data and Information into Relevant Adaptation Policies and Plans</w:t>
      </w:r>
      <w:r w:rsidRPr="008A068D">
        <w:rPr>
          <w:rFonts w:ascii="Arial" w:hAnsi="Arial" w:cs="Arial"/>
          <w:color w:val="222222"/>
          <w:sz w:val="22"/>
          <w:szCs w:val="22"/>
          <w:lang w:val="en-US"/>
        </w:rPr>
        <w:t>.</w:t>
      </w:r>
      <w:r w:rsidR="008A068D">
        <w:rPr>
          <w:rFonts w:ascii="Arial" w:hAnsi="Arial" w:cs="Arial"/>
          <w:color w:val="222222"/>
          <w:sz w:val="22"/>
          <w:szCs w:val="22"/>
          <w:lang w:val="en-US"/>
        </w:rPr>
        <w:t xml:space="preserve"> Finally, </w:t>
      </w:r>
      <w:r w:rsidR="008A068D">
        <w:rPr>
          <w:rFonts w:ascii="Arial" w:eastAsia="Times New Roman" w:hAnsi="Arial" w:cs="Arial"/>
          <w:color w:val="000000"/>
          <w:sz w:val="22"/>
          <w:szCs w:val="22"/>
          <w:lang w:val="en-US" w:eastAsia="en-GB"/>
        </w:rPr>
        <w:t>t</w:t>
      </w:r>
      <w:r w:rsidRPr="000276F8">
        <w:rPr>
          <w:rFonts w:ascii="Arial" w:eastAsia="Times New Roman" w:hAnsi="Arial" w:cs="Arial"/>
          <w:color w:val="000000"/>
          <w:sz w:val="22"/>
          <w:szCs w:val="22"/>
          <w:lang w:val="en-US" w:eastAsia="en-GB"/>
        </w:rPr>
        <w:t>wo IOC experts were nominated in May 2021 to support the new UNFCCC initiative for UN-wide rapid technical backstopping for National Adaptation Plans (NAPs).</w:t>
      </w:r>
    </w:p>
    <w:p w14:paraId="59BD2E3E" w14:textId="2F2E3912" w:rsidR="001636DD" w:rsidRPr="00390657" w:rsidRDefault="001636DD" w:rsidP="00390657">
      <w:pPr>
        <w:pStyle w:val="ListParagraph"/>
        <w:numPr>
          <w:ilvl w:val="0"/>
          <w:numId w:val="4"/>
        </w:numPr>
        <w:snapToGrid w:val="0"/>
        <w:spacing w:after="240"/>
        <w:ind w:hanging="720"/>
        <w:contextualSpacing w:val="0"/>
        <w:rPr>
          <w:rFonts w:ascii="Arial" w:hAnsi="Arial" w:cs="Arial"/>
          <w:b/>
          <w:sz w:val="22"/>
          <w:szCs w:val="22"/>
          <w:lang w:val="en-US"/>
        </w:rPr>
      </w:pPr>
      <w:r w:rsidRPr="00390657">
        <w:rPr>
          <w:rFonts w:ascii="Arial" w:hAnsi="Arial" w:cs="Arial"/>
          <w:b/>
          <w:sz w:val="22"/>
          <w:szCs w:val="22"/>
          <w:lang w:val="en-US"/>
        </w:rPr>
        <w:t>Biodiversity in Areas beyond National Jurisdiction (BBNJ)</w:t>
      </w:r>
      <w:r w:rsidRPr="00390657" w:rsidDel="00314F23">
        <w:rPr>
          <w:rFonts w:ascii="Arial" w:hAnsi="Arial" w:cs="Arial"/>
          <w:b/>
          <w:sz w:val="22"/>
          <w:szCs w:val="22"/>
          <w:lang w:val="en-US"/>
        </w:rPr>
        <w:t xml:space="preserve"> </w:t>
      </w:r>
    </w:p>
    <w:p w14:paraId="03FE6110" w14:textId="32775AAB" w:rsidR="000276F8" w:rsidRPr="008A068D" w:rsidRDefault="001636DD" w:rsidP="00390657">
      <w:pPr>
        <w:pStyle w:val="Style2"/>
        <w:tabs>
          <w:tab w:val="clear" w:pos="1400"/>
          <w:tab w:val="left" w:pos="0"/>
        </w:tabs>
        <w:snapToGrid w:val="0"/>
        <w:ind w:left="0"/>
        <w:rPr>
          <w:rFonts w:cs="Arial"/>
          <w:lang w:val="en-US" w:eastAsia="en-GB"/>
        </w:rPr>
      </w:pPr>
      <w:r w:rsidRPr="008A068D">
        <w:rPr>
          <w:rFonts w:cs="Arial"/>
          <w:iCs w:val="0"/>
        </w:rPr>
        <w:t>IOC actively contributes to the negotiation process on an International Legally Binding Instrument (ILBI) on the conservation and sustainable use of marine biodiversity in areas beyond national jurisdiction (BBNJ). In October 2020, with a view to inform the negotiation process, the Secretariat published a Non-Paper on existing and potential contributions of IOC-UNESCO to the BBNJ process (</w:t>
      </w:r>
      <w:hyperlink r:id="rId19" w:history="1">
        <w:r w:rsidRPr="008A068D">
          <w:rPr>
            <w:rStyle w:val="Hyperlink"/>
            <w:rFonts w:cs="Arial"/>
          </w:rPr>
          <w:t>IOC/INF-1387</w:t>
        </w:r>
      </w:hyperlink>
      <w:r w:rsidRPr="008A068D">
        <w:rPr>
          <w:rFonts w:cs="Arial"/>
          <w:iCs w:val="0"/>
        </w:rPr>
        <w:t>). The 4th Intergovernmental Conference on BBNJ initially planned for March 2021 has been postponed to August 2021 due to C</w:t>
      </w:r>
      <w:r w:rsidRPr="008A068D">
        <w:rPr>
          <w:rFonts w:cs="Arial"/>
        </w:rPr>
        <w:t>OVID-</w:t>
      </w:r>
      <w:proofErr w:type="gramStart"/>
      <w:r w:rsidRPr="008A068D">
        <w:rPr>
          <w:rFonts w:cs="Arial"/>
          <w:iCs w:val="0"/>
        </w:rPr>
        <w:t>19</w:t>
      </w:r>
      <w:r>
        <w:rPr>
          <w:rFonts w:cs="Arial"/>
          <w:iCs w:val="0"/>
        </w:rPr>
        <w:t>, and</w:t>
      </w:r>
      <w:proofErr w:type="gramEnd"/>
      <w:r>
        <w:rPr>
          <w:rFonts w:cs="Arial"/>
          <w:iCs w:val="0"/>
        </w:rPr>
        <w:t xml:space="preserve"> is likely to be further postponed</w:t>
      </w:r>
      <w:r w:rsidRPr="008A068D">
        <w:rPr>
          <w:rFonts w:cs="Arial"/>
          <w:iCs w:val="0"/>
        </w:rPr>
        <w:t xml:space="preserve"> Intersessional informal consultations </w:t>
      </w:r>
      <w:r>
        <w:rPr>
          <w:rFonts w:cs="Arial"/>
          <w:iCs w:val="0"/>
        </w:rPr>
        <w:t xml:space="preserve">took place </w:t>
      </w:r>
      <w:r w:rsidRPr="008A068D">
        <w:rPr>
          <w:rFonts w:cs="Arial"/>
          <w:iCs w:val="0"/>
        </w:rPr>
        <w:t xml:space="preserve">via a virtual platform </w:t>
      </w:r>
      <w:r>
        <w:rPr>
          <w:rFonts w:cs="Arial"/>
          <w:iCs w:val="0"/>
        </w:rPr>
        <w:t>between September 2020 and February 2021</w:t>
      </w:r>
      <w:r w:rsidRPr="008A068D">
        <w:rPr>
          <w:rFonts w:cs="Arial"/>
          <w:iCs w:val="0"/>
        </w:rPr>
        <w:t xml:space="preserve">. The role of OBIS and </w:t>
      </w:r>
      <w:proofErr w:type="spellStart"/>
      <w:r w:rsidRPr="008A068D">
        <w:rPr>
          <w:rFonts w:cs="Arial"/>
          <w:iCs w:val="0"/>
        </w:rPr>
        <w:t>OceanInfoHub</w:t>
      </w:r>
      <w:proofErr w:type="spellEnd"/>
      <w:r w:rsidRPr="008A068D">
        <w:rPr>
          <w:rFonts w:cs="Arial"/>
          <w:iCs w:val="0"/>
        </w:rPr>
        <w:t xml:space="preserve"> as part of the BBNJ clearing-house mechanism (CHM) has been suggested by </w:t>
      </w:r>
      <w:proofErr w:type="gramStart"/>
      <w:r w:rsidRPr="008A068D">
        <w:rPr>
          <w:rFonts w:cs="Arial"/>
          <w:iCs w:val="0"/>
        </w:rPr>
        <w:t>a number of</w:t>
      </w:r>
      <w:proofErr w:type="gramEnd"/>
      <w:r w:rsidRPr="008A068D">
        <w:rPr>
          <w:rFonts w:cs="Arial"/>
          <w:iCs w:val="0"/>
        </w:rPr>
        <w:t xml:space="preserve"> Member States and Observers. It is yet unclear who will manage the BBNJ CHM, the BBNJ secretariat or IOC in close collaboration with other UN organisations.</w:t>
      </w:r>
    </w:p>
    <w:p w14:paraId="46CB25C6" w14:textId="77777777" w:rsidR="001636DD" w:rsidRPr="00390657" w:rsidRDefault="000276F8" w:rsidP="00390657">
      <w:pPr>
        <w:pStyle w:val="ListParagraph"/>
        <w:numPr>
          <w:ilvl w:val="0"/>
          <w:numId w:val="4"/>
        </w:numPr>
        <w:snapToGrid w:val="0"/>
        <w:spacing w:after="240"/>
        <w:ind w:hanging="720"/>
        <w:contextualSpacing w:val="0"/>
        <w:rPr>
          <w:rFonts w:ascii="Arial" w:hAnsi="Arial" w:cs="Arial"/>
          <w:b/>
          <w:sz w:val="22"/>
          <w:szCs w:val="22"/>
          <w:lang w:val="en-US"/>
        </w:rPr>
      </w:pPr>
      <w:r w:rsidRPr="00390657">
        <w:rPr>
          <w:rFonts w:ascii="Arial" w:hAnsi="Arial" w:cs="Arial"/>
          <w:b/>
          <w:sz w:val="22"/>
          <w:szCs w:val="22"/>
          <w:lang w:val="en-US"/>
        </w:rPr>
        <w:t>World Ocean Assessment</w:t>
      </w:r>
      <w:r w:rsidR="001636DD" w:rsidRPr="00390657">
        <w:rPr>
          <w:rFonts w:ascii="Arial" w:hAnsi="Arial" w:cs="Arial"/>
          <w:b/>
          <w:sz w:val="22"/>
          <w:szCs w:val="22"/>
          <w:lang w:val="en-US"/>
        </w:rPr>
        <w:t xml:space="preserve"> </w:t>
      </w:r>
    </w:p>
    <w:p w14:paraId="2B299AB5" w14:textId="0FA76001" w:rsidR="001636DD" w:rsidRPr="00B831D1" w:rsidRDefault="000276F8" w:rsidP="00390657">
      <w:pPr>
        <w:snapToGrid w:val="0"/>
        <w:spacing w:after="240"/>
        <w:jc w:val="both"/>
        <w:rPr>
          <w:rFonts w:ascii="Arial" w:hAnsi="Arial" w:cs="Arial"/>
          <w:sz w:val="22"/>
          <w:szCs w:val="22"/>
          <w:lang w:val="en-US" w:eastAsia="en-GB"/>
        </w:rPr>
      </w:pPr>
      <w:r w:rsidRPr="001636DD">
        <w:rPr>
          <w:rFonts w:ascii="Arial" w:hAnsi="Arial" w:cs="Arial"/>
          <w:sz w:val="22"/>
          <w:szCs w:val="22"/>
          <w:lang w:val="en-US" w:eastAsia="en-GB"/>
        </w:rPr>
        <w:t xml:space="preserve">IOC continues to provide scientific and technical support to the World Ocean Assessment (WOA) process established under the UNGA. </w:t>
      </w:r>
      <w:r w:rsidRPr="001636DD">
        <w:rPr>
          <w:rFonts w:ascii="Arial" w:hAnsi="Arial" w:cs="Arial"/>
          <w:sz w:val="22"/>
          <w:szCs w:val="22"/>
          <w:lang w:eastAsia="en-GB"/>
        </w:rPr>
        <w:t xml:space="preserve">A second cycle of assessment (2017–2020) was initiated under the UN Regular Process for Global Reporting and Assessment of the State of the Marine Environment, including Socioeconomic Aspects, starting with the holding of five regional workshops in 2017 to build capacity, support the development of assessment(s) and facilitate outreach and awareness-raising. </w:t>
      </w:r>
      <w:r w:rsidRPr="00B831D1">
        <w:rPr>
          <w:rFonts w:ascii="Arial" w:hAnsi="Arial" w:cs="Arial"/>
          <w:sz w:val="22"/>
          <w:szCs w:val="22"/>
          <w:lang w:val="en-US" w:eastAsia="en-GB"/>
        </w:rPr>
        <w:t>Discussions with DOALOS (Secretariat of the Regular Process) have been conducted with regards to how the conclusions of the WOA-</w:t>
      </w:r>
      <w:r w:rsidR="00B831D1" w:rsidRPr="00B831D1">
        <w:rPr>
          <w:rFonts w:ascii="Arial" w:hAnsi="Arial" w:cs="Arial"/>
          <w:sz w:val="22"/>
          <w:szCs w:val="22"/>
          <w:lang w:val="en-US" w:eastAsia="en-GB"/>
        </w:rPr>
        <w:t>II</w:t>
      </w:r>
      <w:r w:rsidRPr="00B831D1">
        <w:rPr>
          <w:rFonts w:ascii="Arial" w:hAnsi="Arial" w:cs="Arial"/>
          <w:sz w:val="22"/>
          <w:szCs w:val="22"/>
          <w:lang w:val="en-US" w:eastAsia="en-GB"/>
        </w:rPr>
        <w:t xml:space="preserve">, particularly in terms of knowledge and capacity gaps, could be addressed by the Implementation Plan of the Ocean Decade. </w:t>
      </w:r>
    </w:p>
    <w:p w14:paraId="7F9FBCBE" w14:textId="0E55500E" w:rsidR="000276F8" w:rsidRPr="00390657" w:rsidRDefault="000276F8" w:rsidP="00390657">
      <w:pPr>
        <w:snapToGrid w:val="0"/>
        <w:spacing w:after="240"/>
        <w:jc w:val="both"/>
        <w:rPr>
          <w:rFonts w:ascii="Arial" w:hAnsi="Arial" w:cs="Arial"/>
          <w:b/>
          <w:bCs/>
          <w:sz w:val="22"/>
          <w:szCs w:val="22"/>
          <w:lang w:val="en-US" w:eastAsia="en-GB"/>
        </w:rPr>
      </w:pPr>
      <w:r w:rsidRPr="001636DD">
        <w:rPr>
          <w:rFonts w:ascii="Arial" w:hAnsi="Arial" w:cs="Arial"/>
          <w:sz w:val="22"/>
          <w:szCs w:val="22"/>
          <w:lang w:val="en-US" w:eastAsia="en-GB"/>
        </w:rPr>
        <w:lastRenderedPageBreak/>
        <w:t>To showcase this emerging cooperat</w:t>
      </w:r>
      <w:r w:rsidR="006737A7">
        <w:rPr>
          <w:rFonts w:ascii="Arial" w:hAnsi="Arial" w:cs="Arial"/>
          <w:sz w:val="22"/>
          <w:szCs w:val="22"/>
          <w:lang w:val="en-US" w:eastAsia="en-GB"/>
        </w:rPr>
        <w:t>i</w:t>
      </w:r>
      <w:r w:rsidRPr="001636DD">
        <w:rPr>
          <w:rFonts w:ascii="Arial" w:hAnsi="Arial" w:cs="Arial"/>
          <w:sz w:val="22"/>
          <w:szCs w:val="22"/>
          <w:lang w:val="en-US" w:eastAsia="en-GB"/>
        </w:rPr>
        <w:t xml:space="preserve">on, IOC and DOALOS organized a joint webinar on the Strengthening the Science Policy Interface for Ocean Sustainability on 1 March 2021. Furthermore, the IOC Executive Secretary took part in the launch event of the </w:t>
      </w:r>
      <w:hyperlink r:id="rId20" w:history="1">
        <w:r w:rsidRPr="00B831D1">
          <w:rPr>
            <w:rStyle w:val="Hyperlink"/>
            <w:rFonts w:ascii="Arial" w:hAnsi="Arial" w:cs="Arial"/>
            <w:sz w:val="22"/>
            <w:szCs w:val="22"/>
            <w:lang w:val="en-US" w:eastAsia="en-GB"/>
          </w:rPr>
          <w:t>WOA-</w:t>
        </w:r>
        <w:r w:rsidR="00B831D1">
          <w:rPr>
            <w:rStyle w:val="Hyperlink"/>
            <w:rFonts w:ascii="Arial" w:hAnsi="Arial" w:cs="Arial"/>
            <w:sz w:val="22"/>
            <w:szCs w:val="22"/>
            <w:lang w:val="en-US" w:eastAsia="en-GB"/>
          </w:rPr>
          <w:t>II</w:t>
        </w:r>
        <w:r w:rsidRPr="00B831D1">
          <w:rPr>
            <w:rStyle w:val="Hyperlink"/>
            <w:rFonts w:ascii="Arial" w:hAnsi="Arial" w:cs="Arial"/>
            <w:sz w:val="22"/>
            <w:szCs w:val="22"/>
            <w:lang w:val="en-US" w:eastAsia="en-GB"/>
          </w:rPr>
          <w:t xml:space="preserve"> report</w:t>
        </w:r>
      </w:hyperlink>
      <w:r w:rsidRPr="001636DD">
        <w:rPr>
          <w:rFonts w:ascii="Arial" w:hAnsi="Arial" w:cs="Arial"/>
          <w:sz w:val="22"/>
          <w:szCs w:val="22"/>
          <w:lang w:val="en-US" w:eastAsia="en-GB"/>
        </w:rPr>
        <w:t xml:space="preserve"> on 21 April 202</w:t>
      </w:r>
      <w:r w:rsidRPr="00B831D1">
        <w:rPr>
          <w:rFonts w:ascii="Arial" w:hAnsi="Arial" w:cs="Arial"/>
          <w:sz w:val="22"/>
          <w:szCs w:val="22"/>
          <w:lang w:val="en-US" w:eastAsia="en-GB"/>
        </w:rPr>
        <w:t xml:space="preserve">1. </w:t>
      </w:r>
      <w:r w:rsidR="00B831D1" w:rsidRPr="001636DD">
        <w:rPr>
          <w:rFonts w:ascii="Arial" w:hAnsi="Arial" w:cs="Arial"/>
          <w:sz w:val="22"/>
          <w:szCs w:val="22"/>
          <w:lang w:val="en-US" w:eastAsia="en-GB"/>
        </w:rPr>
        <w:t>Whilst</w:t>
      </w:r>
      <w:r w:rsidRPr="001636DD">
        <w:rPr>
          <w:rFonts w:ascii="Arial" w:hAnsi="Arial" w:cs="Arial"/>
          <w:sz w:val="22"/>
          <w:szCs w:val="22"/>
          <w:lang w:val="en-US" w:eastAsia="en-GB"/>
        </w:rPr>
        <w:t xml:space="preserve"> the</w:t>
      </w:r>
      <w:r w:rsidRPr="00B831D1">
        <w:rPr>
          <w:rFonts w:ascii="Arial" w:hAnsi="Arial" w:cs="Arial"/>
          <w:sz w:val="22"/>
          <w:szCs w:val="22"/>
          <w:lang w:val="en-US"/>
        </w:rPr>
        <w:t xml:space="preserve"> first World Ocean Assessment (WOA-I), released in 2015, had warned that many areas of the ocean had been seriously degraded, the latest assessment notes that the situation has not improved — and that many of the benefits that the ocean provides to people such as oxygen, food, jobs, medicine and climate regulation are increasingly being undermined by human activities. </w:t>
      </w:r>
      <w:r w:rsidRPr="006737A7">
        <w:rPr>
          <w:rFonts w:ascii="Arial" w:hAnsi="Arial" w:cs="Arial"/>
          <w:sz w:val="22"/>
          <w:szCs w:val="22"/>
          <w:lang w:val="en-US"/>
        </w:rPr>
        <w:t xml:space="preserve">The report also identifies </w:t>
      </w:r>
      <w:proofErr w:type="gramStart"/>
      <w:r w:rsidRPr="006737A7">
        <w:rPr>
          <w:rFonts w:ascii="Arial" w:hAnsi="Arial" w:cs="Arial"/>
          <w:sz w:val="22"/>
          <w:szCs w:val="22"/>
          <w:lang w:val="en-US"/>
        </w:rPr>
        <w:t>a number of</w:t>
      </w:r>
      <w:proofErr w:type="gramEnd"/>
      <w:r w:rsidRPr="006737A7">
        <w:rPr>
          <w:rFonts w:ascii="Arial" w:hAnsi="Arial" w:cs="Arial"/>
          <w:sz w:val="22"/>
          <w:szCs w:val="22"/>
          <w:lang w:val="en-US"/>
        </w:rPr>
        <w:t xml:space="preserve"> key findings and message for</w:t>
      </w:r>
      <w:r w:rsidR="006737A7">
        <w:rPr>
          <w:rFonts w:ascii="Arial" w:hAnsi="Arial" w:cs="Arial"/>
          <w:sz w:val="22"/>
          <w:szCs w:val="22"/>
          <w:lang w:val="en-US"/>
        </w:rPr>
        <w:t xml:space="preserve"> further orienting </w:t>
      </w:r>
      <w:r w:rsidRPr="006737A7">
        <w:rPr>
          <w:rFonts w:ascii="Arial" w:hAnsi="Arial" w:cs="Arial"/>
          <w:sz w:val="22"/>
          <w:szCs w:val="22"/>
          <w:lang w:val="en-US"/>
        </w:rPr>
        <w:t xml:space="preserve">ocean </w:t>
      </w:r>
      <w:r w:rsidR="006737A7">
        <w:rPr>
          <w:rFonts w:ascii="Arial" w:hAnsi="Arial" w:cs="Arial"/>
          <w:sz w:val="22"/>
          <w:szCs w:val="22"/>
          <w:lang w:val="en-US"/>
        </w:rPr>
        <w:t>research</w:t>
      </w:r>
      <w:r w:rsidRPr="006737A7">
        <w:rPr>
          <w:rFonts w:ascii="Arial" w:hAnsi="Arial" w:cs="Arial"/>
          <w:sz w:val="22"/>
          <w:szCs w:val="22"/>
          <w:lang w:val="en-US"/>
        </w:rPr>
        <w:t>.</w:t>
      </w:r>
    </w:p>
    <w:p w14:paraId="2B18FB81" w14:textId="77777777" w:rsidR="001636DD" w:rsidRPr="00390657" w:rsidRDefault="000276F8" w:rsidP="00390657">
      <w:pPr>
        <w:pStyle w:val="ListParagraph"/>
        <w:numPr>
          <w:ilvl w:val="0"/>
          <w:numId w:val="4"/>
        </w:numPr>
        <w:snapToGrid w:val="0"/>
        <w:spacing w:after="240"/>
        <w:ind w:hanging="720"/>
        <w:contextualSpacing w:val="0"/>
        <w:rPr>
          <w:rFonts w:ascii="Arial" w:hAnsi="Arial" w:cs="Arial"/>
          <w:b/>
          <w:sz w:val="22"/>
          <w:szCs w:val="22"/>
          <w:lang w:val="en-US"/>
        </w:rPr>
      </w:pPr>
      <w:r w:rsidRPr="00390657">
        <w:rPr>
          <w:rFonts w:ascii="Arial" w:hAnsi="Arial" w:cs="Arial"/>
          <w:b/>
          <w:sz w:val="22"/>
          <w:szCs w:val="22"/>
          <w:lang w:val="en-US"/>
        </w:rPr>
        <w:t>Convention of Biological Diversity</w:t>
      </w:r>
    </w:p>
    <w:p w14:paraId="6C2CB756" w14:textId="1EF19934" w:rsidR="000276F8" w:rsidRDefault="000276F8" w:rsidP="00390657">
      <w:pPr>
        <w:snapToGrid w:val="0"/>
        <w:spacing w:after="240"/>
        <w:jc w:val="both"/>
        <w:rPr>
          <w:rFonts w:ascii="Arial" w:hAnsi="Arial" w:cs="Arial"/>
          <w:sz w:val="22"/>
          <w:szCs w:val="22"/>
          <w:lang w:val="en-US"/>
        </w:rPr>
      </w:pPr>
      <w:r w:rsidRPr="001636DD">
        <w:rPr>
          <w:rFonts w:ascii="Arial" w:hAnsi="Arial" w:cs="Arial"/>
          <w:sz w:val="22"/>
          <w:szCs w:val="22"/>
          <w:lang w:val="en-US"/>
        </w:rPr>
        <w:t xml:space="preserve">The Convention on Biological Diversity is currently preparing the Post-2020 Global Biodiversity Framework (GBF). </w:t>
      </w:r>
      <w:r w:rsidRPr="00B831D1">
        <w:rPr>
          <w:rFonts w:ascii="Arial" w:hAnsi="Arial" w:cs="Arial"/>
          <w:sz w:val="22"/>
          <w:szCs w:val="22"/>
          <w:lang w:val="en-US"/>
        </w:rPr>
        <w:t xml:space="preserve">In relation to coastal and marine aspects of the GBF, </w:t>
      </w:r>
      <w:r w:rsidR="00B831D1" w:rsidRPr="00B831D1">
        <w:rPr>
          <w:rFonts w:ascii="Arial" w:hAnsi="Arial" w:cs="Arial"/>
          <w:sz w:val="22"/>
          <w:szCs w:val="22"/>
          <w:lang w:val="en-US"/>
        </w:rPr>
        <w:t>IOC</w:t>
      </w:r>
      <w:r w:rsidR="00B831D1">
        <w:rPr>
          <w:rFonts w:ascii="Arial" w:hAnsi="Arial" w:cs="Arial"/>
          <w:sz w:val="22"/>
          <w:szCs w:val="22"/>
          <w:lang w:val="en-US"/>
        </w:rPr>
        <w:t xml:space="preserve"> provided technical</w:t>
      </w:r>
      <w:r w:rsidRPr="00B831D1">
        <w:rPr>
          <w:rFonts w:ascii="Arial" w:hAnsi="Arial" w:cs="Arial"/>
          <w:sz w:val="22"/>
          <w:szCs w:val="22"/>
          <w:lang w:val="en-US"/>
        </w:rPr>
        <w:t xml:space="preserve"> comments and suggestions on the indicators and targets, </w:t>
      </w:r>
      <w:r w:rsidR="00B831D1">
        <w:rPr>
          <w:rFonts w:ascii="Arial" w:hAnsi="Arial" w:cs="Arial"/>
          <w:sz w:val="22"/>
          <w:szCs w:val="22"/>
          <w:lang w:val="en-US"/>
        </w:rPr>
        <w:t>which were</w:t>
      </w:r>
      <w:r w:rsidRPr="00B831D1">
        <w:rPr>
          <w:rFonts w:ascii="Arial" w:hAnsi="Arial" w:cs="Arial"/>
          <w:sz w:val="22"/>
          <w:szCs w:val="22"/>
          <w:lang w:val="en-US"/>
        </w:rPr>
        <w:t xml:space="preserve"> reflected in the draft document for submission to the 24th SBSTTA. These comments and suggestions focused on the need to avoid duplication with existing processes and to optimize linkages into efforts to develop a global marine biodiversity observing system based on the Essential Ocean Variables, which are coordinated through the Biology and Ecosystems Panel of the Global Ocean Observing System with support from the Marine Biodiversity Observation Network (MBON) of GEO BON, </w:t>
      </w:r>
      <w:r w:rsidR="00B831D1" w:rsidRPr="00B831D1">
        <w:rPr>
          <w:rFonts w:ascii="Arial" w:hAnsi="Arial" w:cs="Arial"/>
          <w:sz w:val="22"/>
          <w:szCs w:val="22"/>
          <w:lang w:val="en-US"/>
        </w:rPr>
        <w:t>IOC’s</w:t>
      </w:r>
      <w:r w:rsidRPr="00B831D1">
        <w:rPr>
          <w:rFonts w:ascii="Arial" w:hAnsi="Arial" w:cs="Arial"/>
          <w:sz w:val="22"/>
          <w:szCs w:val="22"/>
          <w:lang w:val="en-US"/>
        </w:rPr>
        <w:t xml:space="preserve"> own Ocean Biodiversity Information System (OBIS) which act as the data platform in close collaboration with the Global Biodiversity Information Facility and many other partners. </w:t>
      </w:r>
    </w:p>
    <w:p w14:paraId="358F2EA4" w14:textId="50FD1FBF" w:rsidR="00172BB6" w:rsidRDefault="00172BB6" w:rsidP="00390657">
      <w:pPr>
        <w:snapToGrid w:val="0"/>
        <w:spacing w:after="240"/>
        <w:jc w:val="both"/>
        <w:rPr>
          <w:rFonts w:ascii="Arial" w:hAnsi="Arial" w:cs="Arial"/>
          <w:sz w:val="22"/>
          <w:szCs w:val="22"/>
          <w:lang w:val="en-US"/>
        </w:rPr>
      </w:pPr>
    </w:p>
    <w:p w14:paraId="19B7B7E2" w14:textId="3816163E" w:rsidR="00172BB6" w:rsidRDefault="00172BB6" w:rsidP="00390657">
      <w:pPr>
        <w:snapToGrid w:val="0"/>
        <w:spacing w:after="240"/>
        <w:jc w:val="both"/>
        <w:rPr>
          <w:rFonts w:ascii="Arial" w:hAnsi="Arial" w:cs="Arial"/>
          <w:sz w:val="22"/>
          <w:szCs w:val="22"/>
          <w:lang w:val="en-US"/>
        </w:rPr>
      </w:pPr>
    </w:p>
    <w:p w14:paraId="42602AC1" w14:textId="7E550CF8" w:rsidR="00172BB6" w:rsidRDefault="00172BB6" w:rsidP="00390657">
      <w:pPr>
        <w:snapToGrid w:val="0"/>
        <w:spacing w:after="240"/>
        <w:jc w:val="both"/>
        <w:rPr>
          <w:rFonts w:ascii="Arial" w:hAnsi="Arial" w:cs="Arial"/>
          <w:sz w:val="22"/>
          <w:szCs w:val="22"/>
          <w:lang w:val="en-US"/>
        </w:rPr>
      </w:pPr>
    </w:p>
    <w:p w14:paraId="1FDF84A6" w14:textId="5CF0A633" w:rsidR="00172BB6" w:rsidRDefault="00172BB6" w:rsidP="00390657">
      <w:pPr>
        <w:snapToGrid w:val="0"/>
        <w:spacing w:after="240"/>
        <w:jc w:val="both"/>
        <w:rPr>
          <w:rFonts w:ascii="Arial" w:hAnsi="Arial" w:cs="Arial"/>
          <w:sz w:val="22"/>
          <w:szCs w:val="22"/>
          <w:lang w:val="en-US"/>
        </w:rPr>
      </w:pPr>
    </w:p>
    <w:p w14:paraId="1724E0D3" w14:textId="7CD1C083" w:rsidR="00172BB6" w:rsidRDefault="00172BB6" w:rsidP="00390657">
      <w:pPr>
        <w:snapToGrid w:val="0"/>
        <w:spacing w:after="240"/>
        <w:jc w:val="both"/>
        <w:rPr>
          <w:rFonts w:ascii="Arial" w:hAnsi="Arial" w:cs="Arial"/>
          <w:sz w:val="22"/>
          <w:szCs w:val="22"/>
          <w:lang w:val="en-US"/>
        </w:rPr>
      </w:pPr>
    </w:p>
    <w:p w14:paraId="15D354D5" w14:textId="676A30F0" w:rsidR="00172BB6" w:rsidRDefault="00172BB6" w:rsidP="00390657">
      <w:pPr>
        <w:snapToGrid w:val="0"/>
        <w:spacing w:after="240"/>
        <w:jc w:val="both"/>
        <w:rPr>
          <w:rFonts w:ascii="Arial" w:hAnsi="Arial" w:cs="Arial"/>
          <w:sz w:val="22"/>
          <w:szCs w:val="22"/>
          <w:lang w:val="en-US"/>
        </w:rPr>
      </w:pPr>
    </w:p>
    <w:p w14:paraId="6FE464EA" w14:textId="28005D45" w:rsidR="00172BB6" w:rsidRDefault="00172BB6" w:rsidP="00390657">
      <w:pPr>
        <w:snapToGrid w:val="0"/>
        <w:spacing w:after="240"/>
        <w:jc w:val="both"/>
        <w:rPr>
          <w:rFonts w:ascii="Arial" w:hAnsi="Arial" w:cs="Arial"/>
          <w:sz w:val="22"/>
          <w:szCs w:val="22"/>
          <w:lang w:val="en-US"/>
        </w:rPr>
      </w:pPr>
    </w:p>
    <w:p w14:paraId="3106E813" w14:textId="7101E9BB" w:rsidR="00172BB6" w:rsidRDefault="00172BB6" w:rsidP="00390657">
      <w:pPr>
        <w:snapToGrid w:val="0"/>
        <w:spacing w:after="240"/>
        <w:jc w:val="both"/>
        <w:rPr>
          <w:rFonts w:ascii="Arial" w:hAnsi="Arial" w:cs="Arial"/>
          <w:sz w:val="22"/>
          <w:szCs w:val="22"/>
          <w:lang w:val="en-US"/>
        </w:rPr>
      </w:pPr>
    </w:p>
    <w:p w14:paraId="71709A0D" w14:textId="07D2CCF4" w:rsidR="00172BB6" w:rsidRDefault="00172BB6" w:rsidP="00390657">
      <w:pPr>
        <w:snapToGrid w:val="0"/>
        <w:spacing w:after="240"/>
        <w:jc w:val="both"/>
        <w:rPr>
          <w:rFonts w:ascii="Arial" w:hAnsi="Arial" w:cs="Arial"/>
          <w:sz w:val="22"/>
          <w:szCs w:val="22"/>
          <w:lang w:val="en-US"/>
        </w:rPr>
      </w:pPr>
    </w:p>
    <w:p w14:paraId="3D0D533B" w14:textId="433EC6D1" w:rsidR="00172BB6" w:rsidRDefault="00172BB6" w:rsidP="00390657">
      <w:pPr>
        <w:snapToGrid w:val="0"/>
        <w:spacing w:after="240"/>
        <w:jc w:val="both"/>
        <w:rPr>
          <w:rFonts w:ascii="Arial" w:hAnsi="Arial" w:cs="Arial"/>
          <w:sz w:val="22"/>
          <w:szCs w:val="22"/>
          <w:lang w:val="en-US"/>
        </w:rPr>
      </w:pPr>
    </w:p>
    <w:p w14:paraId="5A5E053C" w14:textId="63FBA94F" w:rsidR="00172BB6" w:rsidRDefault="00172BB6" w:rsidP="00390657">
      <w:pPr>
        <w:snapToGrid w:val="0"/>
        <w:spacing w:after="240"/>
        <w:jc w:val="both"/>
        <w:rPr>
          <w:rFonts w:ascii="Arial" w:hAnsi="Arial" w:cs="Arial"/>
          <w:sz w:val="22"/>
          <w:szCs w:val="22"/>
          <w:lang w:val="en-US"/>
        </w:rPr>
      </w:pPr>
    </w:p>
    <w:p w14:paraId="3EEFB4B5" w14:textId="77777777" w:rsidR="00172BB6" w:rsidRPr="00172BB6" w:rsidRDefault="00172BB6" w:rsidP="00172BB6">
      <w:pPr>
        <w:jc w:val="center"/>
        <w:rPr>
          <w:rFonts w:ascii="Arial" w:eastAsia="Calibri" w:hAnsi="Arial" w:cs="Arial"/>
          <w:b/>
          <w:sz w:val="18"/>
          <w:szCs w:val="18"/>
          <w:lang w:val="en-US"/>
        </w:rPr>
      </w:pPr>
      <w:r w:rsidRPr="00172BB6">
        <w:rPr>
          <w:rFonts w:ascii="Arial" w:eastAsia="Calibri" w:hAnsi="Arial" w:cs="Arial"/>
          <w:b/>
          <w:sz w:val="18"/>
          <w:szCs w:val="18"/>
          <w:lang w:val="en-US"/>
        </w:rPr>
        <w:t>Intergovernmental Oceanographic Commission (IOC)</w:t>
      </w:r>
    </w:p>
    <w:p w14:paraId="0CF44E63" w14:textId="77777777" w:rsidR="00172BB6" w:rsidRPr="00172BB6" w:rsidRDefault="00172BB6" w:rsidP="00172BB6">
      <w:pPr>
        <w:jc w:val="center"/>
        <w:rPr>
          <w:rFonts w:ascii="Arial" w:eastAsia="Calibri" w:hAnsi="Arial" w:cs="Arial"/>
          <w:sz w:val="18"/>
          <w:szCs w:val="18"/>
          <w:lang w:val="en-US"/>
        </w:rPr>
      </w:pPr>
      <w:r w:rsidRPr="00172BB6">
        <w:rPr>
          <w:rFonts w:ascii="Arial" w:eastAsia="Calibri" w:hAnsi="Arial" w:cs="Arial"/>
          <w:sz w:val="18"/>
          <w:szCs w:val="18"/>
          <w:lang w:val="en-US"/>
        </w:rPr>
        <w:t>United Nations Educational, Scientific and Cultural Organization</w:t>
      </w:r>
    </w:p>
    <w:p w14:paraId="136FDC26" w14:textId="77777777" w:rsidR="00172BB6" w:rsidRPr="00172BB6" w:rsidRDefault="00172BB6" w:rsidP="00172BB6">
      <w:pPr>
        <w:jc w:val="center"/>
        <w:rPr>
          <w:rFonts w:ascii="Arial" w:eastAsia="Calibri" w:hAnsi="Arial" w:cs="Arial"/>
          <w:sz w:val="18"/>
          <w:szCs w:val="18"/>
        </w:rPr>
      </w:pPr>
      <w:r w:rsidRPr="00172BB6">
        <w:rPr>
          <w:rFonts w:ascii="Arial" w:eastAsia="Calibri" w:hAnsi="Arial" w:cs="Arial"/>
          <w:sz w:val="18"/>
          <w:szCs w:val="18"/>
        </w:rPr>
        <w:t>7 Place de Fontenoy</w:t>
      </w:r>
    </w:p>
    <w:p w14:paraId="455D496A" w14:textId="77777777" w:rsidR="00172BB6" w:rsidRPr="00172BB6" w:rsidRDefault="00172BB6" w:rsidP="00172BB6">
      <w:pPr>
        <w:jc w:val="center"/>
        <w:rPr>
          <w:rFonts w:ascii="Arial" w:eastAsia="Calibri" w:hAnsi="Arial" w:cs="Arial"/>
          <w:sz w:val="18"/>
          <w:szCs w:val="18"/>
        </w:rPr>
      </w:pPr>
      <w:r w:rsidRPr="00172BB6">
        <w:rPr>
          <w:rFonts w:ascii="Arial" w:eastAsia="Calibri" w:hAnsi="Arial" w:cs="Arial"/>
          <w:sz w:val="18"/>
          <w:szCs w:val="18"/>
        </w:rPr>
        <w:t>75 732 Paris Cedex 07, France</w:t>
      </w:r>
    </w:p>
    <w:p w14:paraId="26D63669" w14:textId="77777777" w:rsidR="00172BB6" w:rsidRPr="00172BB6" w:rsidRDefault="00172BB6" w:rsidP="00172BB6">
      <w:pPr>
        <w:jc w:val="center"/>
        <w:rPr>
          <w:rFonts w:ascii="Arial" w:eastAsia="Calibri" w:hAnsi="Arial" w:cs="Arial"/>
          <w:sz w:val="18"/>
          <w:szCs w:val="18"/>
          <w:lang w:val="en-US"/>
        </w:rPr>
      </w:pPr>
      <w:r w:rsidRPr="00172BB6">
        <w:rPr>
          <w:rFonts w:ascii="Arial" w:eastAsia="Calibri" w:hAnsi="Arial" w:cs="Arial"/>
          <w:sz w:val="18"/>
          <w:szCs w:val="18"/>
          <w:lang w:val="en-US"/>
        </w:rPr>
        <w:t>Tel.: +33 1 45 68 10 10</w:t>
      </w:r>
    </w:p>
    <w:p w14:paraId="02F217E4" w14:textId="77777777" w:rsidR="00172BB6" w:rsidRPr="00172BB6" w:rsidRDefault="00172BB6" w:rsidP="00172BB6">
      <w:pPr>
        <w:jc w:val="center"/>
        <w:rPr>
          <w:rFonts w:ascii="Arial" w:eastAsia="Calibri" w:hAnsi="Arial" w:cs="Arial"/>
          <w:sz w:val="18"/>
          <w:szCs w:val="18"/>
          <w:lang w:val="en-US"/>
        </w:rPr>
      </w:pPr>
      <w:hyperlink r:id="rId21" w:history="1">
        <w:r w:rsidRPr="00172BB6">
          <w:rPr>
            <w:rFonts w:ascii="Arial" w:eastAsia="Calibri" w:hAnsi="Arial" w:cs="Arial"/>
            <w:color w:val="0563C1"/>
            <w:sz w:val="18"/>
            <w:szCs w:val="18"/>
            <w:u w:val="single"/>
            <w:lang w:val="en-US"/>
          </w:rPr>
          <w:t>http://ioc.unesco.org</w:t>
        </w:r>
      </w:hyperlink>
    </w:p>
    <w:p w14:paraId="489B25B9" w14:textId="77777777" w:rsidR="00172BB6" w:rsidRPr="00390657" w:rsidRDefault="00172BB6" w:rsidP="00390657">
      <w:pPr>
        <w:snapToGrid w:val="0"/>
        <w:spacing w:after="240"/>
        <w:jc w:val="both"/>
        <w:rPr>
          <w:rFonts w:ascii="Arial" w:hAnsi="Arial" w:cs="Arial"/>
          <w:color w:val="333333"/>
          <w:sz w:val="22"/>
          <w:szCs w:val="22"/>
          <w:highlight w:val="white"/>
          <w:lang w:val="en-US"/>
        </w:rPr>
      </w:pPr>
    </w:p>
    <w:sectPr w:rsidR="00172BB6" w:rsidRPr="00390657" w:rsidSect="00390657">
      <w:headerReference w:type="even" r:id="rId22"/>
      <w:headerReference w:type="default" r:id="rId23"/>
      <w:footerReference w:type="even" r:id="rId24"/>
      <w:footerReference w:type="default" r:id="rId25"/>
      <w:headerReference w:type="first" r:id="rId2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DD737" w14:textId="77777777" w:rsidR="00DB364A" w:rsidRDefault="00DB364A" w:rsidP="00772137">
      <w:r>
        <w:separator/>
      </w:r>
    </w:p>
  </w:endnote>
  <w:endnote w:type="continuationSeparator" w:id="0">
    <w:p w14:paraId="5D748687" w14:textId="77777777" w:rsidR="00DB364A" w:rsidRDefault="00DB364A" w:rsidP="0077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Light">
    <w:panose1 w:val="00000000000000000000"/>
    <w:charset w:val="00"/>
    <w:family w:val="auto"/>
    <w:notTrueType/>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1392663"/>
      <w:docPartObj>
        <w:docPartGallery w:val="Page Numbers (Bottom of Page)"/>
        <w:docPartUnique/>
      </w:docPartObj>
    </w:sdtPr>
    <w:sdtEndPr>
      <w:rPr>
        <w:rStyle w:val="PageNumber"/>
      </w:rPr>
    </w:sdtEndPr>
    <w:sdtContent>
      <w:p w14:paraId="4F45AD87" w14:textId="53BAB467" w:rsidR="00772137" w:rsidRDefault="00772137" w:rsidP="004F53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0657">
          <w:rPr>
            <w:rStyle w:val="PageNumber"/>
            <w:noProof/>
          </w:rPr>
          <w:t>2</w:t>
        </w:r>
        <w:r>
          <w:rPr>
            <w:rStyle w:val="PageNumber"/>
          </w:rPr>
          <w:fldChar w:fldCharType="end"/>
        </w:r>
      </w:p>
    </w:sdtContent>
  </w:sdt>
  <w:p w14:paraId="3A57A445" w14:textId="77777777" w:rsidR="00772137" w:rsidRDefault="00772137" w:rsidP="007721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1478366"/>
      <w:docPartObj>
        <w:docPartGallery w:val="Page Numbers (Bottom of Page)"/>
        <w:docPartUnique/>
      </w:docPartObj>
    </w:sdtPr>
    <w:sdtEndPr>
      <w:rPr>
        <w:rStyle w:val="PageNumber"/>
      </w:rPr>
    </w:sdtEndPr>
    <w:sdtContent>
      <w:p w14:paraId="675DA7C1" w14:textId="469C87E7" w:rsidR="00772137" w:rsidRDefault="00772137" w:rsidP="004F53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06E3CB" w14:textId="77777777" w:rsidR="00772137" w:rsidRDefault="00772137" w:rsidP="007721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88F98" w14:textId="77777777" w:rsidR="00DB364A" w:rsidRDefault="00DB364A" w:rsidP="00772137">
      <w:r>
        <w:separator/>
      </w:r>
    </w:p>
  </w:footnote>
  <w:footnote w:type="continuationSeparator" w:id="0">
    <w:p w14:paraId="2AABEE1F" w14:textId="77777777" w:rsidR="00DB364A" w:rsidRDefault="00DB364A" w:rsidP="00772137">
      <w:r>
        <w:continuationSeparator/>
      </w:r>
    </w:p>
  </w:footnote>
  <w:footnote w:id="1">
    <w:p w14:paraId="4F7E1E13" w14:textId="77777777" w:rsidR="003D162E" w:rsidRPr="00053D35" w:rsidRDefault="003D162E" w:rsidP="003D162E">
      <w:pPr>
        <w:pStyle w:val="FootnoteText"/>
        <w:rPr>
          <w:lang w:val="en-US"/>
        </w:rPr>
      </w:pPr>
      <w:r>
        <w:rPr>
          <w:rStyle w:val="FootnoteReference"/>
        </w:rPr>
        <w:footnoteRef/>
      </w:r>
      <w:r w:rsidRPr="000276F8">
        <w:rPr>
          <w:lang w:val="en-US"/>
        </w:rPr>
        <w:t xml:space="preserve"> </w:t>
      </w:r>
      <w:r w:rsidRPr="005E7CD6">
        <w:rPr>
          <w:rFonts w:cs="Roboto Light"/>
          <w:color w:val="211D1E"/>
          <w:sz w:val="18"/>
          <w:szCs w:val="18"/>
          <w:lang w:val="en-US"/>
        </w:rPr>
        <w:t xml:space="preserve">IOC-R. 2021. </w:t>
      </w:r>
      <w:r w:rsidRPr="005E7CD6">
        <w:rPr>
          <w:rFonts w:cs="Roboto Light"/>
          <w:i/>
          <w:iCs/>
          <w:color w:val="211D1E"/>
          <w:sz w:val="18"/>
          <w:szCs w:val="18"/>
          <w:lang w:val="en-US"/>
        </w:rPr>
        <w:t>Integrated Ocean Carbon Research: A Summary of Ocean Carbon Research, and Vision of Coordinated Ocean Carbon Research and Observations for the Next Decade</w:t>
      </w:r>
      <w:r w:rsidRPr="005E7CD6">
        <w:rPr>
          <w:rFonts w:cs="Roboto Light"/>
          <w:color w:val="211D1E"/>
          <w:sz w:val="18"/>
          <w:szCs w:val="18"/>
          <w:lang w:val="en-US"/>
        </w:rPr>
        <w:t>. R. Wanninkhof, C. Sabine and S. Aricò (eds.). Paris, UNESCO. 46 pp. (IOC Technical Series, 158</w:t>
      </w:r>
      <w:r w:rsidRPr="001C2925">
        <w:rPr>
          <w:rFonts w:cs="Roboto Light"/>
          <w:color w:val="211D1E"/>
          <w:sz w:val="18"/>
          <w:szCs w:val="18"/>
          <w:lang w:val="en-US"/>
        </w:rPr>
        <w:t xml:space="preserve">.) </w:t>
      </w:r>
      <w:r>
        <w:rPr>
          <w:rFonts w:cs="Roboto Light"/>
          <w:color w:val="211D1E"/>
          <w:sz w:val="18"/>
          <w:szCs w:val="18"/>
          <w:lang w:val="en-US"/>
        </w:rPr>
        <w:t>doi:</w:t>
      </w:r>
      <w:r w:rsidRPr="004E08EC">
        <w:rPr>
          <w:rFonts w:cs="Roboto Light"/>
          <w:color w:val="211D1E"/>
          <w:sz w:val="18"/>
          <w:szCs w:val="18"/>
          <w:lang w:val="en-US"/>
        </w:rPr>
        <w:t>10.25607/h0gj-pq41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31F37" w14:textId="1FC034CA" w:rsidR="00390657" w:rsidRPr="00390657" w:rsidRDefault="00390657" w:rsidP="00390657">
    <w:pPr>
      <w:tabs>
        <w:tab w:val="left" w:pos="7088"/>
      </w:tabs>
      <w:snapToGrid w:val="0"/>
      <w:jc w:val="both"/>
      <w:rPr>
        <w:rFonts w:ascii="Arial" w:eastAsia="Times New Roman" w:hAnsi="Arial" w:cs="Arial"/>
        <w:snapToGrid w:val="0"/>
        <w:sz w:val="22"/>
        <w:szCs w:val="22"/>
        <w:lang w:val="en-GB"/>
      </w:rPr>
    </w:pPr>
    <w:r w:rsidRPr="00390657">
      <w:rPr>
        <w:rFonts w:ascii="Arial" w:eastAsia="Times New Roman" w:hAnsi="Arial" w:cs="Arial"/>
        <w:snapToGrid w:val="0"/>
        <w:sz w:val="22"/>
        <w:szCs w:val="22"/>
        <w:lang w:val="en-GB"/>
      </w:rPr>
      <w:t xml:space="preserve">IOC/INF-1405– page </w:t>
    </w:r>
    <w:r w:rsidRPr="00390657">
      <w:rPr>
        <w:rFonts w:ascii="Arial" w:eastAsia="Times New Roman" w:hAnsi="Arial" w:cs="Arial"/>
        <w:snapToGrid w:val="0"/>
        <w:sz w:val="22"/>
        <w:szCs w:val="22"/>
        <w:lang w:val="en-GB"/>
      </w:rPr>
      <w:fldChar w:fldCharType="begin"/>
    </w:r>
    <w:r w:rsidRPr="00390657">
      <w:rPr>
        <w:rFonts w:ascii="Arial" w:eastAsia="Times New Roman" w:hAnsi="Arial" w:cs="Arial"/>
        <w:snapToGrid w:val="0"/>
        <w:sz w:val="22"/>
        <w:szCs w:val="22"/>
        <w:lang w:val="en-GB"/>
      </w:rPr>
      <w:instrText xml:space="preserve"> PAGE   \* MERGEFORMAT </w:instrText>
    </w:r>
    <w:r w:rsidRPr="00390657">
      <w:rPr>
        <w:rFonts w:ascii="Arial" w:eastAsia="Times New Roman" w:hAnsi="Arial" w:cs="Arial"/>
        <w:snapToGrid w:val="0"/>
        <w:sz w:val="22"/>
        <w:szCs w:val="22"/>
        <w:lang w:val="en-GB"/>
      </w:rPr>
      <w:fldChar w:fldCharType="separate"/>
    </w:r>
    <w:r w:rsidRPr="00390657">
      <w:rPr>
        <w:rFonts w:ascii="Arial" w:eastAsia="Times New Roman" w:hAnsi="Arial" w:cs="Arial"/>
        <w:noProof/>
        <w:snapToGrid w:val="0"/>
        <w:sz w:val="22"/>
        <w:szCs w:val="22"/>
        <w:lang w:val="en-GB"/>
      </w:rPr>
      <w:t>1</w:t>
    </w:r>
    <w:r w:rsidRPr="00390657">
      <w:rPr>
        <w:rFonts w:ascii="Arial" w:eastAsia="Times New Roman" w:hAnsi="Arial" w:cs="Arial"/>
        <w:noProof/>
        <w:snapToGrid w:val="0"/>
        <w:sz w:val="22"/>
        <w:szCs w:val="22"/>
        <w:lang w:val="en-GB"/>
      </w:rPr>
      <w:fldChar w:fldCharType="end"/>
    </w:r>
  </w:p>
  <w:p w14:paraId="35CD2ADE" w14:textId="77777777" w:rsidR="00390657" w:rsidRDefault="00390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9BE2" w14:textId="77777777" w:rsidR="00390657" w:rsidRPr="00390657" w:rsidRDefault="00390657" w:rsidP="00390657">
    <w:pPr>
      <w:tabs>
        <w:tab w:val="left" w:pos="7088"/>
      </w:tabs>
      <w:snapToGrid w:val="0"/>
      <w:ind w:firstLine="6663"/>
      <w:jc w:val="both"/>
      <w:rPr>
        <w:rFonts w:ascii="Arial" w:eastAsia="Times New Roman" w:hAnsi="Arial" w:cs="Arial"/>
        <w:snapToGrid w:val="0"/>
        <w:sz w:val="22"/>
        <w:szCs w:val="22"/>
        <w:lang w:val="en-GB"/>
      </w:rPr>
    </w:pPr>
    <w:r w:rsidRPr="00390657">
      <w:rPr>
        <w:rFonts w:ascii="Arial" w:eastAsia="Times New Roman" w:hAnsi="Arial" w:cs="Arial"/>
        <w:snapToGrid w:val="0"/>
        <w:sz w:val="22"/>
        <w:szCs w:val="22"/>
        <w:lang w:val="en-GB"/>
      </w:rPr>
      <w:t xml:space="preserve">IOC/INF-1405– page </w:t>
    </w:r>
    <w:r w:rsidRPr="00390657">
      <w:rPr>
        <w:rFonts w:ascii="Arial" w:eastAsia="Times New Roman" w:hAnsi="Arial" w:cs="Arial"/>
        <w:snapToGrid w:val="0"/>
        <w:sz w:val="22"/>
        <w:szCs w:val="22"/>
        <w:lang w:val="en-GB"/>
      </w:rPr>
      <w:fldChar w:fldCharType="begin"/>
    </w:r>
    <w:r w:rsidRPr="00390657">
      <w:rPr>
        <w:rFonts w:ascii="Arial" w:eastAsia="Times New Roman" w:hAnsi="Arial" w:cs="Arial"/>
        <w:snapToGrid w:val="0"/>
        <w:sz w:val="22"/>
        <w:szCs w:val="22"/>
        <w:lang w:val="en-GB"/>
      </w:rPr>
      <w:instrText xml:space="preserve"> PAGE   \* MERGEFORMAT </w:instrText>
    </w:r>
    <w:r w:rsidRPr="00390657">
      <w:rPr>
        <w:rFonts w:ascii="Arial" w:eastAsia="Times New Roman" w:hAnsi="Arial" w:cs="Arial"/>
        <w:snapToGrid w:val="0"/>
        <w:sz w:val="22"/>
        <w:szCs w:val="22"/>
        <w:lang w:val="en-GB"/>
      </w:rPr>
      <w:fldChar w:fldCharType="separate"/>
    </w:r>
    <w:r>
      <w:rPr>
        <w:rFonts w:ascii="Arial" w:eastAsia="Times New Roman" w:hAnsi="Arial" w:cs="Arial"/>
        <w:snapToGrid w:val="0"/>
        <w:sz w:val="22"/>
        <w:szCs w:val="22"/>
        <w:lang w:val="en-GB"/>
      </w:rPr>
      <w:t>2</w:t>
    </w:r>
    <w:r w:rsidRPr="00390657">
      <w:rPr>
        <w:rFonts w:ascii="Arial" w:eastAsia="Times New Roman" w:hAnsi="Arial" w:cs="Arial"/>
        <w:noProof/>
        <w:snapToGrid w:val="0"/>
        <w:sz w:val="22"/>
        <w:szCs w:val="22"/>
        <w:lang w:val="en-GB"/>
      </w:rPr>
      <w:fldChar w:fldCharType="end"/>
    </w:r>
  </w:p>
  <w:p w14:paraId="5E1EFC15" w14:textId="77777777" w:rsidR="00390657" w:rsidRDefault="00390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9037" w14:textId="086DC31E" w:rsidR="00390657" w:rsidRPr="00390657" w:rsidRDefault="00390657" w:rsidP="00390657">
    <w:pPr>
      <w:tabs>
        <w:tab w:val="left" w:pos="7088"/>
      </w:tabs>
      <w:snapToGrid w:val="0"/>
      <w:jc w:val="both"/>
      <w:rPr>
        <w:rFonts w:ascii="Arial" w:eastAsia="Times New Roman" w:hAnsi="Arial" w:cs="Arial"/>
        <w:b/>
        <w:bCs/>
        <w:snapToGrid w:val="0"/>
        <w:sz w:val="22"/>
        <w:szCs w:val="22"/>
        <w:lang w:val="en-GB"/>
      </w:rPr>
    </w:pPr>
    <w:r w:rsidRPr="00390657">
      <w:rPr>
        <w:rFonts w:ascii="Arial" w:eastAsia="Times New Roman" w:hAnsi="Arial" w:cs="Arial"/>
        <w:noProof/>
        <w:snapToGrid w:val="0"/>
        <w:sz w:val="22"/>
        <w:szCs w:val="22"/>
        <w:lang w:eastAsia="fr-FR"/>
      </w:rPr>
      <w:drawing>
        <wp:anchor distT="0" distB="0" distL="114300" distR="114300" simplePos="0" relativeHeight="251659264" behindDoc="1" locked="0" layoutInCell="1" allowOverlap="1" wp14:anchorId="13EAA1AF" wp14:editId="2B49755E">
          <wp:simplePos x="0" y="0"/>
          <wp:positionH relativeFrom="column">
            <wp:posOffset>0</wp:posOffset>
          </wp:positionH>
          <wp:positionV relativeFrom="paragraph">
            <wp:posOffset>-6985</wp:posOffset>
          </wp:positionV>
          <wp:extent cx="1714500" cy="881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657">
      <w:rPr>
        <w:rFonts w:ascii="Arial" w:eastAsia="Times New Roman" w:hAnsi="Arial" w:cs="Arial"/>
        <w:snapToGrid w:val="0"/>
        <w:sz w:val="22"/>
        <w:szCs w:val="22"/>
        <w:lang w:val="en-GB"/>
      </w:rPr>
      <w:tab/>
    </w:r>
    <w:r w:rsidRPr="00390657">
      <w:rPr>
        <w:rFonts w:ascii="Arial" w:eastAsia="Times New Roman" w:hAnsi="Arial" w:cs="Arial"/>
        <w:b/>
        <w:bCs/>
        <w:snapToGrid w:val="0"/>
        <w:sz w:val="22"/>
        <w:szCs w:val="22"/>
        <w:lang w:val="en-GB"/>
      </w:rPr>
      <w:t>IOC/INF-140</w:t>
    </w:r>
    <w:r>
      <w:rPr>
        <w:rFonts w:ascii="Arial" w:eastAsia="Times New Roman" w:hAnsi="Arial" w:cs="Arial"/>
        <w:b/>
        <w:bCs/>
        <w:snapToGrid w:val="0"/>
        <w:sz w:val="22"/>
        <w:szCs w:val="22"/>
        <w:lang w:val="en-GB"/>
      </w:rPr>
      <w:t>5</w:t>
    </w:r>
  </w:p>
  <w:p w14:paraId="5A738617" w14:textId="266E384D" w:rsidR="00390657" w:rsidRPr="00390657" w:rsidRDefault="00390657" w:rsidP="00390657">
    <w:pPr>
      <w:tabs>
        <w:tab w:val="left" w:pos="7088"/>
      </w:tabs>
      <w:snapToGrid w:val="0"/>
      <w:rPr>
        <w:rFonts w:ascii="Arial" w:eastAsia="Times New Roman" w:hAnsi="Arial" w:cs="Arial"/>
        <w:snapToGrid w:val="0"/>
        <w:sz w:val="22"/>
        <w:szCs w:val="22"/>
        <w:lang w:val="en-GB"/>
      </w:rPr>
    </w:pPr>
    <w:r w:rsidRPr="00390657">
      <w:rPr>
        <w:rFonts w:ascii="Arial" w:eastAsia="Times New Roman" w:hAnsi="Arial" w:cs="Arial"/>
        <w:b/>
        <w:snapToGrid w:val="0"/>
        <w:sz w:val="22"/>
        <w:szCs w:val="22"/>
        <w:lang w:val="en-GB"/>
      </w:rPr>
      <w:tab/>
    </w:r>
    <w:r w:rsidRPr="00390657">
      <w:rPr>
        <w:rFonts w:ascii="Arial" w:eastAsia="Times New Roman" w:hAnsi="Arial" w:cs="Arial"/>
        <w:snapToGrid w:val="0"/>
        <w:sz w:val="22"/>
        <w:szCs w:val="22"/>
        <w:lang w:val="en-GB"/>
      </w:rPr>
      <w:t>Paris,</w:t>
    </w:r>
    <w:r>
      <w:rPr>
        <w:rFonts w:ascii="Arial" w:eastAsia="Times New Roman" w:hAnsi="Arial" w:cs="Arial"/>
        <w:snapToGrid w:val="0"/>
        <w:sz w:val="22"/>
        <w:szCs w:val="22"/>
        <w:lang w:val="en-GB"/>
      </w:rPr>
      <w:t>11</w:t>
    </w:r>
    <w:r w:rsidRPr="00390657">
      <w:rPr>
        <w:rFonts w:ascii="Arial" w:eastAsia="Times New Roman" w:hAnsi="Arial" w:cs="Arial"/>
        <w:snapToGrid w:val="0"/>
        <w:sz w:val="22"/>
        <w:szCs w:val="22"/>
        <w:lang w:val="en-GB"/>
      </w:rPr>
      <w:t xml:space="preserve"> June 2021</w:t>
    </w:r>
  </w:p>
  <w:p w14:paraId="1CEC00B7" w14:textId="77777777" w:rsidR="00390657" w:rsidRPr="00390657" w:rsidRDefault="00390657" w:rsidP="00390657">
    <w:pPr>
      <w:tabs>
        <w:tab w:val="left" w:pos="7088"/>
        <w:tab w:val="left" w:pos="7230"/>
      </w:tabs>
      <w:snapToGrid w:val="0"/>
      <w:jc w:val="both"/>
      <w:rPr>
        <w:rFonts w:ascii="Arial" w:eastAsia="Times New Roman" w:hAnsi="Arial" w:cs="Arial"/>
        <w:snapToGrid w:val="0"/>
        <w:sz w:val="22"/>
        <w:szCs w:val="22"/>
        <w:lang w:val="en-GB"/>
      </w:rPr>
    </w:pPr>
    <w:r w:rsidRPr="00390657">
      <w:rPr>
        <w:rFonts w:ascii="Arial" w:eastAsia="Times New Roman" w:hAnsi="Arial" w:cs="Arial"/>
        <w:b/>
        <w:snapToGrid w:val="0"/>
        <w:sz w:val="22"/>
        <w:szCs w:val="22"/>
        <w:lang w:val="en-GB"/>
      </w:rPr>
      <w:tab/>
    </w:r>
    <w:r w:rsidRPr="00390657">
      <w:rPr>
        <w:rFonts w:ascii="Arial" w:eastAsia="Times New Roman" w:hAnsi="Arial" w:cs="Arial"/>
        <w:snapToGrid w:val="0"/>
        <w:sz w:val="22"/>
        <w:szCs w:val="22"/>
        <w:lang w:val="en-GB"/>
      </w:rPr>
      <w:t>English only</w:t>
    </w:r>
  </w:p>
  <w:p w14:paraId="24E43696" w14:textId="77777777" w:rsidR="00390657" w:rsidRPr="00390657" w:rsidRDefault="00390657" w:rsidP="00390657">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 w:val="left" w:pos="6660"/>
        <w:tab w:val="left" w:pos="7020"/>
        <w:tab w:val="left" w:pos="7513"/>
      </w:tabs>
      <w:snapToGrid w:val="0"/>
      <w:jc w:val="both"/>
      <w:rPr>
        <w:rFonts w:ascii="Arial" w:eastAsia="Times New Roman" w:hAnsi="Arial" w:cs="Arial"/>
        <w:b/>
        <w:snapToGrid w:val="0"/>
        <w:sz w:val="22"/>
        <w:szCs w:val="22"/>
        <w:lang w:val="en-GB"/>
      </w:rPr>
    </w:pPr>
  </w:p>
  <w:p w14:paraId="620EE49E" w14:textId="77777777" w:rsidR="00390657" w:rsidRPr="00390657" w:rsidRDefault="00390657" w:rsidP="00390657">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jc w:val="both"/>
      <w:rPr>
        <w:rFonts w:ascii="Arial" w:eastAsia="Times New Roman" w:hAnsi="Arial" w:cs="Arial"/>
        <w:b/>
        <w:snapToGrid w:val="0"/>
        <w:sz w:val="22"/>
        <w:szCs w:val="22"/>
        <w:lang w:val="en-GB"/>
      </w:rPr>
    </w:pPr>
  </w:p>
  <w:p w14:paraId="70657037" w14:textId="77777777" w:rsidR="00390657" w:rsidRPr="00390657" w:rsidRDefault="00390657" w:rsidP="00390657">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eastAsia="Times New Roman" w:hAnsi="Arial" w:cs="Arial"/>
        <w:b/>
        <w:snapToGrid w:val="0"/>
        <w:lang w:val="en-GB"/>
      </w:rPr>
    </w:pPr>
  </w:p>
  <w:p w14:paraId="7E8EE09E" w14:textId="77777777" w:rsidR="00390657" w:rsidRPr="00390657" w:rsidRDefault="00390657" w:rsidP="00390657">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eastAsia="Times New Roman" w:hAnsi="Arial" w:cs="Arial"/>
        <w:b/>
        <w:snapToGrid w:val="0"/>
        <w:lang w:val="en-GB"/>
      </w:rPr>
    </w:pPr>
  </w:p>
  <w:p w14:paraId="4A4C0A4E" w14:textId="77777777" w:rsidR="00390657" w:rsidRPr="00390657" w:rsidRDefault="00390657" w:rsidP="00390657">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eastAsia="Times New Roman" w:hAnsi="Arial" w:cs="Arial"/>
        <w:b/>
        <w:snapToGrid w:val="0"/>
        <w:lang w:val="en-GB"/>
      </w:rPr>
    </w:pPr>
  </w:p>
  <w:p w14:paraId="62342461" w14:textId="77777777" w:rsidR="00390657" w:rsidRPr="00390657" w:rsidRDefault="00390657" w:rsidP="00390657">
    <w:pPr>
      <w:tabs>
        <w:tab w:val="left" w:pos="-1440"/>
        <w:tab w:val="left" w:pos="-720"/>
        <w:tab w:val="left" w:pos="567"/>
        <w:tab w:val="left" w:pos="720"/>
        <w:tab w:val="left" w:pos="2160"/>
        <w:tab w:val="left" w:pos="3600"/>
        <w:tab w:val="left" w:pos="4320"/>
        <w:tab w:val="left" w:pos="5040"/>
        <w:tab w:val="left" w:pos="5523"/>
        <w:tab w:val="left" w:pos="6480"/>
      </w:tabs>
      <w:snapToGrid w:val="0"/>
      <w:jc w:val="center"/>
      <w:rPr>
        <w:rFonts w:ascii="Arial" w:eastAsia="Times New Roman" w:hAnsi="Arial" w:cs="Arial"/>
        <w:b/>
        <w:snapToGrid w:val="0"/>
        <w:lang w:val="en-GB"/>
      </w:rPr>
    </w:pPr>
    <w:r w:rsidRPr="00390657">
      <w:rPr>
        <w:rFonts w:ascii="Arial" w:eastAsia="Times New Roman" w:hAnsi="Arial" w:cs="Arial"/>
        <w:b/>
        <w:snapToGrid w:val="0"/>
        <w:lang w:val="en-GB"/>
      </w:rPr>
      <w:t>INTERGOVERNMENTAL OCEANOGRAPHIC COMMISSION</w:t>
    </w:r>
  </w:p>
  <w:p w14:paraId="05649979" w14:textId="77777777" w:rsidR="00390657" w:rsidRPr="00390657" w:rsidRDefault="00390657" w:rsidP="00390657">
    <w:pPr>
      <w:tabs>
        <w:tab w:val="left" w:pos="-1440"/>
        <w:tab w:val="left" w:pos="-720"/>
        <w:tab w:val="left" w:pos="567"/>
        <w:tab w:val="left" w:pos="720"/>
        <w:tab w:val="left" w:pos="2160"/>
        <w:tab w:val="left" w:pos="3600"/>
        <w:tab w:val="left" w:pos="4320"/>
        <w:tab w:val="left" w:pos="5040"/>
        <w:tab w:val="left" w:pos="5523"/>
        <w:tab w:val="left" w:pos="6480"/>
      </w:tabs>
      <w:snapToGrid w:val="0"/>
      <w:jc w:val="center"/>
      <w:rPr>
        <w:rFonts w:ascii="Arial" w:eastAsia="Times New Roman" w:hAnsi="Arial" w:cs="Arial"/>
        <w:bCs/>
        <w:snapToGrid w:val="0"/>
        <w:lang w:val="en-GB"/>
      </w:rPr>
    </w:pPr>
    <w:r w:rsidRPr="00390657">
      <w:rPr>
        <w:rFonts w:ascii="Arial" w:eastAsia="Times New Roman" w:hAnsi="Arial" w:cs="Arial"/>
        <w:bCs/>
        <w:snapToGrid w:val="0"/>
        <w:lang w:val="en-GB"/>
      </w:rPr>
      <w:t>(of UNESCO)</w:t>
    </w:r>
  </w:p>
  <w:p w14:paraId="7F607093" w14:textId="77777777" w:rsidR="00390657" w:rsidRPr="00390657" w:rsidRDefault="00390657" w:rsidP="00390657">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ind w:left="2772"/>
      <w:jc w:val="center"/>
      <w:rPr>
        <w:rFonts w:ascii="Arial" w:eastAsia="Times New Roman" w:hAnsi="Arial" w:cs="Arial"/>
        <w:b/>
        <w:snapToGrid w:val="0"/>
        <w:sz w:val="22"/>
        <w:szCs w:val="22"/>
        <w:lang w:val="en-GB"/>
      </w:rPr>
    </w:pPr>
  </w:p>
  <w:p w14:paraId="31CBAB64" w14:textId="77777777" w:rsidR="00390657" w:rsidRPr="00390657" w:rsidRDefault="00390657" w:rsidP="00390657">
    <w:pPr>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ind w:left="2772"/>
      <w:rPr>
        <w:rFonts w:ascii="Arial" w:eastAsia="Times New Roman" w:hAnsi="Arial" w:cs="Arial"/>
        <w:b/>
        <w:snapToGrid w:val="0"/>
        <w:lang w:val="en-GB"/>
      </w:rPr>
    </w:pPr>
  </w:p>
  <w:p w14:paraId="6D7AFC0F" w14:textId="77777777" w:rsidR="00390657" w:rsidRPr="00390657" w:rsidRDefault="00390657" w:rsidP="0039065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ind w:left="2772"/>
      <w:rPr>
        <w:rFonts w:ascii="Arial" w:eastAsia="Times New Roman" w:hAnsi="Arial" w:cs="Arial"/>
        <w:bCs/>
        <w:snapToGrid w:val="0"/>
        <w:sz w:val="22"/>
        <w:szCs w:val="22"/>
        <w:lang w:val="en-GB"/>
      </w:rPr>
    </w:pPr>
  </w:p>
  <w:p w14:paraId="2224B866" w14:textId="77777777" w:rsidR="00390657" w:rsidRPr="00390657" w:rsidRDefault="00390657" w:rsidP="00390657">
    <w:pPr>
      <w:tabs>
        <w:tab w:val="left" w:pos="567"/>
      </w:tabs>
      <w:snapToGrid w:val="0"/>
      <w:jc w:val="center"/>
      <w:rPr>
        <w:rFonts w:ascii="Arial" w:eastAsia="Times New Roman" w:hAnsi="Arial" w:cs="Arial"/>
        <w:snapToGrid w:val="0"/>
        <w:sz w:val="22"/>
        <w:szCs w:val="22"/>
        <w:lang w:val="en-GB"/>
      </w:rPr>
    </w:pPr>
  </w:p>
  <w:p w14:paraId="75C2D8B9" w14:textId="77777777" w:rsidR="00390657" w:rsidRPr="00390657" w:rsidRDefault="00390657" w:rsidP="00390657">
    <w:pPr>
      <w:tabs>
        <w:tab w:val="left" w:pos="567"/>
      </w:tabs>
      <w:snapToGrid w:val="0"/>
      <w:jc w:val="center"/>
      <w:rPr>
        <w:rFonts w:ascii="Arial" w:eastAsia="Times New Roman" w:hAnsi="Arial" w:cs="Arial"/>
        <w:snapToGrid w:val="0"/>
        <w:sz w:val="22"/>
        <w:szCs w:val="22"/>
        <w:lang w:val="en-GB"/>
      </w:rPr>
    </w:pPr>
  </w:p>
  <w:p w14:paraId="4F012FD6" w14:textId="77777777" w:rsidR="00390657" w:rsidRPr="00390657" w:rsidRDefault="00390657" w:rsidP="00390657">
    <w:pPr>
      <w:tabs>
        <w:tab w:val="left" w:pos="567"/>
      </w:tabs>
      <w:snapToGrid w:val="0"/>
      <w:jc w:val="center"/>
      <w:rPr>
        <w:rFonts w:ascii="Arial" w:eastAsia="Times New Roman" w:hAnsi="Arial" w:cs="Arial"/>
        <w:b/>
        <w:snapToGrid w:val="0"/>
        <w:sz w:val="28"/>
        <w:szCs w:val="28"/>
        <w:lang w:val="en-GB"/>
      </w:rPr>
    </w:pPr>
    <w:r w:rsidRPr="00390657">
      <w:rPr>
        <w:rFonts w:ascii="Arial" w:eastAsia="Times New Roman" w:hAnsi="Arial" w:cs="Times New Roman"/>
        <w:noProof/>
        <w:snapToGrid w:val="0"/>
        <w:sz w:val="22"/>
        <w:lang w:eastAsia="fr-FR"/>
      </w:rPr>
      <mc:AlternateContent>
        <mc:Choice Requires="wps">
          <w:drawing>
            <wp:anchor distT="0" distB="0" distL="114300" distR="114300" simplePos="0" relativeHeight="251660288" behindDoc="1" locked="0" layoutInCell="1" allowOverlap="1" wp14:anchorId="3C2852DE" wp14:editId="71FFDF91">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5B9438C4" w14:textId="77777777" w:rsidR="00390657" w:rsidRPr="00DE7974" w:rsidRDefault="00390657" w:rsidP="00390657">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852DE"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61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">
              <v:textbox style="mso-fit-shape-to-text:t">
                <w:txbxContent>
                  <w:p w14:paraId="5B9438C4" w14:textId="77777777" w:rsidR="00390657" w:rsidRPr="00DE7974" w:rsidRDefault="00390657" w:rsidP="00390657">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7B94FDAE" w14:textId="77777777" w:rsidR="00390657" w:rsidRPr="00390657" w:rsidRDefault="00390657" w:rsidP="00390657">
    <w:pPr>
      <w:tabs>
        <w:tab w:val="left" w:pos="567"/>
      </w:tabs>
      <w:snapToGrid w:val="0"/>
      <w:jc w:val="center"/>
      <w:rPr>
        <w:rFonts w:ascii="Arial" w:eastAsia="Times New Roman" w:hAnsi="Arial" w:cs="Arial"/>
        <w:snapToGrid w:val="0"/>
        <w:sz w:val="22"/>
        <w:szCs w:val="22"/>
        <w:lang w:val="en-GB"/>
      </w:rPr>
    </w:pPr>
  </w:p>
  <w:p w14:paraId="1DD4ED5B" w14:textId="77777777" w:rsidR="00390657" w:rsidRPr="00390657" w:rsidRDefault="00390657" w:rsidP="00390657">
    <w:pPr>
      <w:tabs>
        <w:tab w:val="left" w:pos="567"/>
      </w:tabs>
      <w:snapToGrid w:val="0"/>
      <w:jc w:val="center"/>
      <w:rPr>
        <w:rFonts w:ascii="Arial" w:eastAsia="Times New Roman" w:hAnsi="Arial" w:cs="Arial"/>
        <w:snapToGrid w:val="0"/>
        <w:sz w:val="22"/>
        <w:szCs w:val="22"/>
        <w:lang w:val="en-GB"/>
      </w:rPr>
    </w:pPr>
  </w:p>
  <w:p w14:paraId="0CA27A54" w14:textId="77777777" w:rsidR="00390657" w:rsidRPr="00390657" w:rsidRDefault="00390657" w:rsidP="00390657">
    <w:pPr>
      <w:tabs>
        <w:tab w:val="left" w:pos="567"/>
      </w:tabs>
      <w:snapToGrid w:val="0"/>
      <w:jc w:val="center"/>
      <w:rPr>
        <w:rFonts w:ascii="Arial" w:eastAsia="Times New Roman" w:hAnsi="Arial" w:cs="Arial"/>
        <w:snapToGrid w:val="0"/>
        <w:sz w:val="22"/>
        <w:szCs w:val="22"/>
        <w:lang w:val="en-GB"/>
      </w:rPr>
    </w:pPr>
  </w:p>
  <w:p w14:paraId="503B99D1" w14:textId="41A6629A" w:rsidR="00390657" w:rsidRDefault="00390657" w:rsidP="00390657">
    <w:pPr>
      <w:tabs>
        <w:tab w:val="left" w:pos="567"/>
      </w:tabs>
      <w:snapToGrid w:val="0"/>
      <w:rPr>
        <w:rFonts w:ascii="Arial" w:eastAsia="Times New Roman" w:hAnsi="Arial" w:cs="Arial"/>
        <w:snapToGrid w:val="0"/>
        <w:sz w:val="22"/>
        <w:szCs w:val="22"/>
        <w:lang w:val="en-GB"/>
      </w:rPr>
    </w:pPr>
  </w:p>
  <w:p w14:paraId="27219546" w14:textId="77777777" w:rsidR="00390657" w:rsidRPr="00390657" w:rsidRDefault="00390657" w:rsidP="00390657">
    <w:pPr>
      <w:tabs>
        <w:tab w:val="left" w:pos="567"/>
      </w:tabs>
      <w:snapToGrid w:val="0"/>
      <w:rPr>
        <w:rFonts w:ascii="Arial" w:eastAsia="Times New Roman" w:hAnsi="Arial" w:cs="Arial"/>
        <w:snapToGrid w:val="0"/>
        <w:sz w:val="22"/>
        <w:szCs w:val="22"/>
        <w:lang w:val="en-GB"/>
      </w:rPr>
    </w:pPr>
  </w:p>
  <w:p w14:paraId="1988D4B3" w14:textId="77777777" w:rsidR="00390657" w:rsidRPr="00390657" w:rsidRDefault="00390657" w:rsidP="00390657">
    <w:pPr>
      <w:tabs>
        <w:tab w:val="left" w:pos="567"/>
      </w:tabs>
      <w:snapToGrid w:val="0"/>
      <w:rPr>
        <w:rFonts w:ascii="Arial" w:eastAsia="Times New Roman" w:hAnsi="Arial" w:cs="Arial"/>
        <w:snapToGrid w:val="0"/>
        <w:sz w:val="22"/>
        <w:szCs w:val="22"/>
        <w:lang w:val="en-GB"/>
      </w:rPr>
    </w:pPr>
  </w:p>
  <w:p w14:paraId="1CBD6E86" w14:textId="77924678" w:rsidR="00390657" w:rsidRDefault="00390657" w:rsidP="00390657">
    <w:pPr>
      <w:pStyle w:val="Header"/>
      <w:jc w:val="center"/>
    </w:pPr>
    <w:r w:rsidRPr="00390657">
      <w:rPr>
        <w:rFonts w:ascii="Arial" w:eastAsia="Times New Roman" w:hAnsi="Arial" w:cs="Arial"/>
        <w:b/>
        <w:bCs/>
        <w:caps/>
        <w:snapToGrid w:val="0"/>
        <w:lang w:val="en-GB"/>
      </w:rPr>
      <w:t>IOC Commitments in International and UN Processes</w:t>
    </w:r>
    <w:r>
      <w:rPr>
        <w:rFonts w:ascii="Arial" w:eastAsia="Times New Roman" w:hAnsi="Arial" w:cs="Arial"/>
        <w:b/>
        <w:bCs/>
        <w:caps/>
        <w:snapToGrid w:val="0"/>
        <w:lang w:val="en-GB"/>
      </w:rPr>
      <w:br/>
    </w:r>
    <w:r w:rsidRPr="00390657">
      <w:rPr>
        <w:rFonts w:ascii="Arial" w:eastAsia="Times New Roman" w:hAnsi="Arial" w:cs="Arial"/>
        <w:b/>
        <w:bCs/>
        <w:caps/>
        <w:snapToGrid w:val="0"/>
        <w:lang w:val="en-GB"/>
      </w:rPr>
      <w:t>(BBNJ, CBD, WOA-III, UNFCCC)</w:t>
    </w:r>
  </w:p>
  <w:p w14:paraId="59ADBAC0" w14:textId="78E231E3" w:rsidR="00390657" w:rsidRDefault="00390657">
    <w:pPr>
      <w:pStyle w:val="Header"/>
    </w:pPr>
  </w:p>
  <w:p w14:paraId="18A0BF03" w14:textId="69CC9F25" w:rsidR="00390657" w:rsidRDefault="00390657">
    <w:pPr>
      <w:pStyle w:val="Header"/>
    </w:pPr>
  </w:p>
  <w:p w14:paraId="6A022C19" w14:textId="7062BD3B" w:rsidR="00390657" w:rsidRDefault="00390657">
    <w:pPr>
      <w:pStyle w:val="Header"/>
    </w:pPr>
  </w:p>
  <w:p w14:paraId="17026DD5" w14:textId="533C3F59" w:rsidR="00390657" w:rsidRDefault="00390657">
    <w:pPr>
      <w:pStyle w:val="Header"/>
    </w:pPr>
  </w:p>
  <w:p w14:paraId="4957114C" w14:textId="77777777" w:rsidR="00390657" w:rsidRDefault="00390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1F5A"/>
    <w:multiLevelType w:val="hybridMultilevel"/>
    <w:tmpl w:val="05944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FA778C"/>
    <w:multiLevelType w:val="hybridMultilevel"/>
    <w:tmpl w:val="9D7071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5D"/>
    <w:rsid w:val="0002067B"/>
    <w:rsid w:val="000276F8"/>
    <w:rsid w:val="000307FE"/>
    <w:rsid w:val="00053D35"/>
    <w:rsid w:val="00064D78"/>
    <w:rsid w:val="0009684A"/>
    <w:rsid w:val="000A423E"/>
    <w:rsid w:val="000A5D94"/>
    <w:rsid w:val="000D1620"/>
    <w:rsid w:val="00124D7A"/>
    <w:rsid w:val="00150079"/>
    <w:rsid w:val="001636DD"/>
    <w:rsid w:val="00172BB6"/>
    <w:rsid w:val="001B3839"/>
    <w:rsid w:val="00227519"/>
    <w:rsid w:val="002536FE"/>
    <w:rsid w:val="00296863"/>
    <w:rsid w:val="003453D4"/>
    <w:rsid w:val="00390657"/>
    <w:rsid w:val="003D162E"/>
    <w:rsid w:val="003D275D"/>
    <w:rsid w:val="003E25A7"/>
    <w:rsid w:val="004138C3"/>
    <w:rsid w:val="0044065F"/>
    <w:rsid w:val="00455233"/>
    <w:rsid w:val="00503D46"/>
    <w:rsid w:val="00510638"/>
    <w:rsid w:val="00557405"/>
    <w:rsid w:val="005574B5"/>
    <w:rsid w:val="005773AE"/>
    <w:rsid w:val="005C718C"/>
    <w:rsid w:val="00613F12"/>
    <w:rsid w:val="00633B35"/>
    <w:rsid w:val="006737A7"/>
    <w:rsid w:val="00741F79"/>
    <w:rsid w:val="00762F4B"/>
    <w:rsid w:val="00764D12"/>
    <w:rsid w:val="00772137"/>
    <w:rsid w:val="007729B3"/>
    <w:rsid w:val="0078019F"/>
    <w:rsid w:val="007A5AE5"/>
    <w:rsid w:val="007B0D46"/>
    <w:rsid w:val="007B5168"/>
    <w:rsid w:val="007B5EFF"/>
    <w:rsid w:val="00817F10"/>
    <w:rsid w:val="008930AE"/>
    <w:rsid w:val="008A068D"/>
    <w:rsid w:val="00940CE0"/>
    <w:rsid w:val="00955C78"/>
    <w:rsid w:val="00997E18"/>
    <w:rsid w:val="009F622E"/>
    <w:rsid w:val="00A50BF4"/>
    <w:rsid w:val="00A66286"/>
    <w:rsid w:val="00A80506"/>
    <w:rsid w:val="00AA113C"/>
    <w:rsid w:val="00AD2DE8"/>
    <w:rsid w:val="00B3713D"/>
    <w:rsid w:val="00B728F7"/>
    <w:rsid w:val="00B7792C"/>
    <w:rsid w:val="00B831D1"/>
    <w:rsid w:val="00BB5C08"/>
    <w:rsid w:val="00BD2276"/>
    <w:rsid w:val="00C65347"/>
    <w:rsid w:val="00CA525D"/>
    <w:rsid w:val="00D35E07"/>
    <w:rsid w:val="00DB364A"/>
    <w:rsid w:val="00DC54A0"/>
    <w:rsid w:val="00DF718E"/>
    <w:rsid w:val="00E07939"/>
    <w:rsid w:val="00F02117"/>
    <w:rsid w:val="00F1529C"/>
    <w:rsid w:val="00F15BA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6CBFE"/>
  <w15:chartTrackingRefBased/>
  <w15:docId w15:val="{9527184B-B126-5541-9C63-18B0492C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25D"/>
    <w:rPr>
      <w:color w:val="0563C1" w:themeColor="hyperlink"/>
      <w:u w:val="single"/>
    </w:rPr>
  </w:style>
  <w:style w:type="character" w:styleId="UnresolvedMention">
    <w:name w:val="Unresolved Mention"/>
    <w:basedOn w:val="DefaultParagraphFont"/>
    <w:uiPriority w:val="99"/>
    <w:semiHidden/>
    <w:unhideWhenUsed/>
    <w:rsid w:val="00CA525D"/>
    <w:rPr>
      <w:color w:val="605E5C"/>
      <w:shd w:val="clear" w:color="auto" w:fill="E1DFDD"/>
    </w:rPr>
  </w:style>
  <w:style w:type="paragraph" w:styleId="Footer">
    <w:name w:val="footer"/>
    <w:basedOn w:val="Normal"/>
    <w:link w:val="FooterChar"/>
    <w:uiPriority w:val="99"/>
    <w:unhideWhenUsed/>
    <w:rsid w:val="00772137"/>
    <w:pPr>
      <w:tabs>
        <w:tab w:val="center" w:pos="4703"/>
        <w:tab w:val="right" w:pos="9406"/>
      </w:tabs>
    </w:pPr>
  </w:style>
  <w:style w:type="character" w:customStyle="1" w:styleId="FooterChar">
    <w:name w:val="Footer Char"/>
    <w:basedOn w:val="DefaultParagraphFont"/>
    <w:link w:val="Footer"/>
    <w:uiPriority w:val="99"/>
    <w:rsid w:val="00772137"/>
  </w:style>
  <w:style w:type="character" w:styleId="PageNumber">
    <w:name w:val="page number"/>
    <w:basedOn w:val="DefaultParagraphFont"/>
    <w:uiPriority w:val="99"/>
    <w:semiHidden/>
    <w:unhideWhenUsed/>
    <w:rsid w:val="00772137"/>
  </w:style>
  <w:style w:type="paragraph" w:styleId="Header">
    <w:name w:val="header"/>
    <w:basedOn w:val="Normal"/>
    <w:link w:val="HeaderChar"/>
    <w:uiPriority w:val="99"/>
    <w:unhideWhenUsed/>
    <w:rsid w:val="00DC54A0"/>
    <w:pPr>
      <w:tabs>
        <w:tab w:val="center" w:pos="4703"/>
        <w:tab w:val="right" w:pos="9406"/>
      </w:tabs>
    </w:pPr>
  </w:style>
  <w:style w:type="character" w:customStyle="1" w:styleId="HeaderChar">
    <w:name w:val="Header Char"/>
    <w:basedOn w:val="DefaultParagraphFont"/>
    <w:link w:val="Header"/>
    <w:uiPriority w:val="99"/>
    <w:rsid w:val="00DC54A0"/>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AA113C"/>
    <w:pPr>
      <w:ind w:left="720"/>
      <w:contextualSpacing/>
    </w:pPr>
  </w:style>
  <w:style w:type="paragraph" w:styleId="BalloonText">
    <w:name w:val="Balloon Text"/>
    <w:basedOn w:val="Normal"/>
    <w:link w:val="BalloonTextChar"/>
    <w:uiPriority w:val="99"/>
    <w:semiHidden/>
    <w:unhideWhenUsed/>
    <w:rsid w:val="003D1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62E"/>
    <w:rPr>
      <w:rFonts w:ascii="Segoe UI" w:hAnsi="Segoe UI" w:cs="Segoe UI"/>
      <w:sz w:val="18"/>
      <w:szCs w:val="18"/>
    </w:rPr>
  </w:style>
  <w:style w:type="paragraph" w:styleId="FootnoteText">
    <w:name w:val="footnote text"/>
    <w:basedOn w:val="Normal"/>
    <w:link w:val="FootnoteTextChar"/>
    <w:uiPriority w:val="99"/>
    <w:semiHidden/>
    <w:unhideWhenUsed/>
    <w:rsid w:val="003D162E"/>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3D162E"/>
    <w:rPr>
      <w:rFonts w:eastAsiaTheme="minorEastAsia"/>
      <w:sz w:val="20"/>
      <w:szCs w:val="20"/>
      <w:lang w:eastAsia="zh-CN"/>
    </w:rPr>
  </w:style>
  <w:style w:type="character" w:styleId="FootnoteReference">
    <w:name w:val="footnote reference"/>
    <w:basedOn w:val="DefaultParagraphFont"/>
    <w:uiPriority w:val="99"/>
    <w:semiHidden/>
    <w:unhideWhenUsed/>
    <w:rsid w:val="003D162E"/>
    <w:rPr>
      <w:vertAlign w:val="superscript"/>
    </w:rPr>
  </w:style>
  <w:style w:type="character" w:customStyle="1" w:styleId="apple-converted-space">
    <w:name w:val="apple-converted-space"/>
    <w:basedOn w:val="DefaultParagraphFont"/>
    <w:rsid w:val="000276F8"/>
  </w:style>
  <w:style w:type="paragraph" w:styleId="NormalWeb">
    <w:name w:val="Normal (Web)"/>
    <w:basedOn w:val="Normal"/>
    <w:uiPriority w:val="99"/>
    <w:semiHidden/>
    <w:unhideWhenUsed/>
    <w:rsid w:val="000276F8"/>
    <w:pPr>
      <w:spacing w:before="100" w:beforeAutospacing="1" w:after="100" w:afterAutospacing="1"/>
    </w:pPr>
    <w:rPr>
      <w:rFonts w:ascii="Times New Roman" w:eastAsia="Times New Roman" w:hAnsi="Times New Roman" w:cs="Times New Roman"/>
      <w:lang w:eastAsia="en-GB"/>
    </w:rPr>
  </w:style>
  <w:style w:type="paragraph" w:customStyle="1" w:styleId="Style2">
    <w:name w:val="Style2"/>
    <w:basedOn w:val="Normal"/>
    <w:link w:val="Style2Car"/>
    <w:qFormat/>
    <w:rsid w:val="000276F8"/>
    <w:pPr>
      <w:shd w:val="clear" w:color="auto" w:fill="FFFFFF"/>
      <w:tabs>
        <w:tab w:val="num" w:pos="1400"/>
      </w:tabs>
      <w:spacing w:after="240"/>
      <w:ind w:left="720"/>
      <w:jc w:val="both"/>
    </w:pPr>
    <w:rPr>
      <w:rFonts w:ascii="Arial" w:eastAsia="Times New Roman" w:hAnsi="Arial" w:cs="Times New Roman"/>
      <w:iCs/>
      <w:snapToGrid w:val="0"/>
      <w:sz w:val="22"/>
      <w:szCs w:val="22"/>
      <w:lang w:val="en-GB"/>
    </w:rPr>
  </w:style>
  <w:style w:type="character" w:customStyle="1" w:styleId="Style2Car">
    <w:name w:val="Style2 Car"/>
    <w:basedOn w:val="DefaultParagraphFont"/>
    <w:link w:val="Style2"/>
    <w:rsid w:val="000276F8"/>
    <w:rPr>
      <w:rFonts w:ascii="Arial" w:eastAsia="Times New Roman" w:hAnsi="Arial" w:cs="Times New Roman"/>
      <w:iCs/>
      <w:snapToGrid w:val="0"/>
      <w:sz w:val="22"/>
      <w:szCs w:val="22"/>
      <w:shd w:val="clear" w:color="auto" w:fill="FFFFFF"/>
      <w:lang w:val="en-GB"/>
    </w:rPr>
  </w:style>
  <w:style w:type="character" w:styleId="FollowedHyperlink">
    <w:name w:val="FollowedHyperlink"/>
    <w:basedOn w:val="DefaultParagraphFont"/>
    <w:uiPriority w:val="99"/>
    <w:semiHidden/>
    <w:unhideWhenUsed/>
    <w:rsid w:val="00B831D1"/>
    <w:rPr>
      <w:color w:val="954F72" w:themeColor="followedHyperlink"/>
      <w:u w:val="single"/>
    </w:rPr>
  </w:style>
  <w:style w:type="paragraph" w:customStyle="1" w:styleId="Marge">
    <w:name w:val="Marge"/>
    <w:basedOn w:val="Normal"/>
    <w:rsid w:val="00390657"/>
    <w:pPr>
      <w:tabs>
        <w:tab w:val="left" w:pos="567"/>
      </w:tabs>
      <w:snapToGrid w:val="0"/>
      <w:spacing w:after="240"/>
      <w:jc w:val="both"/>
    </w:pPr>
    <w:rPr>
      <w:rFonts w:ascii="Arial" w:eastAsia="Times New Roman" w:hAnsi="Arial" w:cs="Times New Roman"/>
      <w:snapToGrid w:val="0"/>
      <w:sz w:val="22"/>
      <w:lang w:val="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3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880010">
      <w:bodyDiv w:val="1"/>
      <w:marLeft w:val="0"/>
      <w:marRight w:val="0"/>
      <w:marTop w:val="0"/>
      <w:marBottom w:val="0"/>
      <w:divBdr>
        <w:top w:val="none" w:sz="0" w:space="0" w:color="auto"/>
        <w:left w:val="none" w:sz="0" w:space="0" w:color="auto"/>
        <w:bottom w:val="none" w:sz="0" w:space="0" w:color="auto"/>
        <w:right w:val="none" w:sz="0" w:space="0" w:color="auto"/>
      </w:divBdr>
    </w:div>
    <w:div w:id="1134518322">
      <w:bodyDiv w:val="1"/>
      <w:marLeft w:val="0"/>
      <w:marRight w:val="0"/>
      <w:marTop w:val="0"/>
      <w:marBottom w:val="0"/>
      <w:divBdr>
        <w:top w:val="none" w:sz="0" w:space="0" w:color="auto"/>
        <w:left w:val="none" w:sz="0" w:space="0" w:color="auto"/>
        <w:bottom w:val="none" w:sz="0" w:space="0" w:color="auto"/>
        <w:right w:val="none" w:sz="0" w:space="0" w:color="auto"/>
      </w:divBdr>
    </w:div>
    <w:div w:id="1539396978">
      <w:bodyDiv w:val="1"/>
      <w:marLeft w:val="0"/>
      <w:marRight w:val="0"/>
      <w:marTop w:val="0"/>
      <w:marBottom w:val="0"/>
      <w:divBdr>
        <w:top w:val="none" w:sz="0" w:space="0" w:color="auto"/>
        <w:left w:val="none" w:sz="0" w:space="0" w:color="auto"/>
        <w:bottom w:val="none" w:sz="0" w:space="0" w:color="auto"/>
        <w:right w:val="none" w:sz="0" w:space="0" w:color="auto"/>
      </w:divBdr>
    </w:div>
    <w:div w:id="20922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fccc.int/climate-action/marrakech-partnership/reporting-tracking/pathways/oceans-and-coastal-zones-climate-action-pathway" TargetMode="External"/><Relationship Id="rId13" Type="http://schemas.openxmlformats.org/officeDocument/2006/relationships/hyperlink" Target="https://unfccc.int/process-and-meetings/the-kyoto-protocol/what-is-the-kyoto-protocol/" TargetMode="External"/><Relationship Id="rId18" Type="http://schemas.openxmlformats.org/officeDocument/2006/relationships/hyperlink" Target="https://unfccc.int/sites/default/files/resource/Ocean%20Policy%20Brief%20v1.24.03.2021.CB%20%285%29.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ioc.unesco.org" TargetMode="External"/><Relationship Id="rId7" Type="http://schemas.openxmlformats.org/officeDocument/2006/relationships/hyperlink" Target="https://unfccc.int/climate-action/marrakech-partnership-for-global-climate-action" TargetMode="External"/><Relationship Id="rId12" Type="http://schemas.openxmlformats.org/officeDocument/2006/relationships/hyperlink" Target="https://unfccc.int/process/the-convention/what-is-the-united-nations-framework-convention-on-climate-change" TargetMode="External"/><Relationship Id="rId17" Type="http://schemas.openxmlformats.org/officeDocument/2006/relationships/hyperlink" Target="https://bluecarbonpartnership.org/2021/06/02/partners-dialogu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thebluecarboninitiative.org/" TargetMode="External"/><Relationship Id="rId20" Type="http://schemas.openxmlformats.org/officeDocument/2006/relationships/hyperlink" Target="https://www.un.org/regular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fccc.int/process/bodies/supreme-bodies/conference-of-the-parties-serving-as-the-meeting-of-the-parties-to-the-paris-agreement-cm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nfccc.int/event/thirteenth-meeting-of-the-research-dialogu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unfccc.int/process/bodies/supreme-bodies/conference-of-the-parties-serving-as-the-meeting-of-the-parties-to-the-kyoto-protocol-cmp" TargetMode="External"/><Relationship Id="rId19" Type="http://schemas.openxmlformats.org/officeDocument/2006/relationships/hyperlink" Target="https://unesdoc.unesco.org/ark:/48223/pf0000374421.locale=en" TargetMode="External"/><Relationship Id="rId4" Type="http://schemas.openxmlformats.org/officeDocument/2006/relationships/webSettings" Target="webSettings.xml"/><Relationship Id="rId9" Type="http://schemas.openxmlformats.org/officeDocument/2006/relationships/hyperlink" Target="https://unfccc.int/process/bodies/supreme-bodies/conference-of-the-parties-cop" TargetMode="External"/><Relationship Id="rId14" Type="http://schemas.openxmlformats.org/officeDocument/2006/relationships/hyperlink" Target="https://unfccc.int/process-and-meetings/the-paris-agreement/the-paris-agreement"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Isensee, Kirsten</dc:creator>
  <cp:keywords/>
  <dc:description/>
  <cp:lastModifiedBy>Pastor Reyes, Ingrid</cp:lastModifiedBy>
  <cp:revision>3</cp:revision>
  <dcterms:created xsi:type="dcterms:W3CDTF">2021-06-11T09:47:00Z</dcterms:created>
  <dcterms:modified xsi:type="dcterms:W3CDTF">2021-06-11T17:41:00Z</dcterms:modified>
</cp:coreProperties>
</file>