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842FA" w14:paraId="11228E69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278E2B0" w14:textId="77777777" w:rsidR="00467E3F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0E23E4B9" w14:textId="603FCFFF" w:rsidR="008A60C9" w:rsidRDefault="008A60C9" w:rsidP="00294AD5">
            <w:pPr>
              <w:pStyle w:val="Marge"/>
              <w:spacing w:after="120"/>
              <w:rPr>
                <w:rFonts w:cs="Arial"/>
                <w:i/>
                <w:szCs w:val="22"/>
              </w:rPr>
            </w:pPr>
            <w:r>
              <w:rPr>
                <w:lang w:val="ru"/>
              </w:rPr>
              <w:t xml:space="preserve">Комитет МОК по международному обмену океанографическими данными и информацией (МООД-XXV) на своей 25-й сессии (18–22 февраля 2019 года, Токио) постановил провести обзор деятельности Бюро по проектам Международного обмена океанографическими данными и информацией (МООД), напомнив, что срок действия МОВ, подписанного в 2017 году, истекает 1 декабря 2021 года. </w:t>
            </w:r>
          </w:p>
          <w:p w14:paraId="335FAADA" w14:textId="26451CFD" w:rsidR="008A60C9" w:rsidRPr="001B33EB" w:rsidRDefault="00467E3F" w:rsidP="001B33EB">
            <w:pPr>
              <w:pStyle w:val="Marge"/>
              <w:spacing w:after="120"/>
            </w:pPr>
            <w:r>
              <w:rPr>
                <w:szCs w:val="22"/>
                <w:u w:val="single"/>
                <w:lang w:val="ru"/>
              </w:rPr>
              <w:t>Цель документа</w:t>
            </w:r>
            <w:r>
              <w:rPr>
                <w:szCs w:val="22"/>
                <w:lang w:val="ru"/>
              </w:rPr>
              <w:t xml:space="preserve">: </w:t>
            </w:r>
            <w:r>
              <w:rPr>
                <w:lang w:val="ru"/>
              </w:rPr>
              <w:t xml:space="preserve">В настоящем документе подробно изложена методология, использованная авторами обзора, а также результаты и сформулированные рекомендации, в частности, рекомендация о возобновлении МОВ между Морским институтом Фландрии (ВЛИЗ) и МОК. </w:t>
            </w:r>
          </w:p>
          <w:p w14:paraId="7993A226" w14:textId="0633119A" w:rsidR="00467E3F" w:rsidRPr="00467E3F" w:rsidRDefault="00467E3F" w:rsidP="00467E3F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rFonts w:cs="Arial"/>
                <w:szCs w:val="22"/>
                <w:lang w:val="ru"/>
              </w:rPr>
              <w:t xml:space="preserve">: Финансовые и административные последствия отсутствуют. </w:t>
            </w:r>
          </w:p>
          <w:p w14:paraId="7FC3AF21" w14:textId="23594E5E" w:rsidR="00737A18" w:rsidRPr="00467E3F" w:rsidRDefault="00413F17" w:rsidP="001B33EB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szCs w:val="22"/>
                <w:u w:val="single"/>
                <w:lang w:val="ru"/>
              </w:rPr>
              <w:t>Предлагаемое(-ые) решение(-я)</w:t>
            </w:r>
            <w:r>
              <w:rPr>
                <w:szCs w:val="22"/>
                <w:lang w:val="ru"/>
              </w:rPr>
              <w:t xml:space="preserve"> представлено(-ы) в документе о принятых и предлагаемых мерах</w:t>
            </w:r>
            <w:r>
              <w:rPr>
                <w:lang w:val="ru"/>
              </w:rPr>
              <w:t xml:space="preserve"> </w:t>
            </w:r>
            <w:r>
              <w:rPr>
                <w:szCs w:val="22"/>
                <w:lang w:val="ru"/>
              </w:rPr>
              <w:t xml:space="preserve"> (документ </w:t>
            </w:r>
            <w:hyperlink r:id="rId8" w:history="1">
              <w:r>
                <w:rPr>
                  <w:rStyle w:val="Hyperlink"/>
                  <w:lang w:val="ru"/>
                </w:rPr>
                <w:t>IOC-31/AP</w:t>
              </w:r>
            </w:hyperlink>
            <w:r>
              <w:rPr>
                <w:szCs w:val="22"/>
                <w:lang w:val="ru"/>
              </w:rPr>
              <w:t xml:space="preserve"> Rev.) под номером Реш. A-31/3.4.2</w:t>
            </w:r>
            <w:r>
              <w:rPr>
                <w:lang w:val="ru"/>
              </w:rPr>
              <w:t>.</w:t>
            </w:r>
          </w:p>
        </w:tc>
      </w:tr>
    </w:tbl>
    <w:p w14:paraId="75BE0AB6" w14:textId="77777777" w:rsidR="00746B89" w:rsidRPr="006842FA" w:rsidRDefault="00746B89" w:rsidP="005C7A36">
      <w:pPr>
        <w:pStyle w:val="Heading3"/>
        <w:sectPr w:rsidR="00746B89" w:rsidRPr="006842FA" w:rsidSect="003F7186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4ED15CBC" w14:textId="447C546B" w:rsidR="00F66CC5" w:rsidRPr="00B80498" w:rsidRDefault="00AD06D8" w:rsidP="00B80498">
      <w:pPr>
        <w:pStyle w:val="Heading7"/>
        <w:spacing w:after="240" w:line="240" w:lineRule="auto"/>
        <w:rPr>
          <w:b/>
          <w:bCs/>
          <w:u w:val="none"/>
        </w:rPr>
      </w:pPr>
      <w:r>
        <w:rPr>
          <w:b/>
          <w:bCs/>
          <w:u w:val="none"/>
          <w:lang w:val="ru"/>
        </w:rPr>
        <w:lastRenderedPageBreak/>
        <w:t>Введение</w:t>
      </w:r>
    </w:p>
    <w:p w14:paraId="51E3B8AE" w14:textId="6DE20819" w:rsidR="00EE10D0" w:rsidRDefault="00163C49" w:rsidP="00B80498">
      <w:pPr>
        <w:pStyle w:val="COI"/>
        <w:rPr>
          <w:i/>
        </w:rPr>
      </w:pPr>
      <w:r>
        <w:rPr>
          <w:lang w:val="ru"/>
        </w:rPr>
        <w:t>В феврале 2019 года Комитет МОК по международному обмену океанографическими данными и информацией обратился с просьбой провести обзор деятельность расположенного в Остенде (Бельгия) Бюро по проектам МООД в преддверии истечения срока действия Меморандума о взаимопонимании, подписанного между Морским институтом Фландрии (Бельгия) и ЮНЕСКО/МОК. Такой обзор деятельности Бюро по проектам предусмотрен в Статье IV МОВ до истечения срока его действия 1 декабря 2021 года:</w:t>
      </w:r>
      <w:r>
        <w:rPr>
          <w:i/>
          <w:iCs/>
          <w:lang w:val="ru"/>
        </w:rPr>
        <w:t xml:space="preserve"> </w:t>
      </w:r>
    </w:p>
    <w:p w14:paraId="5DC06D43" w14:textId="74EA199E" w:rsidR="00F66CC5" w:rsidRDefault="00EE10D0" w:rsidP="00B80498">
      <w:pPr>
        <w:spacing w:after="240"/>
        <w:ind w:left="720"/>
        <w:rPr>
          <w:b/>
        </w:rPr>
      </w:pPr>
      <w:r>
        <w:rPr>
          <w:i/>
          <w:iCs/>
          <w:lang w:val="ru"/>
        </w:rPr>
        <w:t xml:space="preserve">Обзор деятельности Бюро ЮНЕСКО/МОК по проектам МООД должен быть проведен однократно и до истечения срока действия настоящего Меморандума о взаимопонимании. Оценка представляется на утверждение Комитету по МООД, который осуществляет надзор за деятельностью Бюро по проектам. Комитет по МООД может, если </w:t>
      </w:r>
      <w:proofErr w:type="gramStart"/>
      <w:r>
        <w:rPr>
          <w:i/>
          <w:iCs/>
          <w:lang w:val="ru"/>
        </w:rPr>
        <w:t>сочтет</w:t>
      </w:r>
      <w:proofErr w:type="gramEnd"/>
      <w:r>
        <w:rPr>
          <w:i/>
          <w:iCs/>
          <w:lang w:val="ru"/>
        </w:rPr>
        <w:t xml:space="preserve"> необходимым, рекомендовать возобновить или продлить это соглашение и представит эту рекомендацию следующей сессии Ассамблеи или Исполнительного совета МОК.</w:t>
      </w:r>
      <w:r>
        <w:rPr>
          <w:b/>
          <w:bCs/>
          <w:lang w:val="ru"/>
        </w:rPr>
        <w:t xml:space="preserve"> </w:t>
      </w:r>
    </w:p>
    <w:p w14:paraId="158B1451" w14:textId="29E02408" w:rsidR="00F66CC5" w:rsidRPr="00F66CC5" w:rsidRDefault="00095FC6" w:rsidP="00B80498">
      <w:pPr>
        <w:pStyle w:val="COI"/>
        <w:rPr>
          <w:rFonts w:cs="Arial"/>
        </w:rPr>
      </w:pPr>
      <w:r>
        <w:rPr>
          <w:lang w:val="ru"/>
        </w:rPr>
        <w:t>МОВ, в соответствии с которым было создано Бюро по проектам МООД в Остенде, был впервые подписан в 2005 году и дважды продлевался в 2012 и 2017 годах.</w:t>
      </w:r>
    </w:p>
    <w:p w14:paraId="7DDE3E7B" w14:textId="28B80024" w:rsidR="00F66CC5" w:rsidRPr="00F66CC5" w:rsidRDefault="00F66CC5" w:rsidP="00B80498">
      <w:pPr>
        <w:pStyle w:val="COI"/>
        <w:rPr>
          <w:rFonts w:cs="Arial"/>
        </w:rPr>
      </w:pPr>
      <w:r>
        <w:rPr>
          <w:rFonts w:cs="Arial"/>
          <w:lang w:val="ru"/>
        </w:rPr>
        <w:t>В настоящее время круг ведения Бюро ЮНЕСКО/МОК по проектам МООД включает следующую деятельность:</w:t>
      </w:r>
    </w:p>
    <w:p w14:paraId="520FF6AF" w14:textId="77777777" w:rsidR="00F66CC5" w:rsidRPr="00CF7C4F" w:rsidRDefault="00F66CC5" w:rsidP="00B80498">
      <w:pPr>
        <w:numPr>
          <w:ilvl w:val="0"/>
          <w:numId w:val="29"/>
        </w:numPr>
        <w:tabs>
          <w:tab w:val="clear" w:pos="567"/>
        </w:tabs>
        <w:spacing w:after="240"/>
        <w:ind w:left="1418" w:hanging="709"/>
        <w:jc w:val="both"/>
        <w:rPr>
          <w:rFonts w:cs="Arial"/>
        </w:rPr>
      </w:pPr>
      <w:r>
        <w:rPr>
          <w:rFonts w:cs="Arial"/>
          <w:lang w:val="ru"/>
        </w:rPr>
        <w:t>создание творческой среды, способствующей дальнейшему развитию и поддержанию проектов, услуг и продуктов МООД с акцентом на повышение эффективности и результативности движения данных и продуктов/услуг между этапом отбора проб и пользователем;</w:t>
      </w:r>
    </w:p>
    <w:p w14:paraId="4977771C" w14:textId="77777777" w:rsidR="00F66CC5" w:rsidRPr="00CF7C4F" w:rsidRDefault="00F66CC5" w:rsidP="00B80498">
      <w:pPr>
        <w:numPr>
          <w:ilvl w:val="0"/>
          <w:numId w:val="29"/>
        </w:numPr>
        <w:tabs>
          <w:tab w:val="clear" w:pos="567"/>
        </w:tabs>
        <w:spacing w:after="240"/>
        <w:ind w:left="1418" w:hanging="709"/>
        <w:jc w:val="both"/>
        <w:rPr>
          <w:rFonts w:cs="Arial"/>
        </w:rPr>
      </w:pPr>
      <w:r>
        <w:rPr>
          <w:rFonts w:cs="Arial"/>
          <w:lang w:val="ru"/>
        </w:rPr>
        <w:t>оказание помощи в укреплении потенциала государств-членов в области управления океанографическими данными и информацией (путем организации соответствующей подготовки и мероприятий по наращиванию потенциала) и предоставления необходимых пользователям продуктов и услуг в области океанических данных и информации;</w:t>
      </w:r>
    </w:p>
    <w:p w14:paraId="0721375B" w14:textId="77777777" w:rsidR="00F66CC5" w:rsidRPr="00CF7C4F" w:rsidRDefault="00F66CC5" w:rsidP="00B80498">
      <w:pPr>
        <w:numPr>
          <w:ilvl w:val="0"/>
          <w:numId w:val="29"/>
        </w:numPr>
        <w:tabs>
          <w:tab w:val="clear" w:pos="567"/>
        </w:tabs>
        <w:spacing w:after="240"/>
        <w:ind w:left="1418" w:hanging="709"/>
        <w:jc w:val="both"/>
        <w:rPr>
          <w:rFonts w:cs="Arial"/>
        </w:rPr>
      </w:pPr>
      <w:r>
        <w:rPr>
          <w:rFonts w:cs="Arial"/>
          <w:lang w:val="ru"/>
        </w:rPr>
        <w:t>обеспечение связи и взаимодействие с соответствующими программами ЮНЕСКО/МОК и другими проектами, связанными с проектами, осуществляемыми Бюро ЮНЕСКО/МОК по проектам МООД;</w:t>
      </w:r>
    </w:p>
    <w:p w14:paraId="03231216" w14:textId="757704C5" w:rsidR="00F66CC5" w:rsidRPr="00B80498" w:rsidRDefault="00F66CC5" w:rsidP="00B80498">
      <w:pPr>
        <w:numPr>
          <w:ilvl w:val="0"/>
          <w:numId w:val="29"/>
        </w:numPr>
        <w:tabs>
          <w:tab w:val="clear" w:pos="567"/>
        </w:tabs>
        <w:spacing w:after="240"/>
        <w:ind w:left="1418" w:hanging="709"/>
        <w:jc w:val="both"/>
        <w:rPr>
          <w:rFonts w:cs="Arial"/>
        </w:rPr>
      </w:pPr>
      <w:r>
        <w:rPr>
          <w:rFonts w:cs="Arial"/>
          <w:lang w:val="ru"/>
        </w:rPr>
        <w:t>установление и поддержание связей с другими соответствующими организациями, учреждениями и программами в целях развития сотрудничества с Бюро ЮНЕСКО/МОК по проектам МООД.</w:t>
      </w:r>
    </w:p>
    <w:p w14:paraId="436D9E08" w14:textId="2F6CCCBC" w:rsidR="00EE10D0" w:rsidRPr="004E27E7" w:rsidRDefault="00F66CC5" w:rsidP="00B80498">
      <w:pPr>
        <w:pStyle w:val="Heading7"/>
        <w:spacing w:after="240" w:line="240" w:lineRule="auto"/>
        <w:rPr>
          <w:b/>
          <w:bCs/>
          <w:u w:val="none"/>
        </w:rPr>
      </w:pPr>
      <w:r>
        <w:rPr>
          <w:b/>
          <w:bCs/>
          <w:u w:val="none"/>
          <w:lang w:val="ru"/>
        </w:rPr>
        <w:t>Цель обзора</w:t>
      </w:r>
    </w:p>
    <w:p w14:paraId="789BC672" w14:textId="14D91DD2" w:rsidR="00A16A59" w:rsidRPr="00AF5844" w:rsidRDefault="00F66CC5" w:rsidP="00B80498">
      <w:pPr>
        <w:pStyle w:val="COI"/>
        <w:rPr>
          <w:rFonts w:cs="Arial"/>
        </w:rPr>
      </w:pPr>
      <w:r>
        <w:rPr>
          <w:lang w:val="ru"/>
        </w:rPr>
        <w:t xml:space="preserve">Цель обзора — оценить деятельность Бюро по проектам МООД до рассмотрения вопроса о возобновлении МОВ, в соответствии с которым оно было создано в Остенде. Выполнение этой миссии было поручено г-ну Адаму Лидбеттеру (Морской институт, Ирландия) и г-ну Лоику Пети де ла Вийеону (ИФРЕМЕР, Франция). </w:t>
      </w:r>
    </w:p>
    <w:p w14:paraId="54A882AC" w14:textId="6859CF70" w:rsidR="00AD06D8" w:rsidRPr="004E27E7" w:rsidRDefault="00AD06D8" w:rsidP="00B80498">
      <w:pPr>
        <w:pStyle w:val="COI"/>
        <w:numPr>
          <w:ilvl w:val="0"/>
          <w:numId w:val="0"/>
        </w:numPr>
        <w:rPr>
          <w:b/>
          <w:bCs/>
        </w:rPr>
      </w:pPr>
      <w:r>
        <w:rPr>
          <w:b/>
          <w:bCs/>
          <w:lang w:val="ru"/>
        </w:rPr>
        <w:t>Рекомендации</w:t>
      </w:r>
    </w:p>
    <w:p w14:paraId="7001F625" w14:textId="77777777" w:rsidR="00AD06D8" w:rsidRDefault="00AD06D8" w:rsidP="00B80498">
      <w:pPr>
        <w:pStyle w:val="COI"/>
      </w:pPr>
      <w:r>
        <w:rPr>
          <w:lang w:val="ru"/>
        </w:rPr>
        <w:t>На основании вышеизложенных результатов авторы обзора определили ряд областей, которые Бюро по проектам МООД следует рассмотреть в будущем. Они подробно описаны ниже:</w:t>
      </w:r>
    </w:p>
    <w:p w14:paraId="1E50606A" w14:textId="7D96C3FC" w:rsidR="00AD06D8" w:rsidRDefault="00AD06D8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 xml:space="preserve">Что касается проведения обзора эффективности деятельности Бюро МОК по проектам МООД, то для Бюро по проектам не существует ключевых показателей </w:t>
      </w:r>
      <w:r>
        <w:rPr>
          <w:rFonts w:cs="Arial"/>
          <w:lang w:val="ru"/>
        </w:rPr>
        <w:lastRenderedPageBreak/>
        <w:t>эффективности (КПЭ), которые могли бы стать базой для такого обзора. Авторы обзора рекомендовали Бюро по проекту МООД разработать и согласовать совместно с основными заинтересованными сторонами (ЮНЕСКО/МОК и ВЛИЗ) четкий набор КПЭ.</w:t>
      </w:r>
    </w:p>
    <w:p w14:paraId="78B09F11" w14:textId="44ED0909" w:rsidR="00AD06D8" w:rsidRDefault="00AD06D8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>Аналогичным образом Бюро МОК по проектам МООД рекомендуется усовершенствовать свою ежегодную отчетность как перед ВЛИЗ, так и перед связанным с МООД сообществом в целом. Эти доклады должны включать краткие сведения о достижениях по всем проектам МООД и подчеркивать влияние деятельности Бюро по проектам и общей программы МООД. Такая отчетность должна обеспечить лучшее оповещение всех заинтересованных сторон о результатах программы МООД и играть роль промежуточных обновлений между сессиями МООД и сессиями руководящих органов ЮНЕСКО/МОК.</w:t>
      </w:r>
    </w:p>
    <w:p w14:paraId="06377DD2" w14:textId="28C713B6" w:rsidR="00AD06D8" w:rsidRDefault="00751680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>Авторы обзора рекомендовали изучить и принять методы более эффективной оценки и отчетности о влиянии обучения, проводимого при содействии Глобальной академии «Океан-Инструктор».</w:t>
      </w:r>
    </w:p>
    <w:p w14:paraId="259A078E" w14:textId="15B9CD71" w:rsidR="00AD06D8" w:rsidRDefault="00AD06D8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>Сильный бренд Бюро по проектам МООД должен быть более заметно представлен на различных порталах под управлением Бюро по проектам МООД. Каждый из этих порталов должен преследовать четкую и уникальную цель, которая должна быть подробно описана. Укреплению бренда МООД также может содействовать более подробное описание отношений МООД с Глобальной системой наблюдений за океаном (ГСНО) и Всемирной метеорологической организацией (ВМО) (в том числе) на веб-сайте МООД и, возможно, полное обновление веб-сайта. Это также должно помочь определить, какие проекты наилучшим образом относятся к сфере деятельности МООД, а какие — к сфере деятельности, например, ГСНО или ВМО. Аналогичным образом, Бюро по проектам МООД рекомендуется более активно продвигать свой бренд и свою деятельность, в том числе через проект «Инфохаб-Океан» и деятельность Глобальной академии «Океан-Инструктор», во взаимодействиях в рамках Десятилетия ООН, посвященного науке об океане в интересах устойчивого развития. Авторы обзора отмечают высокий потенциал Бюро по проектам МООД в проведении сквозных мероприятий, таких как проекты по созданию потенциала, обучение, проекты по управлению морской информацией и данными, а также в управлении различными веб-порталами.</w:t>
      </w:r>
    </w:p>
    <w:p w14:paraId="7D13884F" w14:textId="0832608D" w:rsidR="00AD06D8" w:rsidRDefault="00AD06D8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>Авторы обзора отметили, что все опрошенные высоко оценили эффективность работы секретариата Бюро по проектам МООД под твердым руководством г-на Питера Писсерссенса. Эксперты указали на необходимость планирования преемственности для замены г-на Писсерссенса после его выхода на пенсию и рекомендовали, по возможности, организовать некоторое совмещение сроков работы г-на Писсерссенса и его преемника.</w:t>
      </w:r>
    </w:p>
    <w:p w14:paraId="3BBC89F9" w14:textId="2811642E" w:rsidR="00AD06D8" w:rsidRDefault="00AD06D8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 xml:space="preserve">Административные структуры, в рамках которых существует Бюро по проектам МООД, затрудняют участие Бюро в проектах, финансируемых Европейским союзом, включая проекты, финансируемые «Горизонтом», и контракты ЕАСМЕ, такие как различные направления проекта EMODnet. Например, отмечается, что Европейский союз вложил значительные средства путем финансирования программы «Горизонт» в области открытых данных и открытой науки, в которую МООД способен внести свой вклад. Авторы обзора рекомендовали изучить структуры, которые позволят Бюро по проектам более оперативно реагировать на такие проекты, например, в форме дочерней организации или некоммерческой международной ассоциации. Это может также потребовать привлечения </w:t>
      </w:r>
      <w:r>
        <w:rPr>
          <w:rFonts w:cs="Arial"/>
          <w:lang w:val="ru"/>
        </w:rPr>
        <w:lastRenderedPageBreak/>
        <w:t>секторов, которые традиционно не участвуют в деятельности Бюро по проектам МООД, в частности, частного сектора промышленности.</w:t>
      </w:r>
    </w:p>
    <w:p w14:paraId="4B05DF1C" w14:textId="77777777" w:rsidR="00AD06D8" w:rsidRDefault="00AD06D8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>Необходимо также разработать планы устойчивого развития для ключевых и/или наиболее приоритетных проектов МООД, чтобы максимально увеличить потенциальный охват и воздействие проектов. В этих планах обеспечения устойчивости следует рассмотреть вопрос о дальнейшем и более широком использовании смешанных учебных платформ для курсов Глобальной академии «Океан-Инструктор», как это было успешно сделано в 2020 году. Авторам обзора также было предложено рассмотреть вопрос о предоставлении региональным учебным центрам большей автономии в качестве одного из элементов обеспечения устойчивости Глобальной академии «Океан-Инструктор».</w:t>
      </w:r>
    </w:p>
    <w:p w14:paraId="737E9C49" w14:textId="7F072F97" w:rsidR="00AD06D8" w:rsidRPr="00B80498" w:rsidRDefault="00AD06D8" w:rsidP="00B80498">
      <w:pPr>
        <w:numPr>
          <w:ilvl w:val="0"/>
          <w:numId w:val="28"/>
        </w:numPr>
        <w:tabs>
          <w:tab w:val="clear" w:pos="567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 xml:space="preserve">Расширение штата Бюро по проектам МООД, в частности в области информационных технологий, должно способствовать достижению цели привлечения более устойчивого финансирования и повышения способности отвечать на запросы по проектам. В настоящее время штат ИТ-отдела насчитывает всего одного сотрудника, и это накладывает ограничения на техническую поддержку и руководство, которые может обеспечить Бюро по проектам, особенно при рассмотрении таких проектов, как </w:t>
      </w:r>
      <w:hyperlink r:id="rId12" w:history="1">
        <w:r>
          <w:rPr>
            <w:rStyle w:val="Hyperlink"/>
            <w:rFonts w:cs="Arial"/>
            <w:lang w:val="ru"/>
          </w:rPr>
          <w:t>«Инфохаб-Океан»</w:t>
        </w:r>
      </w:hyperlink>
      <w:r>
        <w:rPr>
          <w:rFonts w:cs="Arial"/>
          <w:lang w:val="ru"/>
        </w:rPr>
        <w:t>. Наем и сохранение дополнительного штатного персонала с навыками в области цифровых и информационных технологий также поможет Бюро по проектам МООД поддержать свою актуальность в быстро и постоянно меняющемся ландшафте управления данными и закрепить роль МООД в «FAIR-</w:t>
      </w:r>
      <w:proofErr w:type="spellStart"/>
      <w:r>
        <w:rPr>
          <w:rFonts w:cs="Arial"/>
          <w:lang w:val="ru"/>
        </w:rPr>
        <w:t>фикации</w:t>
      </w:r>
      <w:proofErr w:type="spellEnd"/>
      <w:r>
        <w:rPr>
          <w:rFonts w:cs="Arial"/>
          <w:lang w:val="ru"/>
        </w:rPr>
        <w:t>» океанических данных.</w:t>
      </w:r>
    </w:p>
    <w:p w14:paraId="5B3E880A" w14:textId="1E16B3F8" w:rsidR="00AD06D8" w:rsidRDefault="00AD06D8" w:rsidP="00B80498">
      <w:pPr>
        <w:numPr>
          <w:ilvl w:val="0"/>
          <w:numId w:val="28"/>
        </w:numPr>
        <w:tabs>
          <w:tab w:val="clear" w:pos="567"/>
          <w:tab w:val="left" w:pos="709"/>
        </w:tabs>
        <w:spacing w:after="240"/>
        <w:ind w:left="1260" w:hanging="567"/>
        <w:jc w:val="both"/>
        <w:rPr>
          <w:rFonts w:cs="Arial"/>
        </w:rPr>
      </w:pPr>
      <w:r>
        <w:rPr>
          <w:rFonts w:cs="Arial"/>
          <w:lang w:val="ru"/>
        </w:rPr>
        <w:t>В краткосрочной перспективе проблема кадрового обеспечения может быть дополнительно уменьшена путем поощрения прикомандирования и стажировок в Бюро по проектам МООД представителей более широкого круга государств-членов ЮНЕСКО/МОК, особенно в связи с ролью Бюро по проектам МООД в стратегии ЮНЕСКО/МОК в области развития потенциала.</w:t>
      </w:r>
    </w:p>
    <w:p w14:paraId="7D26C362" w14:textId="008AD21F" w:rsidR="00AD06D8" w:rsidRPr="00B80498" w:rsidRDefault="00AD06D8" w:rsidP="00B80498">
      <w:pPr>
        <w:pStyle w:val="ListParagraph"/>
        <w:numPr>
          <w:ilvl w:val="0"/>
          <w:numId w:val="28"/>
        </w:numPr>
        <w:tabs>
          <w:tab w:val="left" w:pos="709"/>
        </w:tabs>
        <w:spacing w:after="240"/>
        <w:ind w:left="1260" w:hanging="567"/>
        <w:contextualSpacing w:val="0"/>
      </w:pPr>
      <w:r>
        <w:rPr>
          <w:rFonts w:cs="Arial"/>
          <w:lang w:val="ru"/>
        </w:rPr>
        <w:t xml:space="preserve">Авторы обзора рекомендовали возобновить МОВ между МОК и Морским институтом Фландрии (ВЛИЗ). </w:t>
      </w:r>
    </w:p>
    <w:p w14:paraId="6BCDCB2E" w14:textId="4C02626C" w:rsidR="00E74D31" w:rsidRPr="00E74D31" w:rsidRDefault="00E74D31" w:rsidP="00B80498">
      <w:pPr>
        <w:pStyle w:val="COI"/>
      </w:pPr>
      <w:r>
        <w:rPr>
          <w:lang w:val="ru"/>
        </w:rPr>
        <w:t>После рассмотрения полного доклада об обзоре (</w:t>
      </w:r>
      <w:hyperlink r:id="rId13" w:history="1">
        <w:r>
          <w:rPr>
            <w:rStyle w:val="Hyperlink"/>
            <w:rFonts w:cs="Arial"/>
            <w:lang w:val="ru"/>
          </w:rPr>
          <w:t>Документ IOC/IODE-XXVI/6.5</w:t>
        </w:r>
      </w:hyperlink>
      <w:r>
        <w:rPr>
          <w:lang w:val="ru"/>
        </w:rPr>
        <w:t xml:space="preserve">(Обзор эффективности деятельности Бюро МОК по проектам МООД)) Комитет по МООД на своей 26-й сессии (20–23 апреля 2021 г.) принял </w:t>
      </w:r>
      <w:hyperlink r:id="rId14" w:anchor="R65" w:history="1">
        <w:r>
          <w:rPr>
            <w:rStyle w:val="Hyperlink"/>
            <w:rFonts w:cs="Arial"/>
            <w:lang w:val="ru"/>
          </w:rPr>
          <w:t>Рекомендацию IODE-XXVI.6.5: Бюро ЮНЕСКО/МОК по проектам МООД в Остенде (Бельгия)</w:t>
        </w:r>
      </w:hyperlink>
      <w:r>
        <w:rPr>
          <w:lang w:val="ru"/>
        </w:rPr>
        <w:t>.</w:t>
      </w:r>
    </w:p>
    <w:p w14:paraId="263007BD" w14:textId="77777777" w:rsidR="004E27E7" w:rsidRPr="00853565" w:rsidRDefault="004E27E7" w:rsidP="00B80498">
      <w:pPr>
        <w:pStyle w:val="Heading3"/>
      </w:pPr>
      <w:r>
        <w:rPr>
          <w:lang w:val="ru"/>
        </w:rPr>
        <w:t>Финансовые и административные последствия</w:t>
      </w:r>
    </w:p>
    <w:p w14:paraId="467F8C23" w14:textId="34017CB6" w:rsidR="004E27E7" w:rsidRPr="004E27E7" w:rsidRDefault="004E27E7" w:rsidP="00B80498">
      <w:pPr>
        <w:pStyle w:val="COI"/>
      </w:pPr>
      <w:r>
        <w:rPr>
          <w:lang w:val="ru"/>
        </w:rPr>
        <w:t>Финансовые последствия (расходы) для МОК отсутствуют. Административные последствия включают составление и подписание нового Меморандума о взаимопонимании между Морским институтом Фландрии (ВЛИЗ) и МОК.</w:t>
      </w:r>
    </w:p>
    <w:p w14:paraId="407BFF67" w14:textId="711ED287" w:rsidR="00AD06D8" w:rsidRPr="004E27E7" w:rsidRDefault="00AD06D8" w:rsidP="00B80498">
      <w:pPr>
        <w:pStyle w:val="COI"/>
        <w:numPr>
          <w:ilvl w:val="0"/>
          <w:numId w:val="0"/>
        </w:numPr>
        <w:rPr>
          <w:b/>
          <w:bCs/>
        </w:rPr>
      </w:pPr>
      <w:r>
        <w:rPr>
          <w:b/>
          <w:bCs/>
          <w:lang w:val="ru"/>
        </w:rPr>
        <w:t>Предлагаемое решение</w:t>
      </w:r>
    </w:p>
    <w:p w14:paraId="10C1C20E" w14:textId="6F6D8BA8" w:rsidR="00AD06D8" w:rsidRDefault="00AD06D8" w:rsidP="00B80498">
      <w:pPr>
        <w:pStyle w:val="COI"/>
      </w:pPr>
      <w:r>
        <w:rPr>
          <w:lang w:val="ru"/>
        </w:rPr>
        <w:t xml:space="preserve">В свете вышеизложенного Ассамблея МОК, возможно, пожелает рассмотреть решение, представленное документе о принятых и предлагаемых мерах (документ </w:t>
      </w:r>
      <w:hyperlink r:id="rId15" w:history="1">
        <w:r>
          <w:rPr>
            <w:rStyle w:val="Hyperlink"/>
            <w:lang w:val="ru"/>
          </w:rPr>
          <w:t>IOC-31/AP</w:t>
        </w:r>
      </w:hyperlink>
      <w:r>
        <w:rPr>
          <w:lang w:val="ru"/>
        </w:rPr>
        <w:t xml:space="preserve"> Rev.) под номером Реш. A-31/3.4.2.</w:t>
      </w:r>
    </w:p>
    <w:p w14:paraId="7B4BBF5C" w14:textId="77777777" w:rsidR="00AD06D8" w:rsidRDefault="00AD06D8" w:rsidP="00B80498">
      <w:pPr>
        <w:pStyle w:val="COI"/>
        <w:numPr>
          <w:ilvl w:val="0"/>
          <w:numId w:val="0"/>
        </w:numPr>
      </w:pPr>
    </w:p>
    <w:sectPr w:rsidR="00AD06D8" w:rsidSect="003F7186">
      <w:headerReference w:type="even" r:id="rId16"/>
      <w:headerReference w:type="default" r:id="rId17"/>
      <w:headerReference w:type="first" r:id="rId18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9051A" w14:textId="77777777" w:rsidR="00CE043A" w:rsidRDefault="00CE043A">
      <w:r>
        <w:separator/>
      </w:r>
    </w:p>
  </w:endnote>
  <w:endnote w:type="continuationSeparator" w:id="0">
    <w:p w14:paraId="5B3B3BA1" w14:textId="77777777" w:rsidR="00CE043A" w:rsidRDefault="00CE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1997" w14:textId="77777777" w:rsidR="00CE043A" w:rsidRDefault="00CE043A">
      <w:r>
        <w:separator/>
      </w:r>
    </w:p>
  </w:footnote>
  <w:footnote w:type="continuationSeparator" w:id="0">
    <w:p w14:paraId="72FFAA59" w14:textId="77777777" w:rsidR="00CE043A" w:rsidRDefault="00CE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C5CDC" w14:textId="77777777" w:rsidR="00020AA1" w:rsidRPr="00C962F0" w:rsidRDefault="00020AA1">
    <w:pPr>
      <w:pStyle w:val="Header"/>
      <w:rPr>
        <w:szCs w:val="22"/>
      </w:rPr>
    </w:pPr>
    <w:r>
      <w:rPr>
        <w:szCs w:val="22"/>
        <w:lang w:val="ru"/>
      </w:rPr>
      <w:t xml:space="preserve">ICG/CARIBE-EWS II/WD </w:t>
    </w:r>
    <w:r>
      <w:rPr>
        <w:szCs w:val="22"/>
        <w:highlight w:val="cyan"/>
        <w:lang w:val="ru"/>
      </w:rPr>
      <w:t>__</w:t>
    </w:r>
  </w:p>
  <w:p w14:paraId="48634EFF" w14:textId="77777777" w:rsidR="00020AA1" w:rsidRPr="00C962F0" w:rsidRDefault="00020AA1">
    <w:pPr>
      <w:pStyle w:val="Header"/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24D4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IOC-XXIV/2 Annex </w:t>
    </w:r>
    <w:r>
      <w:rPr>
        <w:szCs w:val="22"/>
        <w:highlight w:val="yellow"/>
        <w:lang w:val="ru"/>
      </w:rPr>
      <w:t>__</w:t>
    </w:r>
  </w:p>
  <w:p w14:paraId="4AA6D70B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>Страница 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7D94AEC3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623D0" w14:textId="58939814" w:rsidR="00020AA1" w:rsidRPr="005E544C" w:rsidRDefault="00020AA1" w:rsidP="001B33EB">
    <w:pPr>
      <w:pStyle w:val="Marge"/>
      <w:tabs>
        <w:tab w:val="left" w:pos="5954"/>
      </w:tabs>
      <w:spacing w:after="0"/>
      <w:rPr>
        <w:rFonts w:cs="Arial"/>
        <w:b/>
        <w:szCs w:val="22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IOC/A-31/</w:t>
    </w:r>
    <w:r>
      <w:rPr>
        <w:rFonts w:cs="Arial"/>
        <w:b/>
        <w:bCs/>
        <w:color w:val="000000" w:themeColor="text1"/>
        <w:sz w:val="36"/>
        <w:szCs w:val="36"/>
        <w:lang w:val="ru"/>
      </w:rPr>
      <w:t>3.4.2.</w:t>
    </w:r>
    <w:r>
      <w:rPr>
        <w:rFonts w:cs="Arial"/>
        <w:b/>
        <w:bCs/>
        <w:sz w:val="36"/>
        <w:szCs w:val="36"/>
        <w:lang w:val="ru"/>
      </w:rPr>
      <w:t>Doc(3)</w:t>
    </w:r>
  </w:p>
  <w:p w14:paraId="29D299B7" w14:textId="7FA012E7" w:rsidR="00020AA1" w:rsidRPr="005E544C" w:rsidRDefault="00020AA1" w:rsidP="001B33EB">
    <w:pPr>
      <w:tabs>
        <w:tab w:val="clear" w:pos="567"/>
        <w:tab w:val="left" w:pos="5954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Париж, 26 апреля 2021 года</w:t>
    </w:r>
  </w:p>
  <w:p w14:paraId="0F5FBA0E" w14:textId="77777777" w:rsidR="00020AA1" w:rsidRPr="005E544C" w:rsidRDefault="00020AA1" w:rsidP="001B33EB">
    <w:pPr>
      <w:tabs>
        <w:tab w:val="clear" w:pos="567"/>
        <w:tab w:val="left" w:pos="5954"/>
      </w:tabs>
      <w:jc w:val="both"/>
      <w:rPr>
        <w:rFonts w:cs="Arial"/>
        <w:szCs w:val="22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667163E1" w14:textId="77777777" w:rsidR="00020AA1" w:rsidRPr="005E544C" w:rsidRDefault="00020AA1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20"/>
        <w:tab w:val="left" w:pos="5523"/>
        <w:tab w:val="left" w:pos="576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2711A2CE" w14:textId="37B92545" w:rsidR="00020AA1" w:rsidRDefault="00020AA1" w:rsidP="00DF2FB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</w:p>
  <w:p w14:paraId="54D78E0C" w14:textId="77777777" w:rsidR="00F63C9F" w:rsidRPr="005E544C" w:rsidRDefault="00F63C9F" w:rsidP="00DF2FB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cs="Arial"/>
        <w:b/>
        <w:szCs w:val="22"/>
      </w:rPr>
    </w:pPr>
  </w:p>
  <w:p w14:paraId="6A9F7A2C" w14:textId="77777777" w:rsidR="00020AA1" w:rsidRPr="005742D0" w:rsidRDefault="00D5049E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noProof/>
        <w:snapToGrid/>
        <w:sz w:val="24"/>
        <w:lang w:val="ru"/>
      </w:rPr>
      <w:drawing>
        <wp:anchor distT="0" distB="0" distL="114300" distR="114300" simplePos="0" relativeHeight="251666432" behindDoc="1" locked="0" layoutInCell="1" allowOverlap="1" wp14:anchorId="5A82DC95" wp14:editId="69552847">
          <wp:simplePos x="0" y="0"/>
          <wp:positionH relativeFrom="column">
            <wp:posOffset>-142240</wp:posOffset>
          </wp:positionH>
          <wp:positionV relativeFrom="paragraph">
            <wp:posOffset>1270</wp:posOffset>
          </wp:positionV>
          <wp:extent cx="1714500" cy="881380"/>
          <wp:effectExtent l="0" t="0" r="0" b="0"/>
          <wp:wrapSquare wrapText="bothSides"/>
          <wp:docPr id="9" name="Image 9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4"/>
        <w:lang w:val="ru"/>
      </w:rPr>
      <w:t>МЕЖПРАВИТЕЛЬСТВЕННАЯ ОКЕАНОГРАФИЧЕСКАЯ КОМИССИЯ</w:t>
    </w:r>
  </w:p>
  <w:p w14:paraId="031ED2D0" w14:textId="77777777" w:rsidR="00020AA1" w:rsidRPr="005742D0" w:rsidRDefault="00020AA1" w:rsidP="003F7186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(ЮНЕСКО)</w:t>
    </w:r>
  </w:p>
  <w:p w14:paraId="508A2D75" w14:textId="77777777" w:rsidR="00020AA1" w:rsidRPr="005742D0" w:rsidRDefault="00020AA1" w:rsidP="00E64936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</w:p>
  <w:p w14:paraId="5FFECEAD" w14:textId="77777777" w:rsidR="005742D0" w:rsidRPr="005742D0" w:rsidRDefault="005742D0" w:rsidP="005742D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 w:val="24"/>
      </w:rPr>
    </w:pPr>
    <w:r>
      <w:rPr>
        <w:rFonts w:cs="Arial"/>
        <w:b/>
        <w:bCs/>
        <w:sz w:val="24"/>
        <w:lang w:val="ru"/>
      </w:rPr>
      <w:t>Тридцать первая сессия Ассамблеи</w:t>
    </w:r>
  </w:p>
  <w:p w14:paraId="4D4BA647" w14:textId="0FFB78FA" w:rsidR="00020AA1" w:rsidRPr="005742D0" w:rsidRDefault="005742D0" w:rsidP="005742D0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sz w:val="24"/>
      </w:rPr>
    </w:pPr>
    <w:r>
      <w:rPr>
        <w:rFonts w:cs="Arial"/>
        <w:sz w:val="24"/>
        <w:lang w:val="ru"/>
      </w:rPr>
      <w:t>ЮНЕСКО, 14–25 июня 2021 года (в режиме онлайн)</w:t>
    </w:r>
  </w:p>
  <w:p w14:paraId="6A36CD0E" w14:textId="77777777" w:rsidR="00020AA1" w:rsidRPr="005E544C" w:rsidRDefault="00020AA1" w:rsidP="003F7186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3657511" w14:textId="77777777" w:rsidR="00020AA1" w:rsidRPr="005E544C" w:rsidRDefault="00020AA1" w:rsidP="00DF2FB9">
    <w:pPr>
      <w:jc w:val="center"/>
      <w:rPr>
        <w:rFonts w:cs="Arial"/>
        <w:szCs w:val="22"/>
      </w:rPr>
    </w:pPr>
  </w:p>
  <w:p w14:paraId="7648E4FD" w14:textId="77777777" w:rsidR="00020AA1" w:rsidRDefault="00020AA1" w:rsidP="00DF2FB9">
    <w:pPr>
      <w:jc w:val="center"/>
      <w:rPr>
        <w:rFonts w:cs="Arial"/>
        <w:szCs w:val="22"/>
      </w:rPr>
    </w:pPr>
  </w:p>
  <w:p w14:paraId="6585B99D" w14:textId="77777777" w:rsidR="00020AA1" w:rsidRDefault="00020AA1" w:rsidP="00DF2FB9">
    <w:pPr>
      <w:jc w:val="center"/>
      <w:rPr>
        <w:rFonts w:cs="Arial"/>
        <w:szCs w:val="22"/>
      </w:rPr>
    </w:pPr>
  </w:p>
  <w:p w14:paraId="562EB80A" w14:textId="77777777" w:rsidR="00020AA1" w:rsidRDefault="00020AA1" w:rsidP="00DF2FB9">
    <w:pPr>
      <w:jc w:val="center"/>
      <w:rPr>
        <w:rFonts w:cs="Arial"/>
        <w:szCs w:val="22"/>
      </w:rPr>
    </w:pPr>
  </w:p>
  <w:p w14:paraId="59574913" w14:textId="77777777" w:rsidR="00020AA1" w:rsidRPr="005E544C" w:rsidRDefault="00020AA1" w:rsidP="00DF2FB9">
    <w:pPr>
      <w:jc w:val="center"/>
      <w:rPr>
        <w:rFonts w:cs="Arial"/>
        <w:szCs w:val="22"/>
      </w:rPr>
    </w:pPr>
  </w:p>
  <w:p w14:paraId="049B37E5" w14:textId="77777777" w:rsidR="00020AA1" w:rsidRPr="005E544C" w:rsidRDefault="00020AA1" w:rsidP="00DF2FB9">
    <w:pPr>
      <w:jc w:val="center"/>
      <w:rPr>
        <w:rFonts w:cs="Arial"/>
        <w:szCs w:val="22"/>
      </w:rPr>
    </w:pPr>
  </w:p>
  <w:p w14:paraId="51BC0570" w14:textId="1B5EAE2D" w:rsidR="00020AA1" w:rsidRPr="008D2398" w:rsidRDefault="00020AA1" w:rsidP="00DF2FB9">
    <w:pPr>
      <w:pStyle w:val="Heading7"/>
      <w:tabs>
        <w:tab w:val="right" w:pos="9540"/>
      </w:tabs>
      <w:rPr>
        <w:rFonts w:cs="Arial"/>
        <w:sz w:val="24"/>
        <w:u w:val="none"/>
      </w:rPr>
    </w:pPr>
    <w:r>
      <w:rPr>
        <w:rFonts w:cs="Arial"/>
        <w:sz w:val="24"/>
        <w:lang w:val="ru"/>
      </w:rPr>
      <w:t xml:space="preserve">Пункт </w:t>
    </w:r>
    <w:r>
      <w:rPr>
        <w:rFonts w:cs="Arial"/>
        <w:b/>
        <w:bCs/>
        <w:sz w:val="24"/>
        <w:lang w:val="ru"/>
      </w:rPr>
      <w:t xml:space="preserve">3.4.2 </w:t>
    </w:r>
    <w:r>
      <w:rPr>
        <w:rFonts w:cs="Arial"/>
        <w:sz w:val="24"/>
        <w:lang w:val="ru"/>
      </w:rPr>
      <w:t>предварительной повестки дня</w:t>
    </w:r>
  </w:p>
  <w:p w14:paraId="35296AD6" w14:textId="77777777" w:rsidR="00020AA1" w:rsidRPr="005E544C" w:rsidRDefault="00020AA1" w:rsidP="00DF2FB9">
    <w:pPr>
      <w:rPr>
        <w:rFonts w:cs="Arial"/>
        <w:szCs w:val="22"/>
      </w:rPr>
    </w:pPr>
  </w:p>
  <w:p w14:paraId="10F462B8" w14:textId="77777777" w:rsidR="00020AA1" w:rsidRPr="005E544C" w:rsidRDefault="00020AA1" w:rsidP="00DF2FB9">
    <w:pPr>
      <w:rPr>
        <w:rFonts w:cs="Arial"/>
        <w:szCs w:val="22"/>
      </w:rPr>
    </w:pPr>
  </w:p>
  <w:p w14:paraId="0A7BF18E" w14:textId="28BF752A" w:rsidR="00020AA1" w:rsidRPr="009C15B1" w:rsidRDefault="00F63C9F" w:rsidP="009C15B1">
    <w:pPr>
      <w:pStyle w:val="Docheading"/>
    </w:pPr>
    <w:r>
      <w:rPr>
        <w:lang w:val="ru"/>
      </w:rPr>
      <w:t xml:space="preserve">Предложение о возобновлении МЕМОРАНДУМА О ВЗАИМОПОНИМАНИИ между Морским институтом Фландрии (ВЛИЗ) и МОК в отношении Бюро МОК по проектам МООД </w:t>
    </w:r>
  </w:p>
  <w:p w14:paraId="4FEE9DB7" w14:textId="77777777" w:rsidR="00020AA1" w:rsidRPr="005E544C" w:rsidRDefault="00020AA1" w:rsidP="00DF2FB9">
    <w:pPr>
      <w:pStyle w:val="Header"/>
      <w:rPr>
        <w:rFonts w:cs="Arial"/>
        <w:szCs w:val="22"/>
      </w:rPr>
    </w:pPr>
  </w:p>
  <w:p w14:paraId="10255A1D" w14:textId="77777777" w:rsidR="00020AA1" w:rsidRPr="005E544C" w:rsidRDefault="00020AA1">
    <w:pPr>
      <w:pStyle w:val="Head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EB8F4" w14:textId="34BB8F23" w:rsidR="00EE10D0" w:rsidRPr="00EE10D0" w:rsidRDefault="00EE10D0" w:rsidP="00EE10D0">
    <w:pPr>
      <w:pStyle w:val="Header"/>
      <w:rPr>
        <w:rFonts w:cs="Arial"/>
        <w:color w:val="000000" w:themeColor="text1"/>
        <w:sz w:val="20"/>
        <w:szCs w:val="20"/>
      </w:rPr>
    </w:pPr>
    <w:r>
      <w:rPr>
        <w:rFonts w:cs="Arial"/>
        <w:color w:val="000000" w:themeColor="text1"/>
        <w:sz w:val="20"/>
        <w:szCs w:val="20"/>
        <w:lang w:val="ru"/>
      </w:rPr>
      <w:t>IOC/A-31/3.4.2.Doc(3)</w:t>
    </w:r>
  </w:p>
  <w:p w14:paraId="6062F566" w14:textId="77777777" w:rsidR="00020AA1" w:rsidRPr="006842FA" w:rsidRDefault="00003B31" w:rsidP="00746B89">
    <w:pPr>
      <w:pStyle w:val="Header"/>
      <w:tabs>
        <w:tab w:val="clear" w:pos="8306"/>
      </w:tabs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страница </w:t>
    </w:r>
    <w:r>
      <w:rPr>
        <w:rStyle w:val="PageNumber"/>
        <w:rFonts w:cs="Arial"/>
        <w:sz w:val="20"/>
        <w:szCs w:val="20"/>
        <w:lang w:val="ru"/>
      </w:rPr>
      <w:fldChar w:fldCharType="begin"/>
    </w:r>
    <w:r>
      <w:rPr>
        <w:rStyle w:val="PageNumber"/>
        <w:rFonts w:cs="Arial"/>
        <w:sz w:val="20"/>
        <w:szCs w:val="20"/>
        <w:lang w:val="ru"/>
      </w:rPr>
      <w:instrText xml:space="preserve"> PAGE </w:instrText>
    </w:r>
    <w:r>
      <w:rPr>
        <w:rStyle w:val="PageNumber"/>
        <w:rFonts w:cs="Arial"/>
        <w:sz w:val="20"/>
        <w:szCs w:val="20"/>
        <w:lang w:val="ru"/>
      </w:rPr>
      <w:fldChar w:fldCharType="separate"/>
    </w:r>
    <w:r>
      <w:rPr>
        <w:rStyle w:val="PageNumber"/>
        <w:rFonts w:cs="Arial"/>
        <w:noProof/>
        <w:sz w:val="20"/>
        <w:szCs w:val="20"/>
        <w:lang w:val="ru"/>
      </w:rPr>
      <w:t>2</w:t>
    </w:r>
    <w:r>
      <w:rPr>
        <w:rStyle w:val="PageNumber"/>
        <w:rFonts w:cs="Arial"/>
        <w:sz w:val="20"/>
        <w:szCs w:val="20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A1FEF" w14:textId="1A6F0603" w:rsidR="00EE10D0" w:rsidRPr="00EE10D0" w:rsidRDefault="00EE10D0" w:rsidP="00EE10D0">
    <w:pPr>
      <w:pStyle w:val="Header"/>
      <w:jc w:val="right"/>
      <w:rPr>
        <w:rFonts w:cs="Arial"/>
        <w:color w:val="000000" w:themeColor="text1"/>
        <w:sz w:val="20"/>
        <w:szCs w:val="20"/>
      </w:rPr>
    </w:pPr>
    <w:r>
      <w:rPr>
        <w:rFonts w:cs="Arial"/>
        <w:color w:val="000000" w:themeColor="text1"/>
        <w:sz w:val="20"/>
        <w:szCs w:val="20"/>
        <w:lang w:val="ru"/>
      </w:rPr>
      <w:t>IOC/A-31/3.4.2.Doc(3)</w:t>
    </w:r>
  </w:p>
  <w:p w14:paraId="59307D7E" w14:textId="304661D4" w:rsidR="00020AA1" w:rsidRPr="00FC2521" w:rsidRDefault="00003B31" w:rsidP="005742D0">
    <w:pPr>
      <w:pStyle w:val="Header"/>
      <w:tabs>
        <w:tab w:val="clear" w:pos="8306"/>
      </w:tabs>
      <w:ind w:left="7655"/>
      <w:rPr>
        <w:rFonts w:cs="Arial"/>
        <w:sz w:val="20"/>
        <w:szCs w:val="22"/>
      </w:rPr>
    </w:pPr>
    <w:r>
      <w:rPr>
        <w:rFonts w:cs="Arial"/>
        <w:sz w:val="20"/>
        <w:szCs w:val="22"/>
        <w:lang w:val="ru"/>
      </w:rPr>
      <w:t>страница </w:t>
    </w:r>
    <w:r>
      <w:rPr>
        <w:rStyle w:val="PageNumber"/>
        <w:rFonts w:cs="Arial"/>
        <w:sz w:val="20"/>
        <w:szCs w:val="22"/>
        <w:lang w:val="ru"/>
      </w:rPr>
      <w:fldChar w:fldCharType="begin"/>
    </w:r>
    <w:r>
      <w:rPr>
        <w:rStyle w:val="PageNumber"/>
        <w:rFonts w:cs="Arial"/>
        <w:sz w:val="20"/>
        <w:szCs w:val="22"/>
        <w:lang w:val="ru"/>
      </w:rPr>
      <w:instrText xml:space="preserve"> PAGE </w:instrText>
    </w:r>
    <w:r>
      <w:rPr>
        <w:rStyle w:val="PageNumber"/>
        <w:rFonts w:cs="Arial"/>
        <w:sz w:val="20"/>
        <w:szCs w:val="22"/>
        <w:lang w:val="ru"/>
      </w:rPr>
      <w:fldChar w:fldCharType="separate"/>
    </w:r>
    <w:r>
      <w:rPr>
        <w:rStyle w:val="PageNumber"/>
        <w:rFonts w:cs="Arial"/>
        <w:noProof/>
        <w:sz w:val="20"/>
        <w:szCs w:val="22"/>
        <w:lang w:val="ru"/>
      </w:rPr>
      <w:t>3</w:t>
    </w:r>
    <w:r>
      <w:rPr>
        <w:rStyle w:val="PageNumber"/>
        <w:rFonts w:cs="Arial"/>
        <w:sz w:val="20"/>
        <w:szCs w:val="22"/>
        <w:lang w:val="ru"/>
      </w:rPr>
      <w:fldChar w:fldCharType="end"/>
    </w:r>
  </w:p>
  <w:p w14:paraId="344B420F" w14:textId="77777777" w:rsidR="00020AA1" w:rsidRPr="00FC2521" w:rsidRDefault="00020AA1" w:rsidP="005742D0">
    <w:pPr>
      <w:pStyle w:val="Header"/>
      <w:ind w:left="7655"/>
      <w:rPr>
        <w:rFonts w:cs="Arial"/>
        <w:sz w:val="20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7C42D" w14:textId="1723D976" w:rsidR="00020AA1" w:rsidRPr="00EE10D0" w:rsidRDefault="005742D0" w:rsidP="00294AD5">
    <w:pPr>
      <w:pStyle w:val="Header"/>
      <w:jc w:val="right"/>
      <w:rPr>
        <w:rFonts w:cs="Arial"/>
        <w:color w:val="000000" w:themeColor="text1"/>
        <w:sz w:val="20"/>
        <w:szCs w:val="20"/>
      </w:rPr>
    </w:pPr>
    <w:r>
      <w:rPr>
        <w:rFonts w:cs="Arial"/>
        <w:color w:val="000000" w:themeColor="text1"/>
        <w:sz w:val="20"/>
        <w:szCs w:val="20"/>
        <w:lang w:val="ru"/>
      </w:rPr>
      <w:t>IOC/A-31/3.4.2.Doc(3)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25768A0"/>
    <w:multiLevelType w:val="hybridMultilevel"/>
    <w:tmpl w:val="105887A4"/>
    <w:lvl w:ilvl="0" w:tplc="1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" w15:restartNumberingAfterBreak="0">
    <w:nsid w:val="04FD05F0"/>
    <w:multiLevelType w:val="hybridMultilevel"/>
    <w:tmpl w:val="E012D13C"/>
    <w:lvl w:ilvl="0" w:tplc="1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768573E"/>
    <w:multiLevelType w:val="hybridMultilevel"/>
    <w:tmpl w:val="797C310C"/>
    <w:lvl w:ilvl="0" w:tplc="1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15D6733D"/>
    <w:multiLevelType w:val="hybridMultilevel"/>
    <w:tmpl w:val="542EF3C4"/>
    <w:lvl w:ilvl="0" w:tplc="0F8AA590">
      <w:start w:val="1"/>
      <w:numFmt w:val="lowerRoman"/>
      <w:lvlText w:val="(%1) "/>
      <w:lvlJc w:val="left"/>
      <w:pPr>
        <w:ind w:left="114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16765B6D"/>
    <w:multiLevelType w:val="hybridMultilevel"/>
    <w:tmpl w:val="4D948694"/>
    <w:lvl w:ilvl="0" w:tplc="0809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1BC22AC7"/>
    <w:multiLevelType w:val="hybridMultilevel"/>
    <w:tmpl w:val="9C969134"/>
    <w:lvl w:ilvl="0" w:tplc="0F8AA590">
      <w:start w:val="1"/>
      <w:numFmt w:val="lowerRoman"/>
      <w:lvlText w:val="(%1) "/>
      <w:lvlJc w:val="left"/>
      <w:pPr>
        <w:ind w:left="114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223E4F46"/>
    <w:multiLevelType w:val="hybridMultilevel"/>
    <w:tmpl w:val="CB3C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32415"/>
    <w:multiLevelType w:val="hybridMultilevel"/>
    <w:tmpl w:val="E3968262"/>
    <w:lvl w:ilvl="0" w:tplc="1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23540FA1"/>
    <w:multiLevelType w:val="multilevel"/>
    <w:tmpl w:val="9F4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1148F"/>
    <w:multiLevelType w:val="hybridMultilevel"/>
    <w:tmpl w:val="D4D21D80"/>
    <w:lvl w:ilvl="0" w:tplc="0F8AA590">
      <w:start w:val="1"/>
      <w:numFmt w:val="lowerRoman"/>
      <w:lvlText w:val="(%1) "/>
      <w:lvlJc w:val="left"/>
      <w:pPr>
        <w:ind w:left="114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2F410248"/>
    <w:multiLevelType w:val="hybridMultilevel"/>
    <w:tmpl w:val="79BA755A"/>
    <w:lvl w:ilvl="0" w:tplc="1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5" w15:restartNumberingAfterBreak="0">
    <w:nsid w:val="427B35FC"/>
    <w:multiLevelType w:val="hybridMultilevel"/>
    <w:tmpl w:val="69B24748"/>
    <w:lvl w:ilvl="0" w:tplc="1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 w15:restartNumberingAfterBreak="0">
    <w:nsid w:val="4B204C64"/>
    <w:multiLevelType w:val="hybridMultilevel"/>
    <w:tmpl w:val="C114D6EC"/>
    <w:lvl w:ilvl="0" w:tplc="D72441DE">
      <w:start w:val="1"/>
      <w:numFmt w:val="decimal"/>
      <w:pStyle w:val="COI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15C32"/>
    <w:multiLevelType w:val="multilevel"/>
    <w:tmpl w:val="74AE9284"/>
    <w:lvl w:ilvl="0">
      <w:start w:val="1"/>
      <w:numFmt w:val="lowerRoman"/>
      <w:lvlText w:val="(%1) "/>
      <w:lvlJc w:val="left"/>
      <w:pPr>
        <w:ind w:left="78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4BE56066"/>
    <w:multiLevelType w:val="hybridMultilevel"/>
    <w:tmpl w:val="D946EDCA"/>
    <w:lvl w:ilvl="0" w:tplc="1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9" w15:restartNumberingAfterBreak="0">
    <w:nsid w:val="5ABC28B8"/>
    <w:multiLevelType w:val="hybridMultilevel"/>
    <w:tmpl w:val="9A8A42DC"/>
    <w:lvl w:ilvl="0" w:tplc="1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5BCC7C35"/>
    <w:multiLevelType w:val="hybridMultilevel"/>
    <w:tmpl w:val="BDC6E2B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A17D0A"/>
    <w:multiLevelType w:val="hybridMultilevel"/>
    <w:tmpl w:val="55782CE0"/>
    <w:lvl w:ilvl="0" w:tplc="18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2" w15:restartNumberingAfterBreak="0">
    <w:nsid w:val="63FC15AA"/>
    <w:multiLevelType w:val="hybridMultilevel"/>
    <w:tmpl w:val="B68242B4"/>
    <w:lvl w:ilvl="0" w:tplc="1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3" w15:restartNumberingAfterBreak="0">
    <w:nsid w:val="64880608"/>
    <w:multiLevelType w:val="multilevel"/>
    <w:tmpl w:val="2FD41DC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65AD5998"/>
    <w:multiLevelType w:val="hybridMultilevel"/>
    <w:tmpl w:val="A8207912"/>
    <w:lvl w:ilvl="0" w:tplc="0F8AA590">
      <w:start w:val="1"/>
      <w:numFmt w:val="lowerRoman"/>
      <w:lvlText w:val="(%1) "/>
      <w:lvlJc w:val="left"/>
      <w:pPr>
        <w:ind w:left="1144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5" w15:restartNumberingAfterBreak="0">
    <w:nsid w:val="66EB247F"/>
    <w:multiLevelType w:val="hybridMultilevel"/>
    <w:tmpl w:val="8AC8BE56"/>
    <w:lvl w:ilvl="0" w:tplc="0F8AA590">
      <w:start w:val="1"/>
      <w:numFmt w:val="lowerRoman"/>
      <w:lvlText w:val="(%1) "/>
      <w:lvlJc w:val="left"/>
      <w:pPr>
        <w:ind w:left="1144" w:hanging="360"/>
      </w:pPr>
      <w:rPr>
        <w:rFonts w:hint="default"/>
      </w:rPr>
    </w:lvl>
    <w:lvl w:ilvl="1" w:tplc="18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73F70DA7"/>
    <w:multiLevelType w:val="hybridMultilevel"/>
    <w:tmpl w:val="4406109E"/>
    <w:lvl w:ilvl="0" w:tplc="8B48D160">
      <w:start w:val="1"/>
      <w:numFmt w:val="decimal"/>
      <w:pStyle w:val="paranumbered"/>
      <w:lvlText w:val="%1"/>
      <w:lvlJc w:val="left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12C41A6">
      <w:start w:val="1"/>
      <w:numFmt w:val="lowerRoman"/>
      <w:lvlText w:val="(%3)"/>
      <w:lvlJc w:val="left"/>
      <w:pPr>
        <w:ind w:left="2840" w:hanging="8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94486"/>
    <w:multiLevelType w:val="hybridMultilevel"/>
    <w:tmpl w:val="272AF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4"/>
  </w:num>
  <w:num w:numId="5">
    <w:abstractNumId w:val="5"/>
  </w:num>
  <w:num w:numId="6">
    <w:abstractNumId w:val="16"/>
  </w:num>
  <w:num w:numId="7">
    <w:abstractNumId w:val="16"/>
  </w:num>
  <w:num w:numId="8">
    <w:abstractNumId w:val="26"/>
  </w:num>
  <w:num w:numId="9">
    <w:abstractNumId w:val="23"/>
  </w:num>
  <w:num w:numId="10">
    <w:abstractNumId w:val="10"/>
  </w:num>
  <w:num w:numId="11">
    <w:abstractNumId w:val="19"/>
  </w:num>
  <w:num w:numId="12">
    <w:abstractNumId w:val="20"/>
  </w:num>
  <w:num w:numId="13">
    <w:abstractNumId w:val="18"/>
  </w:num>
  <w:num w:numId="14">
    <w:abstractNumId w:val="22"/>
  </w:num>
  <w:num w:numId="15">
    <w:abstractNumId w:val="3"/>
  </w:num>
  <w:num w:numId="16">
    <w:abstractNumId w:val="1"/>
  </w:num>
  <w:num w:numId="17">
    <w:abstractNumId w:val="27"/>
  </w:num>
  <w:num w:numId="18">
    <w:abstractNumId w:val="9"/>
  </w:num>
  <w:num w:numId="19">
    <w:abstractNumId w:val="13"/>
  </w:num>
  <w:num w:numId="20">
    <w:abstractNumId w:val="2"/>
  </w:num>
  <w:num w:numId="21">
    <w:abstractNumId w:val="15"/>
  </w:num>
  <w:num w:numId="22">
    <w:abstractNumId w:val="21"/>
  </w:num>
  <w:num w:numId="23">
    <w:abstractNumId w:val="7"/>
  </w:num>
  <w:num w:numId="24">
    <w:abstractNumId w:val="6"/>
  </w:num>
  <w:num w:numId="25">
    <w:abstractNumId w:val="12"/>
  </w:num>
  <w:num w:numId="26">
    <w:abstractNumId w:val="24"/>
  </w:num>
  <w:num w:numId="27">
    <w:abstractNumId w:val="8"/>
  </w:num>
  <w:num w:numId="28">
    <w:abstractNumId w:val="25"/>
  </w:num>
  <w:num w:numId="29">
    <w:abstractNumId w:val="17"/>
  </w:num>
  <w:num w:numId="3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94"/>
    <w:rsid w:val="00003B31"/>
    <w:rsid w:val="00010BBB"/>
    <w:rsid w:val="00020AA1"/>
    <w:rsid w:val="00085D6A"/>
    <w:rsid w:val="00095FC6"/>
    <w:rsid w:val="000F0254"/>
    <w:rsid w:val="00123719"/>
    <w:rsid w:val="001241D7"/>
    <w:rsid w:val="00137E97"/>
    <w:rsid w:val="001448C4"/>
    <w:rsid w:val="00155393"/>
    <w:rsid w:val="00163C49"/>
    <w:rsid w:val="00167158"/>
    <w:rsid w:val="00196052"/>
    <w:rsid w:val="001B33EB"/>
    <w:rsid w:val="001B3B24"/>
    <w:rsid w:val="001C6455"/>
    <w:rsid w:val="0021210D"/>
    <w:rsid w:val="00294AD5"/>
    <w:rsid w:val="002C6394"/>
    <w:rsid w:val="002C7DE3"/>
    <w:rsid w:val="002E0859"/>
    <w:rsid w:val="0034156B"/>
    <w:rsid w:val="00355412"/>
    <w:rsid w:val="003561BE"/>
    <w:rsid w:val="003805F5"/>
    <w:rsid w:val="003A7860"/>
    <w:rsid w:val="003D3711"/>
    <w:rsid w:val="003F55CF"/>
    <w:rsid w:val="003F7186"/>
    <w:rsid w:val="004031FB"/>
    <w:rsid w:val="00413F17"/>
    <w:rsid w:val="00424DE6"/>
    <w:rsid w:val="00426B8C"/>
    <w:rsid w:val="004529B8"/>
    <w:rsid w:val="00467E3F"/>
    <w:rsid w:val="004A135F"/>
    <w:rsid w:val="004C1625"/>
    <w:rsid w:val="004E27E7"/>
    <w:rsid w:val="004F7D6C"/>
    <w:rsid w:val="005742D0"/>
    <w:rsid w:val="005C7A36"/>
    <w:rsid w:val="005C7D76"/>
    <w:rsid w:val="005E544C"/>
    <w:rsid w:val="006110DA"/>
    <w:rsid w:val="00616571"/>
    <w:rsid w:val="00633EA5"/>
    <w:rsid w:val="00654C89"/>
    <w:rsid w:val="00682613"/>
    <w:rsid w:val="006842FA"/>
    <w:rsid w:val="0068682C"/>
    <w:rsid w:val="00690A0C"/>
    <w:rsid w:val="00690FD2"/>
    <w:rsid w:val="00693199"/>
    <w:rsid w:val="006A5A61"/>
    <w:rsid w:val="006B4B95"/>
    <w:rsid w:val="006C18D9"/>
    <w:rsid w:val="006C6449"/>
    <w:rsid w:val="00737A18"/>
    <w:rsid w:val="00746B89"/>
    <w:rsid w:val="00751680"/>
    <w:rsid w:val="0079212B"/>
    <w:rsid w:val="008048D2"/>
    <w:rsid w:val="0081004E"/>
    <w:rsid w:val="008338A6"/>
    <w:rsid w:val="00853565"/>
    <w:rsid w:val="008A60C9"/>
    <w:rsid w:val="008A6E5C"/>
    <w:rsid w:val="008B384B"/>
    <w:rsid w:val="008D2398"/>
    <w:rsid w:val="008F6942"/>
    <w:rsid w:val="009026D3"/>
    <w:rsid w:val="00993CA4"/>
    <w:rsid w:val="009B0D7B"/>
    <w:rsid w:val="009B63AB"/>
    <w:rsid w:val="009C0A89"/>
    <w:rsid w:val="009C15B1"/>
    <w:rsid w:val="009E6A03"/>
    <w:rsid w:val="009F3A67"/>
    <w:rsid w:val="009F7769"/>
    <w:rsid w:val="00A11697"/>
    <w:rsid w:val="00A16A59"/>
    <w:rsid w:val="00A25BC8"/>
    <w:rsid w:val="00A75EC4"/>
    <w:rsid w:val="00AD06D8"/>
    <w:rsid w:val="00AD3D55"/>
    <w:rsid w:val="00B722DE"/>
    <w:rsid w:val="00B80498"/>
    <w:rsid w:val="00B83068"/>
    <w:rsid w:val="00BD6603"/>
    <w:rsid w:val="00BF069C"/>
    <w:rsid w:val="00BF3835"/>
    <w:rsid w:val="00BF3BF2"/>
    <w:rsid w:val="00C1002D"/>
    <w:rsid w:val="00C2635E"/>
    <w:rsid w:val="00C3684D"/>
    <w:rsid w:val="00C4032B"/>
    <w:rsid w:val="00C6486C"/>
    <w:rsid w:val="00C648D3"/>
    <w:rsid w:val="00C75B02"/>
    <w:rsid w:val="00C962F0"/>
    <w:rsid w:val="00CE043A"/>
    <w:rsid w:val="00D013ED"/>
    <w:rsid w:val="00D36BDC"/>
    <w:rsid w:val="00D5049E"/>
    <w:rsid w:val="00D55FEC"/>
    <w:rsid w:val="00DD0880"/>
    <w:rsid w:val="00DF2FB9"/>
    <w:rsid w:val="00E63DEF"/>
    <w:rsid w:val="00E64936"/>
    <w:rsid w:val="00E74D31"/>
    <w:rsid w:val="00EE0542"/>
    <w:rsid w:val="00EE10D0"/>
    <w:rsid w:val="00F463F2"/>
    <w:rsid w:val="00F63C9F"/>
    <w:rsid w:val="00F66CC5"/>
    <w:rsid w:val="00F8186D"/>
    <w:rsid w:val="00FA0E50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C6309B5"/>
  <w15:docId w15:val="{3788035D-DE4E-944E-A67A-1C90C57D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rsid w:val="00F66CC5"/>
    <w:pPr>
      <w:numPr>
        <w:numId w:val="2"/>
      </w:numPr>
      <w:tabs>
        <w:tab w:val="clear" w:pos="567"/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F66CC5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2D0"/>
    <w:rPr>
      <w:color w:val="605E5C"/>
      <w:shd w:val="clear" w:color="auto" w:fill="E1DFDD"/>
    </w:rPr>
  </w:style>
  <w:style w:type="paragraph" w:customStyle="1" w:styleId="paranumbered">
    <w:name w:val="paranumbered"/>
    <w:basedOn w:val="Normal"/>
    <w:next w:val="Normal"/>
    <w:qFormat/>
    <w:rsid w:val="00EE10D0"/>
    <w:pPr>
      <w:numPr>
        <w:numId w:val="8"/>
      </w:numPr>
      <w:tabs>
        <w:tab w:val="clear" w:pos="567"/>
      </w:tabs>
      <w:snapToGrid/>
      <w:spacing w:before="120" w:line="276" w:lineRule="auto"/>
      <w:ind w:hanging="567"/>
      <w:jc w:val="both"/>
    </w:pPr>
    <w:rPr>
      <w:rFonts w:eastAsia="Arial" w:cs="Arial"/>
      <w:snapToGrid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6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28075" TargetMode="External"/><Relationship Id="rId13" Type="http://schemas.openxmlformats.org/officeDocument/2006/relationships/hyperlink" Target="https://iode.org/index.php?option=com_oe&amp;task=viewDocumentRecord&amp;docID=27804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eaninfohub.org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28075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ode.org/index.php?option=com_content&amp;view=article&amp;id=651&amp;Itemid=100419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4D9A-09E7-4243-94EC-0B84122A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8685</Characters>
  <Application>Microsoft Office Word</Application>
  <DocSecurity>4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Peter Pissierssens</dc:creator>
  <cp:lastModifiedBy>Pastor Reyes, Ingrid</cp:lastModifiedBy>
  <cp:revision>2</cp:revision>
  <cp:lastPrinted>2002-06-12T09:28:00Z</cp:lastPrinted>
  <dcterms:created xsi:type="dcterms:W3CDTF">2021-06-10T15:53:00Z</dcterms:created>
  <dcterms:modified xsi:type="dcterms:W3CDTF">2021-06-10T15:53:00Z</dcterms:modified>
</cp:coreProperties>
</file>