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6842FA" w14:paraId="25759985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429236" w14:textId="77777777" w:rsidR="00467E3F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Резюме</w:t>
            </w:r>
          </w:p>
          <w:p w14:paraId="28154C14" w14:textId="6E630B7E" w:rsidR="00413F17" w:rsidRDefault="00261E82" w:rsidP="00830D2B">
            <w:pPr>
              <w:pStyle w:val="Marge"/>
              <w:spacing w:after="120"/>
              <w:rPr>
                <w:rFonts w:cs="Arial"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>В своем докладе Рабочая группа МОК по системам предупреждения о цунами и других опасных явлениях, связанных с изменением уровня моря, и смягчения их последствий (</w:t>
            </w:r>
            <w:hyperlink r:id="rId8" w:history="1">
              <w:r>
                <w:rPr>
                  <w:rStyle w:val="Hyperlink"/>
                  <w:rFonts w:cs="Arial"/>
                  <w:lang w:val="ru"/>
                </w:rPr>
                <w:t>IOC/TOWS-WG-XIV/3</w:t>
              </w:r>
            </w:hyperlink>
            <w:r>
              <w:rPr>
                <w:rFonts w:cs="Arial"/>
                <w:szCs w:val="22"/>
                <w:lang w:val="ru"/>
              </w:rPr>
              <w:t>) рекомендует учредить Программу по цунами в рамках Десятилетия науки об океане и Научный комитет, которому поручено подготовить проект десятилетнего плана исследований, разработок и осуществления этой программы с кругом ведения, прилагаемым к предлагаемому проекту решения A-31/3.4.1.</w:t>
            </w:r>
          </w:p>
          <w:p w14:paraId="20CBD314" w14:textId="76A84341" w:rsidR="00980FA0" w:rsidRPr="006D4AFC" w:rsidRDefault="00980FA0">
            <w:pPr>
              <w:pStyle w:val="Marge"/>
              <w:spacing w:after="120"/>
              <w:rPr>
                <w:rFonts w:cs="Arial"/>
                <w:iCs/>
                <w:szCs w:val="22"/>
              </w:rPr>
            </w:pPr>
            <w:r>
              <w:rPr>
                <w:rFonts w:cs="Arial"/>
                <w:szCs w:val="22"/>
                <w:lang w:val="ru"/>
              </w:rPr>
              <w:t xml:space="preserve">В данном документе содержится обоснование предлагаемой Программы по цунами в рамках Десятилетия науки об океане. </w:t>
            </w:r>
          </w:p>
          <w:p w14:paraId="0C987A46" w14:textId="2207789A" w:rsidR="00467E3F" w:rsidRPr="00467E3F" w:rsidRDefault="00C46CEE" w:rsidP="00467E3F">
            <w:pPr>
              <w:pStyle w:val="Marge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Финансовые и административные последствия</w:t>
            </w:r>
            <w:r>
              <w:rPr>
                <w:rFonts w:cs="Arial"/>
                <w:szCs w:val="22"/>
                <w:lang w:val="ru"/>
              </w:rPr>
              <w:t>: см. пункт 11.</w:t>
            </w:r>
          </w:p>
          <w:p w14:paraId="607FE4B3" w14:textId="57E475CC" w:rsidR="00737A18" w:rsidRPr="00467E3F" w:rsidRDefault="00413F17" w:rsidP="00105CDC">
            <w:pPr>
              <w:pStyle w:val="Marge"/>
              <w:spacing w:after="120"/>
              <w:rPr>
                <w:rFonts w:cs="Arial"/>
                <w:szCs w:val="22"/>
              </w:rPr>
            </w:pPr>
            <w:r>
              <w:rPr>
                <w:szCs w:val="22"/>
                <w:u w:val="single"/>
                <w:lang w:val="ru"/>
              </w:rPr>
              <w:t>Предлагаемое решение</w:t>
            </w:r>
            <w:r>
              <w:rPr>
                <w:szCs w:val="22"/>
                <w:lang w:val="ru"/>
              </w:rPr>
              <w:t xml:space="preserve"> представлено</w:t>
            </w:r>
            <w:r>
              <w:rPr>
                <w:lang w:val="ru"/>
              </w:rPr>
              <w:t xml:space="preserve"> в </w:t>
            </w:r>
            <w:bookmarkStart w:id="0" w:name="_Hlk73033113"/>
            <w:r>
              <w:rPr>
                <w:lang w:val="ru"/>
              </w:rPr>
              <w:t>документе о принятых и предлагаемых мерах</w:t>
            </w:r>
            <w:r>
              <w:rPr>
                <w:szCs w:val="22"/>
                <w:lang w:val="ru"/>
              </w:rPr>
              <w:t xml:space="preserve"> (документ </w:t>
            </w:r>
            <w:hyperlink r:id="rId9" w:history="1">
              <w:r>
                <w:rPr>
                  <w:rStyle w:val="Hyperlink"/>
                  <w:rFonts w:cs="Arial"/>
                  <w:szCs w:val="22"/>
                  <w:lang w:val="ru"/>
                </w:rPr>
                <w:t>IOC/A-31/AP Rev 2</w:t>
              </w:r>
            </w:hyperlink>
            <w:r>
              <w:rPr>
                <w:szCs w:val="22"/>
                <w:lang w:val="ru"/>
              </w:rPr>
              <w:t>) под номером Реш. A-31/3.4.1.</w:t>
            </w:r>
            <w:bookmarkEnd w:id="0"/>
          </w:p>
        </w:tc>
      </w:tr>
    </w:tbl>
    <w:p w14:paraId="2B8F4BC6" w14:textId="77777777" w:rsidR="00746B89" w:rsidRPr="006842FA" w:rsidRDefault="00746B89" w:rsidP="005C7A36">
      <w:pPr>
        <w:pStyle w:val="Heading3"/>
        <w:sectPr w:rsidR="00746B89" w:rsidRPr="006842FA" w:rsidSect="003F7186">
          <w:headerReference w:type="even" r:id="rId10"/>
          <w:headerReference w:type="default" r:id="rId11"/>
          <w:headerReference w:type="first" r:id="rId12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0654D045" w14:textId="19B8F771" w:rsidR="006B4B95" w:rsidRDefault="00470FFC" w:rsidP="00CB2097">
      <w:pPr>
        <w:pStyle w:val="Heading3"/>
      </w:pPr>
      <w:r>
        <w:rPr>
          <w:lang w:val="ru"/>
        </w:rPr>
        <w:lastRenderedPageBreak/>
        <w:t>Защита сообществ от самых опасных волн в мире: Рамочная программа действий в рамках Десятилетия ООН, посвященного науке об океане в интересах устойчивого развития</w:t>
      </w:r>
      <w:r>
        <w:rPr>
          <w:rStyle w:val="FootnoteReference"/>
          <w:lang w:val="ru"/>
        </w:rPr>
        <w:footnoteReference w:id="1"/>
      </w:r>
    </w:p>
    <w:p w14:paraId="7EC6A82D" w14:textId="77777777" w:rsidR="00737A18" w:rsidRDefault="009026D3" w:rsidP="009026D3">
      <w:pPr>
        <w:pStyle w:val="Heading3"/>
      </w:pPr>
      <w:r>
        <w:rPr>
          <w:lang w:val="ru"/>
        </w:rPr>
        <w:t>Введение</w:t>
      </w:r>
    </w:p>
    <w:p w14:paraId="62C10B3C" w14:textId="65A27469" w:rsidR="00470FFC" w:rsidRPr="00470FFC" w:rsidRDefault="00470FFC" w:rsidP="00CE7928">
      <w:pPr>
        <w:pStyle w:val="COI"/>
      </w:pPr>
      <w:r>
        <w:rPr>
          <w:lang w:val="ru"/>
        </w:rPr>
        <w:t>Цунами угрожают безопасности, устойчивости и стабильности почти всех прибрежных сообществ на Земле. Около 680 миллионов человек, проживающих в низколежащих прибрежных зонах (&lt;10 м над уровнем моря), в той или иной степени подвержены риску цунами. Ожидается, что к 2050 году это число увеличится до более чем одного миллиарда человек (</w:t>
      </w:r>
      <w:hyperlink r:id="rId13" w:history="1">
        <w:r>
          <w:rPr>
            <w:rStyle w:val="Hyperlink"/>
            <w:lang w:val="ru"/>
          </w:rPr>
          <w:t>специальный доклад МГЭИК «Океаны и криосфера в условиях изменения климата»</w:t>
        </w:r>
      </w:hyperlink>
      <w:r>
        <w:rPr>
          <w:lang w:val="ru"/>
        </w:rPr>
        <w:t>, сентябрь 2019 года).</w:t>
      </w:r>
    </w:p>
    <w:p w14:paraId="768BFBE8" w14:textId="534BDA1D" w:rsidR="00470FFC" w:rsidRPr="00470FFC" w:rsidRDefault="00470FFC" w:rsidP="00CE7928">
      <w:pPr>
        <w:pStyle w:val="COI"/>
      </w:pPr>
      <w:r>
        <w:rPr>
          <w:lang w:val="ru"/>
        </w:rPr>
        <w:t>В период с 1992 по 2019 год в мире было отмечено 295 подтвержденных цунами. Тридцать пять из них привели к гибели людей. Мы не знаем, когда и где произойдет следующее цунами, но мы знаем, что его последствия могут быть разрушительными. Цунами в Индийском океане в декабре 2004 года унесло жизни почти 230 000 человек в 14 странах, а ущерб составил почти 10 миллиардов долларов США. Особенно уязвимы малые островные развивающиеся государства (МОСРГ) и наименее развитые страны (НРС). Например, цунами в Самоа в 2009 году привело к потерям, равным 30% ВНП Самоа. Опасность угрожает и государствам с более крупными экономиками. В Японии в 2011 году цунами в Тохоку привело к гибели более 18 000 человек и нанесло экономический ущерб в размере 220 миллиардов долларов США.</w:t>
      </w:r>
    </w:p>
    <w:p w14:paraId="4175A87D" w14:textId="77777777" w:rsidR="00470FFC" w:rsidRPr="00470FFC" w:rsidRDefault="00470FFC" w:rsidP="00CE7928">
      <w:pPr>
        <w:pStyle w:val="COI"/>
      </w:pPr>
      <w:r>
        <w:rPr>
          <w:lang w:val="ru"/>
        </w:rPr>
        <w:t>Своевременные и надежные предупреждения о цунами спасли и будут спасать бесчисленное количество жизней по всему миру. Точные прогнозы амплитуды цунами и наводнений в сочетании с целенаправленными усилиями по обеспечению готовности населения позволяют сообществам знать, что делать и куда направляться при приближении цунами к побережью. Поскольку большинство известных цунамигенных районов находятся вблизи населенных прибрежных зон, эти прогнозы должны быть подготовлены в течение нескольких минут, если не секунд, после возникновения цунами. В крайних случаях (как, например, в заливе Палу (Индонезия) в 2018 году) времени на оповещение населения может не хватить. В таких ситуациях уязвимые сообщества должны быть обучены и готовы к решительным действиям на основании только естественных предупреждающих знаков.</w:t>
      </w:r>
    </w:p>
    <w:p w14:paraId="4163E2EC" w14:textId="730DD5E2" w:rsidR="00470FFC" w:rsidRPr="00470FFC" w:rsidRDefault="00470FFC" w:rsidP="00CE7928">
      <w:pPr>
        <w:pStyle w:val="COI"/>
      </w:pPr>
      <w:r>
        <w:rPr>
          <w:lang w:val="ru"/>
        </w:rPr>
        <w:t xml:space="preserve">С 2004 года по всему миру достигнуты значительные успехи в создании систем предупреждения о цунами и смягчения их последствий. Под эгидой МОК-ЮНЕСКО были созданы четыре новые региональные системы предупреждения и смягчения последствий в Индийском океане, Карибском бассейне и прилегающих регионах, Южно-Китайском море, Северо-Восточной Атлантике, Средиземном и прилегающих морях, в дополнение к системе-предшественнице в Тихом океане. Тем не менее, критические пробелы в потенциале остаются, а многие проблемы еще не решены. Даже в случае хорошо изученных очагов землетрясений для получения пригодных прогнозов высоты волны цунами нынешней системе требуется минимум 20–30 минут после возникновения очага. Такие прогнозы могут быть успешно использованы в случае цунами, которые достигают береговой линии через несколько часов после возникновения, но они не обеспечивают национальным и местным властям достаточное количество времени для защиты населения вблизи очага цунами, оставляя едва ли достаточно времени для общих, заранее спланированных мер реагирования. В таких близко расположенных к очагу цунами районах оно может обрушиться уже через 5–10 минут после возникновения. В таком контексте любые упорядоченные действия основываются на широких предположениях и высокой степени неопределенности. Кроме того, отсутствие подробных батиметрических данных прибрежной зоны во многих местах по всему миру препятствует составлению точных прогнозов затоплений и наводнений. Что касается цунами </w:t>
      </w:r>
      <w:r>
        <w:rPr>
          <w:lang w:val="ru"/>
        </w:rPr>
        <w:lastRenderedPageBreak/>
        <w:t>малоизученного и/или несейсмического происхождения (например, вызванные оползнями, извержениями вулканов или погодными условиями) или возникающих во внутренних водных путях или крупных озерах, то в настоящее время практически нет возможностей для составления прогнозов в режиме реального времени. И что самое важное с точки зрения безопасности людей, недавнее исследование показало, что более 50% стран, подверженных угрозе цунами, не имеют карт и планов эвакуации при цунами, необходимых для эффективного и быстрого реагирования на предупреждения о цунами.</w:t>
      </w:r>
    </w:p>
    <w:p w14:paraId="545FA55F" w14:textId="77777777" w:rsidR="00470FFC" w:rsidRPr="00AF59F3" w:rsidRDefault="00470FFC" w:rsidP="00AF59F3">
      <w:pPr>
        <w:pStyle w:val="Heading3"/>
      </w:pPr>
      <w:r>
        <w:rPr>
          <w:lang w:val="ru"/>
        </w:rPr>
        <w:t>Запрос предложений</w:t>
      </w:r>
    </w:p>
    <w:p w14:paraId="0E74EE8E" w14:textId="4BD64710" w:rsidR="00470FFC" w:rsidRPr="00AF59F3" w:rsidRDefault="001030EC" w:rsidP="00CE7928">
      <w:pPr>
        <w:pStyle w:val="COI"/>
      </w:pPr>
      <w:r>
        <w:rPr>
          <w:lang w:val="ru"/>
        </w:rPr>
        <w:t>Для решения этих проблем на международном уровне и в целом эксперты-члены РГ-СПЦО как представители систем предупреждения о цунами и смягчения их последствий предлагают разработать Программу по цунами в рамках Десятилетия ООН, посвященного науке об океане в интересах устойчивого развития, которая станет рамочной основой для разработки мероприятий и решения проблем во всех региональных системах. Предполагается достичь прогресса, в частности, в области быстрого обнаружения, оценки и прогнозирования цунами, сертификации готовности сообществ к цунами и соответствующих усилий по развитию потенциала, ориентированных, в частности, на МОСРГ и НРС. Кроме того, цель заключается в определении и продвижении конкретной деятельности, которая согласуется с компонентами систем раннего предупреждения УСРБ ООН, ориентированных на людей, включая:</w:t>
      </w:r>
    </w:p>
    <w:p w14:paraId="36F07DF3" w14:textId="76711FA1" w:rsidR="00470FFC" w:rsidRPr="00CB2097" w:rsidRDefault="00470FFC" w:rsidP="00CE7928">
      <w:pPr>
        <w:pStyle w:val="Listnumbered"/>
        <w:numPr>
          <w:ilvl w:val="0"/>
          <w:numId w:val="8"/>
        </w:numPr>
        <w:rPr>
          <w:u w:val="single"/>
        </w:rPr>
      </w:pPr>
      <w:r>
        <w:rPr>
          <w:u w:val="single"/>
          <w:lang w:val="ru"/>
        </w:rPr>
        <w:t>Знание рисков</w:t>
      </w:r>
    </w:p>
    <w:p w14:paraId="431CAE3E" w14:textId="77777777" w:rsidR="00470FFC" w:rsidRPr="00CE7928" w:rsidRDefault="00470FFC" w:rsidP="00CE7928">
      <w:pPr>
        <w:pStyle w:val="Listnumbered"/>
        <w:numPr>
          <w:ilvl w:val="0"/>
          <w:numId w:val="13"/>
        </w:numPr>
      </w:pPr>
      <w:r>
        <w:rPr>
          <w:lang w:val="ru"/>
        </w:rPr>
        <w:t>Улучшение понимания опасности цунами путем расширения знаний о прошлых или потенциальных очагах цунами;</w:t>
      </w:r>
    </w:p>
    <w:p w14:paraId="3E5547A1" w14:textId="77777777" w:rsidR="00470FFC" w:rsidRPr="00470FFC" w:rsidRDefault="00470FFC" w:rsidP="00CE7928">
      <w:pPr>
        <w:pStyle w:val="Listnumbered"/>
      </w:pPr>
      <w:r>
        <w:rPr>
          <w:lang w:val="ru"/>
        </w:rPr>
        <w:t>Полное понимание последствий для критически важной инфраструктуры и морских объектов и способов их минимизации.</w:t>
      </w:r>
    </w:p>
    <w:p w14:paraId="562EC03A" w14:textId="6CD75620" w:rsidR="00470FFC" w:rsidRPr="00470FFC" w:rsidRDefault="00470FFC" w:rsidP="00CE7928">
      <w:pPr>
        <w:pStyle w:val="Listnumbered"/>
        <w:numPr>
          <w:ilvl w:val="0"/>
          <w:numId w:val="8"/>
        </w:numPr>
      </w:pPr>
      <w:r>
        <w:rPr>
          <w:u w:val="single"/>
          <w:lang w:val="ru"/>
        </w:rPr>
        <w:t>Мониторинг и предупреждение</w:t>
      </w:r>
    </w:p>
    <w:p w14:paraId="5A9154B9" w14:textId="5E0C2A5F" w:rsidR="00470FFC" w:rsidRPr="00CE7928" w:rsidRDefault="00470FFC" w:rsidP="00CE7928">
      <w:pPr>
        <w:pStyle w:val="Listnumbered"/>
        <w:numPr>
          <w:ilvl w:val="0"/>
          <w:numId w:val="14"/>
        </w:numPr>
      </w:pPr>
      <w:r>
        <w:rPr>
          <w:lang w:val="ru"/>
        </w:rPr>
        <w:t>Более быстрое обнаружение и прямая оценка опасности цунами с помощью наблюдений за океаном, включая приборы на подводных кабелях;</w:t>
      </w:r>
    </w:p>
    <w:p w14:paraId="146C2D61" w14:textId="42B60E19" w:rsidR="00470FFC" w:rsidRPr="00470FFC" w:rsidRDefault="00470FFC" w:rsidP="00CE7928">
      <w:pPr>
        <w:pStyle w:val="Listnumbered"/>
      </w:pPr>
      <w:r>
        <w:rPr>
          <w:lang w:val="ru"/>
        </w:rPr>
        <w:t>Обеспечение определения критических параметров возникновения цунами путем оптимального использования и обмена в режиме реального времени новыми и существующими датчиками и данными;</w:t>
      </w:r>
    </w:p>
    <w:p w14:paraId="1515927F" w14:textId="073F5B2C" w:rsidR="00470FFC" w:rsidRPr="00470FFC" w:rsidRDefault="00470FFC" w:rsidP="00CE7928">
      <w:pPr>
        <w:pStyle w:val="Listnumbered"/>
      </w:pPr>
      <w:r>
        <w:rPr>
          <w:lang w:val="ru"/>
        </w:rPr>
        <w:t>Использование инициативы по гидрографической съемке «Морское дно 2030» фонда Nippon Foundation и ГЕБКО для полного обеспечения прибрежных зон батиметрическими/топографическими данными с требуемым разрешением.</w:t>
      </w:r>
    </w:p>
    <w:p w14:paraId="14046B43" w14:textId="77777777" w:rsidR="00470FFC" w:rsidRPr="00470FFC" w:rsidRDefault="00470FFC" w:rsidP="00CE7928">
      <w:pPr>
        <w:pStyle w:val="Listnumbered"/>
        <w:numPr>
          <w:ilvl w:val="0"/>
          <w:numId w:val="8"/>
        </w:numPr>
      </w:pPr>
      <w:r>
        <w:rPr>
          <w:u w:val="single"/>
          <w:lang w:val="ru"/>
        </w:rPr>
        <w:t>Распространение предупреждений и информационное взаимодействие</w:t>
      </w:r>
    </w:p>
    <w:p w14:paraId="0893A79C" w14:textId="59F81E19" w:rsidR="00470FFC" w:rsidRPr="00CE7928" w:rsidRDefault="00470FFC" w:rsidP="00CE7928">
      <w:pPr>
        <w:pStyle w:val="Listnumbered"/>
        <w:numPr>
          <w:ilvl w:val="0"/>
          <w:numId w:val="15"/>
        </w:numPr>
      </w:pPr>
      <w:r>
        <w:rPr>
          <w:lang w:val="ru"/>
        </w:rPr>
        <w:t>Обеспечение полной интеграции служб по цунами в рамках системы раннего предупреждения о многих опасных явлениях;</w:t>
      </w:r>
    </w:p>
    <w:p w14:paraId="2391BCFA" w14:textId="2ADEAE88" w:rsidR="00470FFC" w:rsidRPr="00470FFC" w:rsidRDefault="00470FFC" w:rsidP="00CE7928">
      <w:pPr>
        <w:pStyle w:val="Listnumbered"/>
      </w:pPr>
      <w:r>
        <w:rPr>
          <w:lang w:val="ru"/>
        </w:rPr>
        <w:t>Содействие разработке вариантов распространения предупреждений и информационного взаимодействия, соответствующих географическим, демографическим и инфраструктурным условиям для своевременного распространения предупреждений.</w:t>
      </w:r>
    </w:p>
    <w:p w14:paraId="3AC2B0E2" w14:textId="77777777" w:rsidR="00470FFC" w:rsidRPr="00CB2097" w:rsidRDefault="00470FFC" w:rsidP="00CE7928">
      <w:pPr>
        <w:pStyle w:val="Listnumbered"/>
        <w:numPr>
          <w:ilvl w:val="0"/>
          <w:numId w:val="8"/>
        </w:numPr>
        <w:rPr>
          <w:u w:val="single"/>
        </w:rPr>
      </w:pPr>
      <w:r>
        <w:rPr>
          <w:u w:val="single"/>
          <w:lang w:val="ru"/>
        </w:rPr>
        <w:t>Потенциал реагирования</w:t>
      </w:r>
    </w:p>
    <w:p w14:paraId="5A089176" w14:textId="3E2A343D" w:rsidR="00470FFC" w:rsidRPr="00CE7928" w:rsidRDefault="00470FFC" w:rsidP="00CE7928">
      <w:pPr>
        <w:pStyle w:val="Listnumbered"/>
        <w:numPr>
          <w:ilvl w:val="0"/>
          <w:numId w:val="16"/>
        </w:numPr>
      </w:pPr>
      <w:r>
        <w:rPr>
          <w:lang w:val="ru"/>
        </w:rPr>
        <w:t>Карты эвакуации при цунами должны быть доступны для всех прибрежных населенных пунктов;</w:t>
      </w:r>
    </w:p>
    <w:p w14:paraId="15C14106" w14:textId="1C100688" w:rsidR="00470FFC" w:rsidRPr="00470FFC" w:rsidRDefault="00470FFC" w:rsidP="00CE7928">
      <w:pPr>
        <w:pStyle w:val="Listnumbered"/>
      </w:pPr>
      <w:r>
        <w:rPr>
          <w:lang w:val="ru"/>
        </w:rPr>
        <w:lastRenderedPageBreak/>
        <w:t>Обеспечение того, чтобы 100% сообществ, подверженных риску цунами во всем мире, соответствовали показателям, изложенным в программе МОК-ЮНЕСКО «К цунами готов»;</w:t>
      </w:r>
    </w:p>
    <w:p w14:paraId="31E83EE6" w14:textId="4B490121" w:rsidR="00470FFC" w:rsidRPr="00470FFC" w:rsidRDefault="00470FFC" w:rsidP="00CE7928">
      <w:pPr>
        <w:pStyle w:val="Listnumbered"/>
      </w:pPr>
      <w:r>
        <w:rPr>
          <w:lang w:val="ru"/>
        </w:rPr>
        <w:t>Обеспечение наличия планов по минимизации воздействия на критически важную инфраструктуру и морские объекты в целях быстрого восстановления услуг после цунами.</w:t>
      </w:r>
    </w:p>
    <w:p w14:paraId="671AFEC0" w14:textId="77777777" w:rsidR="00470FFC" w:rsidRPr="00CB2097" w:rsidRDefault="00470FFC" w:rsidP="00CE7928">
      <w:pPr>
        <w:pStyle w:val="Listnumbered"/>
        <w:numPr>
          <w:ilvl w:val="0"/>
          <w:numId w:val="8"/>
        </w:numPr>
        <w:rPr>
          <w:u w:val="single"/>
        </w:rPr>
      </w:pPr>
      <w:r>
        <w:rPr>
          <w:u w:val="single"/>
          <w:lang w:val="ru"/>
        </w:rPr>
        <w:t>Развитие потенциала и внимание к МОСРГ и НРС</w:t>
      </w:r>
    </w:p>
    <w:p w14:paraId="11AC0330" w14:textId="510FADB6" w:rsidR="00470FFC" w:rsidRPr="00CE7928" w:rsidRDefault="00470FFC" w:rsidP="00CE7928">
      <w:pPr>
        <w:pStyle w:val="Listnumbered"/>
        <w:numPr>
          <w:ilvl w:val="0"/>
          <w:numId w:val="17"/>
        </w:numPr>
      </w:pPr>
      <w:r>
        <w:rPr>
          <w:lang w:val="ru"/>
        </w:rPr>
        <w:t>Усиленное развитие потенциала необходимо для понимания опасности цунами в целях улучшения пер по своевременному предупреждению, реагированию и противодействию;</w:t>
      </w:r>
    </w:p>
    <w:p w14:paraId="0F031072" w14:textId="645CF0AD" w:rsidR="00470FFC" w:rsidRPr="00470FFC" w:rsidRDefault="00470FFC" w:rsidP="00CE7928">
      <w:pPr>
        <w:pStyle w:val="Listnumbered"/>
      </w:pPr>
      <w:r>
        <w:rPr>
          <w:lang w:val="ru"/>
        </w:rPr>
        <w:t>Обеспечение полной интеграции МОСРГ и НРС во все этапы развития глобальной Системы предупреждения о цунами и смягчения их последствий.</w:t>
      </w:r>
    </w:p>
    <w:p w14:paraId="601B6FA4" w14:textId="61740EFE" w:rsidR="00470FFC" w:rsidRPr="00470FFC" w:rsidRDefault="00470FFC" w:rsidP="00CE7928">
      <w:pPr>
        <w:pStyle w:val="COI"/>
      </w:pPr>
      <w:r>
        <w:rPr>
          <w:lang w:val="ru"/>
        </w:rPr>
        <w:t>Создание глобальной системы предупреждения о цунами и смягчения их последствий посредством предлагаемой Программы по цунами в рамках Десятилетия науки об океане станет важным преобразующим фактором Десятилетия науки об океане. В частности, она будет способствовать достижению результатов в области безопасного, прогнозируемого и доступного океана в прямой форме посредством приоритетной задачи 6 Десятилетия науки об океане, касающейся служб раннего предупреждения о многих опасных явлениях и устойчивости сообществ, и приоритетной задачи 9 Десятилетия науки об океане, касающейся развития потенциала. Она соответствует всем трем целям Десятилетия, связанным с выявлением, генерированием и использованием знаний в интересах устойчивого развития. Она непосредственно поддерживает Цель 11 устойчивого развития ООН путем применения достижений науки об океане для спасения жизней и сокращения числа пострадавших людей и экономических потерь в прибрежных городах и сообществах.</w:t>
      </w:r>
    </w:p>
    <w:p w14:paraId="0F85A1D8" w14:textId="3C701A0A" w:rsidR="00470FFC" w:rsidRDefault="003A7225" w:rsidP="00CE7928">
      <w:pPr>
        <w:pStyle w:val="COI"/>
      </w:pPr>
      <w:r>
        <w:rPr>
          <w:lang w:val="ru"/>
        </w:rPr>
        <w:t>Конкретные инициативы, которые будут осуществляться в контексте Программы по цунами в рамках Десятилетия науки об океане, будут определены путем Запроса предложений по проведению Десятилетия на уровне программ, проектов, мероприятий или взносов. Заинтересованные в цунами стороны из правительственного, частного, академического и других секторов получили просьбу поделиться своей деятельностью и вкладом, который они могли бы внести в Программу по цунами. Аналогичным образом, Программа по цунами может рассмотреть другие мероприятия в рамках Десятилетия ООН.</w:t>
      </w:r>
    </w:p>
    <w:p w14:paraId="02D4889B" w14:textId="0CA0D5C2" w:rsidR="003A7225" w:rsidRPr="00CB2097" w:rsidRDefault="003A7225" w:rsidP="00CB2097">
      <w:pPr>
        <w:pStyle w:val="Heading3"/>
      </w:pPr>
      <w:r>
        <w:rPr>
          <w:lang w:val="ru"/>
        </w:rPr>
        <w:t>Научное руководство</w:t>
      </w:r>
    </w:p>
    <w:p w14:paraId="24936C6C" w14:textId="33A3BD76" w:rsidR="00470FFC" w:rsidRDefault="00470FFC" w:rsidP="00CE7928">
      <w:pPr>
        <w:pStyle w:val="COI"/>
      </w:pPr>
      <w:r>
        <w:rPr>
          <w:lang w:val="ru"/>
        </w:rPr>
        <w:t>Концепция Программы по цунами в рамках Десятилетия заключается в поощрении мероприятий, которые являются преобразующими, коллективными и объединяющими различных участников, включая провайдеров и пользователей знаний. Для того чтобы обеспечить соответствие мероприятий в рамках Десятилетия, связанных с цунами, этим принципам, будет создан Научный комитет для подготовки проекта 10-летнего плана исследований, разработок и осуществления, который будет одобрен РГ-СПЦО на ее 15-м заседании в 2022 году. Этот десятилетний план исследований, разработок и осуществления будет использоваться различными участниками для руководства разработкой консолидированного и коллективного подхода и для отслеживания вклада сообщества специалистов по цунами в проведение Десятилетия науки об океане.</w:t>
      </w:r>
    </w:p>
    <w:p w14:paraId="3FEF60FA" w14:textId="77777777" w:rsidR="00C82FF7" w:rsidRPr="0096725D" w:rsidRDefault="00BE0B3B" w:rsidP="00CE7928">
      <w:pPr>
        <w:pStyle w:val="COI"/>
      </w:pPr>
      <w:r>
        <w:rPr>
          <w:lang w:val="ru"/>
        </w:rPr>
        <w:t xml:space="preserve">В основе этой концепции лежат два всеобъемлющих аспекта. Первый аспект заключается в полном изучении достижений в области технологий и наблюдений, которые позволят перейти от потенциала, основанного преимущественно на сейсмических предположениях и большой неопределенности, к потенциалу, основанному на динамической оценке в режиме реального времени и низкой неопределенности. Второй аспект заключается </w:t>
      </w:r>
      <w:r>
        <w:rPr>
          <w:lang w:val="ru"/>
        </w:rPr>
        <w:lastRenderedPageBreak/>
        <w:t xml:space="preserve">в том, чтобы совместить эти достижения в области потенциала с усилиями по повышению готовности сообществ, включая стремление к 100% готовности к цунами или сопоставимому официальному признанию для всех береговых линий, подверженных риску. </w:t>
      </w:r>
    </w:p>
    <w:p w14:paraId="7DA6E975" w14:textId="79601436" w:rsidR="00512554" w:rsidRPr="0096725D" w:rsidRDefault="00C82FF7" w:rsidP="00CE7928">
      <w:pPr>
        <w:pStyle w:val="COI"/>
      </w:pPr>
      <w:r>
        <w:rPr>
          <w:lang w:val="ru"/>
        </w:rPr>
        <w:t xml:space="preserve">В сотрудничестве с другими важнейшими заинтересованными сторонами в рамках структуры ООН, а также национальными агентствами гражданской обороны будет создана специальная Коалиция по готовности к цунами, которая будет отчитываться перед РГ-СПЦО по аспектам программы готовности к цунами. Таким образом, сочетая научно-технические достижения с беспрецедентным уровнем понимания и готовности, мы стремимся достичь подлинной долгосрочной </w:t>
      </w:r>
      <w:r>
        <w:rPr>
          <w:b/>
          <w:bCs/>
          <w:lang w:val="ru"/>
        </w:rPr>
        <w:t xml:space="preserve">устойчивости </w:t>
      </w:r>
      <w:r>
        <w:rPr>
          <w:lang w:val="ru"/>
        </w:rPr>
        <w:t>к</w:t>
      </w:r>
      <w:r>
        <w:rPr>
          <w:b/>
          <w:bCs/>
          <w:lang w:val="ru"/>
        </w:rPr>
        <w:t xml:space="preserve"> </w:t>
      </w:r>
      <w:r>
        <w:rPr>
          <w:lang w:val="ru"/>
        </w:rPr>
        <w:t>цунами, при которой сообщества будут иметь доступ к точным прогнозам воздействия цунами в режиме реального времени, позволяющим им минимизировать последствия и сохранить критически важную инфраструктуру и услуги даже в экстремальных условиях.</w:t>
      </w:r>
    </w:p>
    <w:p w14:paraId="47F005DD" w14:textId="77777777" w:rsidR="00AF59F3" w:rsidRPr="00853565" w:rsidRDefault="00AF59F3" w:rsidP="00AF59F3">
      <w:pPr>
        <w:pStyle w:val="Heading3"/>
      </w:pPr>
      <w:r>
        <w:rPr>
          <w:lang w:val="ru"/>
        </w:rPr>
        <w:t>Финансовые и административные последствия</w:t>
      </w:r>
    </w:p>
    <w:p w14:paraId="5E1DCBD2" w14:textId="6E8334E9" w:rsidR="00AF59F3" w:rsidRPr="00853565" w:rsidRDefault="00AF59F3" w:rsidP="00CE7928">
      <w:pPr>
        <w:pStyle w:val="COI"/>
      </w:pPr>
      <w:r>
        <w:rPr>
          <w:lang w:val="ru"/>
        </w:rPr>
        <w:t>Ожидается, что финансовые и административные последствия этого предложения будут находиться в рамках регулярного бюджета МОК, в частности, в отношении руководящих функций РГ-СПЦО, связанных с Программой по цунами в рамках Десятилетия науки об океане. Однако для внесения значительного вклада в достижение ожидаемых результатов Десятилетия ООН, посвященного науке об океане в интересах устойчивого развития, к концу 2030 года потребуются другие существенные механизмы финансирования.</w:t>
      </w:r>
    </w:p>
    <w:p w14:paraId="38211DA4" w14:textId="77777777" w:rsidR="00AF59F3" w:rsidRPr="00853565" w:rsidRDefault="00AF59F3" w:rsidP="00AF59F3">
      <w:pPr>
        <w:pStyle w:val="Heading3"/>
      </w:pPr>
      <w:r>
        <w:rPr>
          <w:lang w:val="ru"/>
        </w:rPr>
        <w:t>Предлагаемое решение</w:t>
      </w:r>
    </w:p>
    <w:p w14:paraId="697AFB0F" w14:textId="7BC137BA" w:rsidR="00AF59F3" w:rsidRPr="00FC2521" w:rsidRDefault="00AF59F3" w:rsidP="00CE7928">
      <w:pPr>
        <w:pStyle w:val="COI"/>
        <w:rPr>
          <w:b/>
        </w:rPr>
      </w:pPr>
      <w:r>
        <w:rPr>
          <w:lang w:val="ru"/>
        </w:rPr>
        <w:t>В свете вышеизложенного Ассамблея МОК, возможно, пожелает рассмотреть решение Реш. А-31/3.4.1, представленное во втором пересмотренном документе о принятых и предлагаемых мерах (</w:t>
      </w:r>
      <w:hyperlink r:id="rId14" w:history="1">
        <w:r>
          <w:rPr>
            <w:rStyle w:val="Hyperlink"/>
            <w:lang w:val="ru"/>
          </w:rPr>
          <w:t>IOC/A-31/AP Rev.2</w:t>
        </w:r>
      </w:hyperlink>
      <w:r>
        <w:rPr>
          <w:lang w:val="ru"/>
        </w:rPr>
        <w:t xml:space="preserve">). </w:t>
      </w:r>
    </w:p>
    <w:sectPr w:rsidR="00AF59F3" w:rsidRPr="00FC2521" w:rsidSect="003F7186">
      <w:headerReference w:type="even" r:id="rId15"/>
      <w:headerReference w:type="default" r:id="rId16"/>
      <w:headerReference w:type="first" r:id="rId17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2693C" w14:textId="77777777" w:rsidR="000F1DFB" w:rsidRDefault="000F1DFB">
      <w:r>
        <w:separator/>
      </w:r>
    </w:p>
  </w:endnote>
  <w:endnote w:type="continuationSeparator" w:id="0">
    <w:p w14:paraId="6CD752C2" w14:textId="77777777" w:rsidR="000F1DFB" w:rsidRDefault="000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88C5A" w14:textId="77777777" w:rsidR="000F1DFB" w:rsidRDefault="000F1DFB">
      <w:r>
        <w:separator/>
      </w:r>
    </w:p>
  </w:footnote>
  <w:footnote w:type="continuationSeparator" w:id="0">
    <w:p w14:paraId="3362E30F" w14:textId="77777777" w:rsidR="000F1DFB" w:rsidRDefault="000F1DFB">
      <w:r>
        <w:continuationSeparator/>
      </w:r>
    </w:p>
  </w:footnote>
  <w:footnote w:id="1">
    <w:p w14:paraId="1354988B" w14:textId="0F14AC4D" w:rsidR="00AF59F3" w:rsidRPr="00AF59F3" w:rsidRDefault="00AF59F3" w:rsidP="00CB2097">
      <w:pPr>
        <w:pStyle w:val="FootnoteText"/>
        <w:tabs>
          <w:tab w:val="clear" w:pos="567"/>
          <w:tab w:val="left" w:pos="0"/>
        </w:tabs>
        <w:ind w:left="0" w:firstLine="0"/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Проект настоящего документа был первоначально разослан всем государствам-членам в Приложении 1 к </w:t>
      </w:r>
      <w:hyperlink r:id="rId1" w:history="1">
        <w:r>
          <w:rPr>
            <w:rStyle w:val="Hyperlink"/>
            <w:lang w:val="ru"/>
          </w:rPr>
          <w:t>Циркулярному письму МОК № 2825</w:t>
        </w:r>
      </w:hyperlink>
      <w:r>
        <w:rPr>
          <w:lang w:val="ru"/>
        </w:rPr>
        <w:t xml:space="preserve"> от 6 января 2021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3DE2A" w14:textId="77777777" w:rsidR="00020AA1" w:rsidRPr="00C962F0" w:rsidRDefault="00020AA1">
    <w:pPr>
      <w:pStyle w:val="Header"/>
      <w:rPr>
        <w:szCs w:val="22"/>
      </w:rPr>
    </w:pPr>
    <w:r>
      <w:rPr>
        <w:szCs w:val="22"/>
        <w:lang w:val="ru"/>
      </w:rPr>
      <w:t xml:space="preserve">ICG/CARIBE-EWS II/WD </w:t>
    </w:r>
    <w:r>
      <w:rPr>
        <w:szCs w:val="22"/>
        <w:highlight w:val="cyan"/>
        <w:lang w:val="ru"/>
      </w:rPr>
      <w:t>__</w:t>
    </w:r>
  </w:p>
  <w:p w14:paraId="1BDEFBA7" w14:textId="77777777" w:rsidR="00020AA1" w:rsidRPr="00C962F0" w:rsidRDefault="00020AA1">
    <w:pPr>
      <w:pStyle w:val="Header"/>
      <w:rPr>
        <w:szCs w:val="22"/>
      </w:rPr>
    </w:pPr>
    <w:r>
      <w:rPr>
        <w:szCs w:val="22"/>
        <w:lang w:val="ru"/>
      </w:rPr>
      <w:t>Страница 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2</w:t>
    </w:r>
    <w:r>
      <w:rPr>
        <w:rStyle w:val="PageNumber"/>
        <w:szCs w:val="22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96186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 xml:space="preserve">IOC-XXIV/2 Annex </w:t>
    </w:r>
    <w:r>
      <w:rPr>
        <w:szCs w:val="22"/>
        <w:highlight w:val="yellow"/>
        <w:lang w:val="ru"/>
      </w:rPr>
      <w:t>__</w:t>
    </w:r>
  </w:p>
  <w:p w14:paraId="493F285F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>Страница 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3</w:t>
    </w:r>
    <w:r>
      <w:rPr>
        <w:rStyle w:val="PageNumber"/>
        <w:szCs w:val="22"/>
        <w:lang w:val="ru"/>
      </w:rPr>
      <w:fldChar w:fldCharType="end"/>
    </w:r>
  </w:p>
  <w:p w14:paraId="16FCA46C" w14:textId="77777777" w:rsidR="00020AA1" w:rsidRPr="00DF2FB9" w:rsidRDefault="00020AA1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603EE" w14:textId="3E83CD10" w:rsidR="00020AA1" w:rsidRDefault="00020AA1" w:rsidP="00CB2097">
    <w:pPr>
      <w:pStyle w:val="Marge"/>
      <w:tabs>
        <w:tab w:val="left" w:pos="6096"/>
      </w:tabs>
      <w:spacing w:after="0"/>
    </w:pPr>
    <w:r>
      <w:rPr>
        <w:rFonts w:cs="Arial"/>
        <w:szCs w:val="22"/>
        <w:lang w:val="ru"/>
      </w:rPr>
      <w:t>Рассылается по списку</w:t>
    </w:r>
    <w:r>
      <w:rPr>
        <w:rFonts w:cs="Arial"/>
        <w:szCs w:val="22"/>
        <w:lang w:val="ru"/>
      </w:rPr>
      <w:tab/>
    </w:r>
    <w:r>
      <w:rPr>
        <w:rFonts w:cs="Arial"/>
        <w:b/>
        <w:bCs/>
        <w:sz w:val="36"/>
        <w:szCs w:val="36"/>
        <w:lang w:val="ru"/>
      </w:rPr>
      <w:t>IOC/A-31/3.4.</w:t>
    </w:r>
    <w:proofErr w:type="gramStart"/>
    <w:r>
      <w:rPr>
        <w:rFonts w:cs="Arial"/>
        <w:b/>
        <w:bCs/>
        <w:sz w:val="36"/>
        <w:szCs w:val="36"/>
        <w:lang w:val="ru"/>
      </w:rPr>
      <w:t>1.Doc</w:t>
    </w:r>
    <w:proofErr w:type="gramEnd"/>
  </w:p>
  <w:p w14:paraId="0971B0CF" w14:textId="615EA744" w:rsidR="00020AA1" w:rsidRPr="005E544C" w:rsidRDefault="00020AA1" w:rsidP="005742D0">
    <w:pPr>
      <w:tabs>
        <w:tab w:val="clear" w:pos="567"/>
        <w:tab w:val="left" w:pos="6096"/>
      </w:tabs>
      <w:jc w:val="both"/>
      <w:rPr>
        <w:rFonts w:cs="Arial"/>
        <w:szCs w:val="22"/>
      </w:rPr>
    </w:pPr>
    <w:r>
      <w:rPr>
        <w:rFonts w:cs="Arial"/>
        <w:szCs w:val="22"/>
        <w:lang w:val="ru"/>
      </w:rPr>
      <w:tab/>
      <w:t>Париж, 28 мая 2021 года</w:t>
    </w:r>
  </w:p>
  <w:p w14:paraId="6998A5AD" w14:textId="77777777" w:rsidR="00020AA1" w:rsidRPr="005E544C" w:rsidRDefault="00020AA1" w:rsidP="005742D0">
    <w:pPr>
      <w:tabs>
        <w:tab w:val="clear" w:pos="567"/>
        <w:tab w:val="left" w:pos="6096"/>
      </w:tabs>
      <w:jc w:val="both"/>
      <w:rPr>
        <w:rFonts w:cs="Arial"/>
        <w:szCs w:val="22"/>
      </w:rPr>
    </w:pPr>
    <w:r>
      <w:rPr>
        <w:rFonts w:cs="Arial"/>
        <w:szCs w:val="22"/>
        <w:lang w:val="ru"/>
      </w:rPr>
      <w:tab/>
      <w:t>Язык оригинала: английский</w:t>
    </w:r>
  </w:p>
  <w:p w14:paraId="2018CBB2" w14:textId="77777777" w:rsidR="00020AA1" w:rsidRPr="005E544C" w:rsidRDefault="00020AA1" w:rsidP="00E6493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20"/>
        <w:tab w:val="left" w:pos="5523"/>
        <w:tab w:val="left" w:pos="576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724B2A14" w14:textId="77777777" w:rsidR="00020AA1" w:rsidRPr="005E544C" w:rsidRDefault="00020AA1" w:rsidP="00DF2FB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cs="Arial"/>
        <w:b/>
        <w:szCs w:val="22"/>
      </w:rPr>
    </w:pPr>
  </w:p>
  <w:p w14:paraId="489A26DE" w14:textId="77777777" w:rsidR="00020AA1" w:rsidRPr="005742D0" w:rsidRDefault="00D5049E" w:rsidP="003F7186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rFonts w:cs="Arial"/>
        <w:noProof/>
        <w:snapToGrid/>
        <w:sz w:val="24"/>
        <w:lang w:val="ru"/>
      </w:rPr>
      <w:drawing>
        <wp:anchor distT="0" distB="0" distL="114300" distR="114300" simplePos="0" relativeHeight="251666432" behindDoc="1" locked="0" layoutInCell="1" allowOverlap="1" wp14:anchorId="565920D0" wp14:editId="344CAB79">
          <wp:simplePos x="0" y="0"/>
          <wp:positionH relativeFrom="column">
            <wp:posOffset>-142240</wp:posOffset>
          </wp:positionH>
          <wp:positionV relativeFrom="paragraph">
            <wp:posOffset>1270</wp:posOffset>
          </wp:positionV>
          <wp:extent cx="1714500" cy="881380"/>
          <wp:effectExtent l="0" t="0" r="0" b="0"/>
          <wp:wrapSquare wrapText="bothSides"/>
          <wp:docPr id="9" name="Image 9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4"/>
        <w:lang w:val="ru"/>
      </w:rPr>
      <w:t>МЕЖПРАВИТЕЛЬСТВЕННАЯ ОКЕАНОГРАФИЧЕСКАЯ КОМИССИЯ</w:t>
    </w:r>
  </w:p>
  <w:p w14:paraId="5CD1F82D" w14:textId="77777777" w:rsidR="00020AA1" w:rsidRPr="005742D0" w:rsidRDefault="00020AA1" w:rsidP="003F7186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sz w:val="24"/>
      </w:rPr>
    </w:pPr>
    <w:r>
      <w:rPr>
        <w:rFonts w:cs="Arial"/>
        <w:sz w:val="24"/>
        <w:lang w:val="ru"/>
      </w:rPr>
      <w:t>(ЮНЕСКО)</w:t>
    </w:r>
  </w:p>
  <w:p w14:paraId="7E2AB4E7" w14:textId="77777777" w:rsidR="00020AA1" w:rsidRPr="005742D0" w:rsidRDefault="00020AA1" w:rsidP="00E6493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</w:p>
  <w:p w14:paraId="476B0AF6" w14:textId="77777777" w:rsidR="005742D0" w:rsidRPr="005742D0" w:rsidRDefault="005742D0" w:rsidP="005742D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rFonts w:cs="Arial"/>
        <w:b/>
        <w:bCs/>
        <w:sz w:val="24"/>
        <w:lang w:val="ru"/>
      </w:rPr>
      <w:t>Тридцать первая сессия Ассамблеи</w:t>
    </w:r>
  </w:p>
  <w:p w14:paraId="709061BF" w14:textId="13F7C249" w:rsidR="00020AA1" w:rsidRPr="005742D0" w:rsidRDefault="005742D0" w:rsidP="005742D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sz w:val="24"/>
      </w:rPr>
    </w:pPr>
    <w:r>
      <w:rPr>
        <w:rFonts w:cs="Arial"/>
        <w:sz w:val="24"/>
        <w:lang w:val="ru"/>
      </w:rPr>
      <w:t>ЮНЕСКО, 14–25 июня 2021 года (в режиме онлайн)</w:t>
    </w:r>
  </w:p>
  <w:p w14:paraId="6E02C92E" w14:textId="77777777" w:rsidR="00020AA1" w:rsidRPr="005E544C" w:rsidRDefault="00020AA1" w:rsidP="003F7186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</w:rPr>
    </w:pPr>
  </w:p>
  <w:p w14:paraId="7BECE005" w14:textId="77777777" w:rsidR="00020AA1" w:rsidRPr="005E544C" w:rsidRDefault="00020AA1" w:rsidP="00DF2FB9">
    <w:pPr>
      <w:jc w:val="center"/>
      <w:rPr>
        <w:rFonts w:cs="Arial"/>
        <w:szCs w:val="22"/>
      </w:rPr>
    </w:pPr>
  </w:p>
  <w:p w14:paraId="495B18D3" w14:textId="77777777" w:rsidR="00020AA1" w:rsidRDefault="00020AA1" w:rsidP="00DF2FB9">
    <w:pPr>
      <w:jc w:val="center"/>
      <w:rPr>
        <w:rFonts w:cs="Arial"/>
        <w:szCs w:val="22"/>
      </w:rPr>
    </w:pPr>
  </w:p>
  <w:p w14:paraId="46D43DFA" w14:textId="77777777" w:rsidR="00020AA1" w:rsidRDefault="00020AA1" w:rsidP="00DF2FB9">
    <w:pPr>
      <w:jc w:val="center"/>
      <w:rPr>
        <w:rFonts w:cs="Arial"/>
        <w:szCs w:val="22"/>
      </w:rPr>
    </w:pPr>
  </w:p>
  <w:p w14:paraId="575A8C2A" w14:textId="77777777" w:rsidR="00020AA1" w:rsidRDefault="00020AA1" w:rsidP="00DF2FB9">
    <w:pPr>
      <w:jc w:val="center"/>
      <w:rPr>
        <w:rFonts w:cs="Arial"/>
        <w:szCs w:val="22"/>
      </w:rPr>
    </w:pPr>
  </w:p>
  <w:p w14:paraId="47C01A1F" w14:textId="77777777" w:rsidR="00020AA1" w:rsidRPr="005E544C" w:rsidRDefault="00020AA1" w:rsidP="00DF2FB9">
    <w:pPr>
      <w:jc w:val="center"/>
      <w:rPr>
        <w:rFonts w:cs="Arial"/>
        <w:szCs w:val="22"/>
      </w:rPr>
    </w:pPr>
  </w:p>
  <w:p w14:paraId="2FB7028F" w14:textId="77777777" w:rsidR="00020AA1" w:rsidRPr="005E544C" w:rsidRDefault="00020AA1" w:rsidP="00DF2FB9">
    <w:pPr>
      <w:jc w:val="center"/>
      <w:rPr>
        <w:rFonts w:cs="Arial"/>
        <w:szCs w:val="22"/>
      </w:rPr>
    </w:pPr>
  </w:p>
  <w:p w14:paraId="1AEA05FD" w14:textId="0743CE59" w:rsidR="00020AA1" w:rsidRPr="008D2398" w:rsidRDefault="00020AA1" w:rsidP="00DF2FB9">
    <w:pPr>
      <w:pStyle w:val="Heading7"/>
      <w:tabs>
        <w:tab w:val="right" w:pos="9540"/>
      </w:tabs>
      <w:rPr>
        <w:rFonts w:cs="Arial"/>
        <w:sz w:val="24"/>
        <w:u w:val="none"/>
      </w:rPr>
    </w:pPr>
    <w:r>
      <w:rPr>
        <w:rFonts w:cs="Arial"/>
        <w:sz w:val="24"/>
        <w:lang w:val="ru"/>
      </w:rPr>
      <w:t xml:space="preserve">Пункт </w:t>
    </w:r>
    <w:r>
      <w:rPr>
        <w:rFonts w:cs="Arial"/>
        <w:b/>
        <w:bCs/>
        <w:sz w:val="24"/>
        <w:lang w:val="ru"/>
      </w:rPr>
      <w:t xml:space="preserve">3.4.1 </w:t>
    </w:r>
    <w:r>
      <w:rPr>
        <w:rFonts w:cs="Arial"/>
        <w:sz w:val="24"/>
        <w:lang w:val="ru"/>
      </w:rPr>
      <w:t>предварительной повестки дня</w:t>
    </w:r>
  </w:p>
  <w:p w14:paraId="1EF46CD1" w14:textId="77777777" w:rsidR="00020AA1" w:rsidRPr="005E544C" w:rsidRDefault="00020AA1" w:rsidP="00DF2FB9">
    <w:pPr>
      <w:rPr>
        <w:rFonts w:cs="Arial"/>
        <w:szCs w:val="22"/>
      </w:rPr>
    </w:pPr>
  </w:p>
  <w:p w14:paraId="21FF405B" w14:textId="639F9370" w:rsidR="00020AA1" w:rsidRPr="005E544C" w:rsidRDefault="00E0212C" w:rsidP="00CB2097">
    <w:pPr>
      <w:tabs>
        <w:tab w:val="clear" w:pos="567"/>
        <w:tab w:val="left" w:pos="4187"/>
      </w:tabs>
      <w:rPr>
        <w:rFonts w:cs="Arial"/>
        <w:szCs w:val="22"/>
      </w:rPr>
    </w:pPr>
    <w:r>
      <w:rPr>
        <w:lang w:val="ru"/>
      </w:rPr>
      <w:tab/>
    </w:r>
  </w:p>
  <w:p w14:paraId="58549FE6" w14:textId="2F76331D" w:rsidR="00020AA1" w:rsidRPr="009C15B1" w:rsidRDefault="004F502C" w:rsidP="009C15B1">
    <w:pPr>
      <w:pStyle w:val="Docheading"/>
    </w:pPr>
    <w:r>
      <w:rPr>
        <w:lang w:val="ru"/>
      </w:rPr>
      <w:t>Системы предупреждения и смягчения последствий опасных океанических явлений: НА ПУТИ К ПРОГРАММЕ ПО ЦУНАМИ В РАМКАХ ДЕСЯТИЛЕТИЯ НАУКИ ОБ ОКЕАНЕ</w:t>
    </w:r>
  </w:p>
  <w:p w14:paraId="41872747" w14:textId="77777777" w:rsidR="00020AA1" w:rsidRPr="005E544C" w:rsidRDefault="00020AA1" w:rsidP="00DF2FB9">
    <w:pPr>
      <w:pStyle w:val="Header"/>
      <w:rPr>
        <w:rFonts w:cs="Arial"/>
        <w:szCs w:val="22"/>
      </w:rPr>
    </w:pPr>
  </w:p>
  <w:p w14:paraId="78FA97C5" w14:textId="77777777" w:rsidR="00020AA1" w:rsidRPr="005E544C" w:rsidRDefault="00020AA1">
    <w:pPr>
      <w:pStyle w:val="Header"/>
      <w:rPr>
        <w:rFonts w:cs="Arial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D7CBE" w14:textId="21F04798" w:rsidR="00020AA1" w:rsidRPr="006842FA" w:rsidRDefault="0096725D" w:rsidP="00294AD5">
    <w:pPr>
      <w:pStyle w:val="Header"/>
      <w:tabs>
        <w:tab w:val="clear" w:pos="8306"/>
      </w:tabs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IOC/A-31/3.4.</w:t>
    </w:r>
    <w:proofErr w:type="gramStart"/>
    <w:r>
      <w:rPr>
        <w:rFonts w:cs="Arial"/>
        <w:sz w:val="20"/>
        <w:szCs w:val="20"/>
        <w:lang w:val="ru"/>
      </w:rPr>
      <w:t>1.Doc</w:t>
    </w:r>
    <w:proofErr w:type="gramEnd"/>
  </w:p>
  <w:p w14:paraId="36477903" w14:textId="77777777" w:rsidR="00020AA1" w:rsidRPr="006842FA" w:rsidRDefault="00003B31" w:rsidP="00746B89">
    <w:pPr>
      <w:pStyle w:val="Header"/>
      <w:tabs>
        <w:tab w:val="clear" w:pos="8306"/>
      </w:tabs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страница </w:t>
    </w:r>
    <w:r>
      <w:rPr>
        <w:rStyle w:val="PageNumber"/>
        <w:rFonts w:cs="Arial"/>
        <w:sz w:val="20"/>
        <w:szCs w:val="20"/>
        <w:lang w:val="ru"/>
      </w:rPr>
      <w:fldChar w:fldCharType="begin"/>
    </w:r>
    <w:r>
      <w:rPr>
        <w:rStyle w:val="PageNumber"/>
        <w:rFonts w:cs="Arial"/>
        <w:sz w:val="20"/>
        <w:szCs w:val="20"/>
        <w:lang w:val="ru"/>
      </w:rPr>
      <w:instrText xml:space="preserve"> PAGE </w:instrText>
    </w:r>
    <w:r>
      <w:rPr>
        <w:rStyle w:val="PageNumber"/>
        <w:rFonts w:cs="Arial"/>
        <w:sz w:val="20"/>
        <w:szCs w:val="20"/>
        <w:lang w:val="ru"/>
      </w:rPr>
      <w:fldChar w:fldCharType="separate"/>
    </w:r>
    <w:r>
      <w:rPr>
        <w:rStyle w:val="PageNumber"/>
        <w:rFonts w:cs="Arial"/>
        <w:noProof/>
        <w:sz w:val="20"/>
        <w:szCs w:val="20"/>
        <w:lang w:val="ru"/>
      </w:rPr>
      <w:t>2</w:t>
    </w:r>
    <w:r>
      <w:rPr>
        <w:rStyle w:val="PageNumber"/>
        <w:rFonts w:cs="Arial"/>
        <w:sz w:val="20"/>
        <w:szCs w:val="20"/>
        <w:lang w:val="ru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88D3D" w14:textId="42D41A50" w:rsidR="00020AA1" w:rsidRPr="00003B31" w:rsidRDefault="0096725D" w:rsidP="005742D0">
    <w:pPr>
      <w:pStyle w:val="Header"/>
      <w:tabs>
        <w:tab w:val="clear" w:pos="8306"/>
      </w:tabs>
      <w:ind w:left="7655"/>
      <w:rPr>
        <w:rFonts w:cs="Arial"/>
        <w:szCs w:val="22"/>
      </w:rPr>
    </w:pPr>
    <w:r>
      <w:rPr>
        <w:rFonts w:cs="Arial"/>
        <w:sz w:val="20"/>
        <w:szCs w:val="20"/>
        <w:lang w:val="ru"/>
      </w:rPr>
      <w:t>IOC/A-31/3.4.</w:t>
    </w:r>
    <w:proofErr w:type="gramStart"/>
    <w:r>
      <w:rPr>
        <w:rFonts w:cs="Arial"/>
        <w:sz w:val="20"/>
        <w:szCs w:val="20"/>
        <w:lang w:val="ru"/>
      </w:rPr>
      <w:t>1.Doc</w:t>
    </w:r>
    <w:proofErr w:type="gramEnd"/>
  </w:p>
  <w:p w14:paraId="32DF14D5" w14:textId="77777777" w:rsidR="00020AA1" w:rsidRPr="00FC2521" w:rsidRDefault="00003B31" w:rsidP="005742D0">
    <w:pPr>
      <w:pStyle w:val="Header"/>
      <w:tabs>
        <w:tab w:val="clear" w:pos="8306"/>
      </w:tabs>
      <w:ind w:left="7655"/>
      <w:rPr>
        <w:rFonts w:cs="Arial"/>
        <w:sz w:val="20"/>
        <w:szCs w:val="22"/>
      </w:rPr>
    </w:pPr>
    <w:r>
      <w:rPr>
        <w:rFonts w:cs="Arial"/>
        <w:sz w:val="20"/>
        <w:szCs w:val="22"/>
        <w:lang w:val="ru"/>
      </w:rPr>
      <w:t>страница </w:t>
    </w:r>
    <w:r>
      <w:rPr>
        <w:rStyle w:val="PageNumber"/>
        <w:rFonts w:cs="Arial"/>
        <w:sz w:val="20"/>
        <w:szCs w:val="22"/>
        <w:lang w:val="ru"/>
      </w:rPr>
      <w:fldChar w:fldCharType="begin"/>
    </w:r>
    <w:r>
      <w:rPr>
        <w:rStyle w:val="PageNumber"/>
        <w:rFonts w:cs="Arial"/>
        <w:sz w:val="20"/>
        <w:szCs w:val="22"/>
        <w:lang w:val="ru"/>
      </w:rPr>
      <w:instrText xml:space="preserve"> PAGE </w:instrText>
    </w:r>
    <w:r>
      <w:rPr>
        <w:rStyle w:val="PageNumber"/>
        <w:rFonts w:cs="Arial"/>
        <w:sz w:val="20"/>
        <w:szCs w:val="22"/>
        <w:lang w:val="ru"/>
      </w:rPr>
      <w:fldChar w:fldCharType="separate"/>
    </w:r>
    <w:r>
      <w:rPr>
        <w:rStyle w:val="PageNumber"/>
        <w:rFonts w:cs="Arial"/>
        <w:noProof/>
        <w:sz w:val="20"/>
        <w:szCs w:val="22"/>
        <w:lang w:val="ru"/>
      </w:rPr>
      <w:t>3</w:t>
    </w:r>
    <w:r>
      <w:rPr>
        <w:rStyle w:val="PageNumber"/>
        <w:rFonts w:cs="Arial"/>
        <w:sz w:val="20"/>
        <w:szCs w:val="22"/>
        <w:lang w:val="ru"/>
      </w:rPr>
      <w:fldChar w:fldCharType="end"/>
    </w:r>
  </w:p>
  <w:p w14:paraId="332F07A5" w14:textId="77777777" w:rsidR="00020AA1" w:rsidRPr="00FC2521" w:rsidRDefault="00020AA1" w:rsidP="005742D0">
    <w:pPr>
      <w:pStyle w:val="Header"/>
      <w:ind w:left="7655"/>
      <w:rPr>
        <w:rFonts w:cs="Arial"/>
        <w:sz w:val="20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27224" w14:textId="01099EC9" w:rsidR="00020AA1" w:rsidRPr="006842FA" w:rsidRDefault="0096725D" w:rsidP="00294AD5">
    <w:pPr>
      <w:pStyle w:val="Header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IOC/A-31/3.4.</w:t>
    </w:r>
    <w:proofErr w:type="gramStart"/>
    <w:r>
      <w:rPr>
        <w:rFonts w:cs="Arial"/>
        <w:sz w:val="20"/>
        <w:szCs w:val="20"/>
        <w:lang w:val="ru"/>
      </w:rPr>
      <w:t>1.Doc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8020A968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26F2457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4B204C64"/>
    <w:multiLevelType w:val="hybridMultilevel"/>
    <w:tmpl w:val="F2949D16"/>
    <w:lvl w:ilvl="0" w:tplc="FBF47106">
      <w:start w:val="1"/>
      <w:numFmt w:val="decimal"/>
      <w:pStyle w:val="COI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5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2C"/>
    <w:rsid w:val="00003B31"/>
    <w:rsid w:val="00010BBB"/>
    <w:rsid w:val="00020AA1"/>
    <w:rsid w:val="00085D6A"/>
    <w:rsid w:val="000B649E"/>
    <w:rsid w:val="000D2684"/>
    <w:rsid w:val="000F0254"/>
    <w:rsid w:val="000F1DFB"/>
    <w:rsid w:val="001030EC"/>
    <w:rsid w:val="00105CDC"/>
    <w:rsid w:val="00123719"/>
    <w:rsid w:val="001241D7"/>
    <w:rsid w:val="00137E97"/>
    <w:rsid w:val="001448C4"/>
    <w:rsid w:val="00155393"/>
    <w:rsid w:val="00167158"/>
    <w:rsid w:val="00196052"/>
    <w:rsid w:val="001B3B24"/>
    <w:rsid w:val="001C6455"/>
    <w:rsid w:val="001D0D22"/>
    <w:rsid w:val="0021210D"/>
    <w:rsid w:val="00261E82"/>
    <w:rsid w:val="00264D38"/>
    <w:rsid w:val="00294AD5"/>
    <w:rsid w:val="002A7EDB"/>
    <w:rsid w:val="002C20E2"/>
    <w:rsid w:val="002C7DE3"/>
    <w:rsid w:val="002E0859"/>
    <w:rsid w:val="0034156B"/>
    <w:rsid w:val="003451D4"/>
    <w:rsid w:val="00355412"/>
    <w:rsid w:val="003561BE"/>
    <w:rsid w:val="003805F5"/>
    <w:rsid w:val="003A7225"/>
    <w:rsid w:val="003A7860"/>
    <w:rsid w:val="003D3711"/>
    <w:rsid w:val="003F55CF"/>
    <w:rsid w:val="003F7186"/>
    <w:rsid w:val="004031FB"/>
    <w:rsid w:val="00413F17"/>
    <w:rsid w:val="00424DE6"/>
    <w:rsid w:val="00425FC5"/>
    <w:rsid w:val="004354FD"/>
    <w:rsid w:val="004529B8"/>
    <w:rsid w:val="00454970"/>
    <w:rsid w:val="00467E3F"/>
    <w:rsid w:val="00470FFC"/>
    <w:rsid w:val="0049752D"/>
    <w:rsid w:val="004A135F"/>
    <w:rsid w:val="004C1625"/>
    <w:rsid w:val="004F502C"/>
    <w:rsid w:val="004F7D6C"/>
    <w:rsid w:val="00512554"/>
    <w:rsid w:val="005742D0"/>
    <w:rsid w:val="005C7A36"/>
    <w:rsid w:val="005C7D76"/>
    <w:rsid w:val="005E544C"/>
    <w:rsid w:val="006110DA"/>
    <w:rsid w:val="00633EA5"/>
    <w:rsid w:val="006842FA"/>
    <w:rsid w:val="0068682C"/>
    <w:rsid w:val="00690A0C"/>
    <w:rsid w:val="00690FD2"/>
    <w:rsid w:val="00692765"/>
    <w:rsid w:val="00693199"/>
    <w:rsid w:val="006B4B95"/>
    <w:rsid w:val="006C18D9"/>
    <w:rsid w:val="006C6449"/>
    <w:rsid w:val="006D4AFC"/>
    <w:rsid w:val="00707AA0"/>
    <w:rsid w:val="00737A18"/>
    <w:rsid w:val="00746B89"/>
    <w:rsid w:val="0079212B"/>
    <w:rsid w:val="008048D2"/>
    <w:rsid w:val="0081004E"/>
    <w:rsid w:val="00830D2B"/>
    <w:rsid w:val="008338A6"/>
    <w:rsid w:val="00853565"/>
    <w:rsid w:val="008A6E5C"/>
    <w:rsid w:val="008B384B"/>
    <w:rsid w:val="008D2398"/>
    <w:rsid w:val="008D7113"/>
    <w:rsid w:val="008F6942"/>
    <w:rsid w:val="009026D3"/>
    <w:rsid w:val="00903395"/>
    <w:rsid w:val="009507CF"/>
    <w:rsid w:val="0096725D"/>
    <w:rsid w:val="00973672"/>
    <w:rsid w:val="00980FA0"/>
    <w:rsid w:val="00993CA4"/>
    <w:rsid w:val="009A35A9"/>
    <w:rsid w:val="009B63AB"/>
    <w:rsid w:val="009C0A89"/>
    <w:rsid w:val="009C15B1"/>
    <w:rsid w:val="009E6A03"/>
    <w:rsid w:val="009F3A67"/>
    <w:rsid w:val="009F7769"/>
    <w:rsid w:val="00A11697"/>
    <w:rsid w:val="00A25BC8"/>
    <w:rsid w:val="00A33D4F"/>
    <w:rsid w:val="00AD3D55"/>
    <w:rsid w:val="00AF59F3"/>
    <w:rsid w:val="00B722DE"/>
    <w:rsid w:val="00B83068"/>
    <w:rsid w:val="00BD6603"/>
    <w:rsid w:val="00BE0B3B"/>
    <w:rsid w:val="00BF069C"/>
    <w:rsid w:val="00BF3835"/>
    <w:rsid w:val="00C1002D"/>
    <w:rsid w:val="00C2635E"/>
    <w:rsid w:val="00C35752"/>
    <w:rsid w:val="00C3684D"/>
    <w:rsid w:val="00C4032B"/>
    <w:rsid w:val="00C46CEE"/>
    <w:rsid w:val="00C6486C"/>
    <w:rsid w:val="00C648D3"/>
    <w:rsid w:val="00C75B02"/>
    <w:rsid w:val="00C82FF7"/>
    <w:rsid w:val="00C962F0"/>
    <w:rsid w:val="00CB2097"/>
    <w:rsid w:val="00CC46F5"/>
    <w:rsid w:val="00CE7928"/>
    <w:rsid w:val="00D013ED"/>
    <w:rsid w:val="00D23648"/>
    <w:rsid w:val="00D36BDC"/>
    <w:rsid w:val="00D5049E"/>
    <w:rsid w:val="00D55FEC"/>
    <w:rsid w:val="00DD0880"/>
    <w:rsid w:val="00DF2FB9"/>
    <w:rsid w:val="00E0212C"/>
    <w:rsid w:val="00E63DEF"/>
    <w:rsid w:val="00E64936"/>
    <w:rsid w:val="00EE0542"/>
    <w:rsid w:val="00EF71F2"/>
    <w:rsid w:val="00F126E0"/>
    <w:rsid w:val="00F463F2"/>
    <w:rsid w:val="00F8186D"/>
    <w:rsid w:val="00F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B3FF6E3"/>
  <w15:docId w15:val="{C627856B-F6C7-4070-BE4A-13D79A9A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52D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qFormat/>
    <w:rsid w:val="00470FFC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CE7928"/>
    <w:pPr>
      <w:numPr>
        <w:numId w:val="2"/>
      </w:numPr>
      <w:tabs>
        <w:tab w:val="clear" w:pos="567"/>
        <w:tab w:val="left" w:pos="709"/>
      </w:tabs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CE7928"/>
    <w:pPr>
      <w:numPr>
        <w:numId w:val="3"/>
      </w:numPr>
      <w:tabs>
        <w:tab w:val="clear" w:pos="1021"/>
        <w:tab w:val="num" w:pos="1134"/>
      </w:tabs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CE7928"/>
    <w:rPr>
      <w:rFonts w:ascii="Arial" w:eastAsia="Arial Unicode MS" w:hAnsi="Arial"/>
      <w:snapToGrid w:val="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2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F5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502C"/>
    <w:rPr>
      <w:rFonts w:ascii="Segoe UI" w:hAnsi="Segoe UI" w:cs="Segoe UI"/>
      <w:snapToGrid w:val="0"/>
      <w:sz w:val="18"/>
      <w:szCs w:val="18"/>
      <w:lang w:val="en-GB" w:eastAsia="en-US"/>
    </w:rPr>
  </w:style>
  <w:style w:type="paragraph" w:customStyle="1" w:styleId="Default">
    <w:name w:val="Default"/>
    <w:rsid w:val="004975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D71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D71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7113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7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7113"/>
    <w:rPr>
      <w:rFonts w:ascii="Arial" w:hAnsi="Arial"/>
      <w:b/>
      <w:bCs/>
      <w:snapToGrid w:val="0"/>
      <w:lang w:val="en-GB" w:eastAsia="en-US"/>
    </w:rPr>
  </w:style>
  <w:style w:type="paragraph" w:styleId="Revision">
    <w:name w:val="Revision"/>
    <w:hidden/>
    <w:uiPriority w:val="99"/>
    <w:semiHidden/>
    <w:rsid w:val="008D7113"/>
    <w:rPr>
      <w:rFonts w:ascii="Arial" w:hAnsi="Arial"/>
      <w:snapToGrid w:val="0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28342" TargetMode="External"/><Relationship Id="rId13" Type="http://schemas.openxmlformats.org/officeDocument/2006/relationships/hyperlink" Target="https://www.ipcc.ch/srocc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28075" TargetMode="External"/><Relationship Id="rId14" Type="http://schemas.openxmlformats.org/officeDocument/2006/relationships/hyperlink" Target="https://oceanexpert.org/document/2807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ceanexpert.org/document/2762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NESCO%202014\GOVERNING%20BODIES\XXXI%20Assembly\Working%20Documents%20TSU\WD-template-IOC-3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04C4-75A6-BB43-84B4-6C0D3C73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WD-template-IOC-31.dotx</Template>
  <TotalTime>1</TotalTime>
  <Pages>6</Pages>
  <Words>1599</Words>
  <Characters>10848</Characters>
  <Application>Microsoft Office Word</Application>
  <DocSecurity>4</DocSecurity>
  <Lines>90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creator>Aliaga, Bernardo</dc:creator>
  <cp:lastModifiedBy>Pastor Reyes, Ingrid</cp:lastModifiedBy>
  <cp:revision>2</cp:revision>
  <cp:lastPrinted>2002-06-12T09:28:00Z</cp:lastPrinted>
  <dcterms:created xsi:type="dcterms:W3CDTF">2021-06-09T15:34:00Z</dcterms:created>
  <dcterms:modified xsi:type="dcterms:W3CDTF">2021-06-09T15:34:00Z</dcterms:modified>
</cp:coreProperties>
</file>