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7001"/>
        <w:tblW w:w="0" w:type="auto"/>
        <w:tblLook w:val="04A0" w:firstRow="1" w:lastRow="0" w:firstColumn="1" w:lastColumn="0" w:noHBand="0" w:noVBand="1"/>
      </w:tblPr>
      <w:tblGrid>
        <w:gridCol w:w="7371"/>
      </w:tblGrid>
      <w:tr w:rsidR="005A69BB" w:rsidRPr="00501641" w14:paraId="1D5C8E67" w14:textId="77777777" w:rsidTr="005A69BB">
        <w:tc>
          <w:tcPr>
            <w:tcW w:w="7371" w:type="dxa"/>
          </w:tcPr>
          <w:p w14:paraId="6414A53D" w14:textId="77777777" w:rsidR="005A69BB" w:rsidRPr="00501641" w:rsidRDefault="005A69BB" w:rsidP="005A69BB">
            <w:pPr>
              <w:widowControl/>
              <w:tabs>
                <w:tab w:val="clear" w:pos="567"/>
              </w:tabs>
              <w:adjustRightInd/>
              <w:snapToGrid/>
              <w:spacing w:line="240" w:lineRule="auto"/>
              <w:jc w:val="center"/>
              <w:textAlignment w:val="auto"/>
              <w:rPr>
                <w:rFonts w:cs="Arial"/>
                <w:szCs w:val="22"/>
                <w:u w:val="single"/>
              </w:rPr>
            </w:pPr>
            <w:r w:rsidRPr="00501641">
              <w:rPr>
                <w:rFonts w:cs="Arial"/>
                <w:szCs w:val="22"/>
                <w:u w:val="single"/>
                <w:lang w:val="es"/>
              </w:rPr>
              <w:t>Resumen</w:t>
            </w:r>
          </w:p>
          <w:p w14:paraId="07140F72" w14:textId="77777777" w:rsidR="005A69BB" w:rsidRPr="00501641" w:rsidRDefault="005A69BB" w:rsidP="005A69BB">
            <w:pPr>
              <w:widowControl/>
              <w:tabs>
                <w:tab w:val="clear" w:pos="567"/>
              </w:tabs>
              <w:adjustRightInd/>
              <w:snapToGrid/>
              <w:spacing w:line="240" w:lineRule="auto"/>
              <w:jc w:val="left"/>
              <w:textAlignment w:val="auto"/>
              <w:rPr>
                <w:rFonts w:cs="Arial"/>
                <w:szCs w:val="22"/>
                <w:u w:val="single"/>
              </w:rPr>
            </w:pPr>
          </w:p>
          <w:p w14:paraId="27A14CAD" w14:textId="38300C8A" w:rsidR="005A69BB" w:rsidRPr="00501641" w:rsidRDefault="005A69BB" w:rsidP="005A69BB">
            <w:pPr>
              <w:pStyle w:val="Marge"/>
              <w:shd w:val="clear" w:color="auto" w:fill="FFFFFF"/>
              <w:spacing w:line="240" w:lineRule="auto"/>
              <w:ind w:right="284"/>
              <w:rPr>
                <w:rFonts w:cs="Arial"/>
                <w:szCs w:val="22"/>
              </w:rPr>
            </w:pPr>
            <w:r w:rsidRPr="00501641">
              <w:rPr>
                <w:rFonts w:cs="Arial"/>
                <w:szCs w:val="22"/>
                <w:lang w:val="es"/>
              </w:rPr>
              <w:t xml:space="preserve">En este documento se presenta el proyecto de programa y presupuesto de la Secretaría para 2022-2025 (primer bienio 2022-2023), el primer cuatrienio de la nueva Estrategia a Medio Plazo de la COI para 2022-2029 (documento </w:t>
            </w:r>
            <w:hyperlink r:id="rId13" w:history="1">
              <w:r w:rsidRPr="00FC0A1E">
                <w:rPr>
                  <w:rStyle w:val="Hyperlink"/>
                  <w:rFonts w:cs="Arial"/>
                  <w:szCs w:val="22"/>
                  <w:lang w:val="es"/>
                </w:rPr>
                <w:t>IOC</w:t>
              </w:r>
              <w:r w:rsidR="00FC0A1E" w:rsidRPr="00FC0A1E">
                <w:rPr>
                  <w:rStyle w:val="Hyperlink"/>
                  <w:rFonts w:cs="Arial"/>
                  <w:szCs w:val="22"/>
                  <w:lang w:val="es"/>
                </w:rPr>
                <w:t>/A</w:t>
              </w:r>
              <w:r w:rsidRPr="00FC0A1E">
                <w:rPr>
                  <w:rStyle w:val="Hyperlink"/>
                  <w:rFonts w:cs="Arial"/>
                  <w:szCs w:val="22"/>
                  <w:lang w:val="es"/>
                </w:rPr>
                <w:t>-31/4.1.Doc(1</w:t>
              </w:r>
            </w:hyperlink>
            <w:r w:rsidRPr="00501641">
              <w:rPr>
                <w:rFonts w:cs="Arial"/>
                <w:color w:val="000000"/>
                <w:szCs w:val="22"/>
                <w:lang w:val="es"/>
              </w:rPr>
              <w:t xml:space="preserve">)), preparado en base a las orientaciones recibidas por parte del Consejo Ejecutivo de la COI mediante la Resolución </w:t>
            </w:r>
            <w:hyperlink r:id="rId14" w:history="1">
              <w:r w:rsidRPr="00501641">
                <w:rPr>
                  <w:rStyle w:val="Hyperlink"/>
                  <w:rFonts w:cs="Arial"/>
                  <w:szCs w:val="22"/>
                  <w:lang w:val="es"/>
                </w:rPr>
                <w:t>EC-53/2</w:t>
              </w:r>
            </w:hyperlink>
            <w:r w:rsidRPr="00501641">
              <w:rPr>
                <w:rFonts w:cs="Arial"/>
                <w:snapToGrid/>
                <w:szCs w:val="22"/>
                <w:lang w:val="es"/>
              </w:rPr>
              <w:t>.</w:t>
            </w:r>
          </w:p>
          <w:p w14:paraId="72074E87" w14:textId="54435A0B" w:rsidR="005A69BB" w:rsidRPr="00501641" w:rsidRDefault="005A69BB" w:rsidP="005A69BB">
            <w:pPr>
              <w:widowControl/>
              <w:tabs>
                <w:tab w:val="clear" w:pos="567"/>
              </w:tabs>
              <w:adjustRightInd/>
              <w:snapToGrid/>
              <w:spacing w:after="240" w:line="240" w:lineRule="auto"/>
              <w:ind w:left="28"/>
              <w:textAlignment w:val="auto"/>
            </w:pPr>
            <w:r w:rsidRPr="00501641">
              <w:rPr>
                <w:rFonts w:cs="Arial"/>
                <w:szCs w:val="22"/>
                <w:u w:val="single"/>
                <w:lang w:val="es"/>
              </w:rPr>
              <w:t>Decisión propuesta</w:t>
            </w:r>
            <w:r w:rsidRPr="00501641">
              <w:rPr>
                <w:rFonts w:cs="Arial"/>
                <w:szCs w:val="22"/>
                <w:lang w:val="es"/>
              </w:rPr>
              <w:t>: Tras una breve introducción y un debate en sesión plenaria en relación con el punto 4.2, se invita a la Asamblea a tomar nota de este informe y a examinar el proyecto de decisión mencionado como IOC</w:t>
            </w:r>
            <w:r w:rsidR="00FC0A1E">
              <w:rPr>
                <w:rFonts w:cs="Arial"/>
                <w:szCs w:val="22"/>
                <w:lang w:val="es"/>
              </w:rPr>
              <w:t>/A</w:t>
            </w:r>
            <w:r w:rsidRPr="00501641">
              <w:rPr>
                <w:rFonts w:cs="Arial"/>
                <w:szCs w:val="22"/>
                <w:lang w:val="es"/>
              </w:rPr>
              <w:t xml:space="preserve">-31/4.2 en el Documento de Decisión Provisional (documento </w:t>
            </w:r>
            <w:hyperlink r:id="rId15" w:history="1">
              <w:r w:rsidRPr="00BF26BB">
                <w:rPr>
                  <w:rStyle w:val="Hyperlink"/>
                  <w:rFonts w:cs="Arial"/>
                  <w:szCs w:val="22"/>
                  <w:lang w:val="es"/>
                </w:rPr>
                <w:t>IOC</w:t>
              </w:r>
              <w:r w:rsidR="00FC0A1E" w:rsidRPr="00BF26BB">
                <w:rPr>
                  <w:rStyle w:val="Hyperlink"/>
                  <w:rFonts w:cs="Arial"/>
                  <w:szCs w:val="22"/>
                  <w:lang w:val="es"/>
                </w:rPr>
                <w:t>/A</w:t>
              </w:r>
              <w:r w:rsidRPr="00BF26BB">
                <w:rPr>
                  <w:rStyle w:val="Hyperlink"/>
                  <w:rFonts w:cs="Arial"/>
                  <w:szCs w:val="22"/>
                  <w:lang w:val="es"/>
                </w:rPr>
                <w:t>-31/AP</w:t>
              </w:r>
              <w:r w:rsidR="00BF26BB" w:rsidRPr="00BF26BB">
                <w:rPr>
                  <w:rStyle w:val="Hyperlink"/>
                  <w:rFonts w:cs="Arial"/>
                  <w:szCs w:val="22"/>
                  <w:lang w:val="es"/>
                </w:rPr>
                <w:t> Rev.2</w:t>
              </w:r>
            </w:hyperlink>
            <w:r w:rsidRPr="00501641">
              <w:rPr>
                <w:rFonts w:cs="Arial"/>
                <w:szCs w:val="22"/>
                <w:lang w:val="es"/>
              </w:rPr>
              <w:t>). A continuación, el documento será objeto de un examen exhaustivo por parte del Comité de Finanzas, órgano reglamentario de composición abierta creado para la reunión, y la decisión correspondiente figurará en el proyecto de resolución que el Comité de Finanzas someterá a la aprobación de la Asamblea en el marco del punto 4.4, de conformidad con lo dispuesto en el párrafo 15 del proyecto de las directrices revisadas para la preparación y el examen de los proyectos de resolución (</w:t>
            </w:r>
            <w:hyperlink r:id="rId16" w:history="1">
              <w:r w:rsidRPr="00501641">
                <w:rPr>
                  <w:rStyle w:val="Hyperlink"/>
                  <w:rFonts w:cs="Arial"/>
                  <w:szCs w:val="22"/>
                  <w:lang w:val="es"/>
                </w:rPr>
                <w:t>IOC/INF-1315</w:t>
              </w:r>
            </w:hyperlink>
            <w:r w:rsidRPr="00501641">
              <w:rPr>
                <w:rFonts w:cs="Arial"/>
                <w:szCs w:val="22"/>
                <w:lang w:val="es"/>
              </w:rPr>
              <w:t>).</w:t>
            </w:r>
          </w:p>
        </w:tc>
      </w:tr>
    </w:tbl>
    <w:p w14:paraId="17EAF2BA" w14:textId="77777777" w:rsidR="005A69BB" w:rsidRPr="00501641" w:rsidRDefault="0031076A">
      <w:pPr>
        <w:widowControl/>
        <w:tabs>
          <w:tab w:val="clear" w:pos="567"/>
        </w:tabs>
        <w:adjustRightInd/>
        <w:snapToGrid/>
        <w:spacing w:line="240" w:lineRule="auto"/>
        <w:jc w:val="left"/>
        <w:textAlignment w:val="auto"/>
        <w:sectPr w:rsidR="005A69BB" w:rsidRPr="00501641" w:rsidSect="005A69BB">
          <w:headerReference w:type="even" r:id="rId17"/>
          <w:headerReference w:type="default" r:id="rId18"/>
          <w:headerReference w:type="first" r:id="rId19"/>
          <w:pgSz w:w="11906" w:h="16838" w:code="9"/>
          <w:pgMar w:top="-1398" w:right="1155" w:bottom="1134" w:left="1134" w:header="709" w:footer="680" w:gutter="0"/>
          <w:pgNumType w:start="1"/>
          <w:cols w:space="708"/>
          <w:titlePg/>
          <w:docGrid w:linePitch="360"/>
        </w:sectPr>
      </w:pPr>
      <w:r w:rsidRPr="00501641">
        <w:rPr>
          <w:lang w:val="es"/>
        </w:rPr>
        <w:br w:type="page"/>
      </w:r>
    </w:p>
    <w:p w14:paraId="5E03E01D" w14:textId="77777777" w:rsidR="001255D9" w:rsidRPr="00501641" w:rsidRDefault="001255D9" w:rsidP="00921D65">
      <w:pPr>
        <w:pStyle w:val="Heading2"/>
        <w:spacing w:before="0" w:after="0" w:line="240" w:lineRule="auto"/>
        <w:rPr>
          <w:rFonts w:cs="Arial"/>
          <w:szCs w:val="22"/>
        </w:rPr>
      </w:pPr>
      <w:r w:rsidRPr="00501641">
        <w:rPr>
          <w:rFonts w:cs="Arial"/>
          <w:szCs w:val="22"/>
          <w:lang w:val="es"/>
        </w:rPr>
        <w:lastRenderedPageBreak/>
        <w:t>INTRODUCCIÓN DEL SECRETARIO EJECUTIVO DE LA COI</w:t>
      </w:r>
    </w:p>
    <w:p w14:paraId="55B9AB40" w14:textId="77777777" w:rsidR="001255D9" w:rsidRPr="00501641" w:rsidRDefault="00DB250E" w:rsidP="006001A0">
      <w:pPr>
        <w:pStyle w:val="Marge"/>
        <w:spacing w:after="0" w:line="240" w:lineRule="auto"/>
      </w:pPr>
      <w:r w:rsidRPr="00501641">
        <w:rPr>
          <w:noProof/>
          <w:snapToGrid/>
          <w:lang w:val="fr-FR" w:eastAsia="fr-FR"/>
        </w:rPr>
        <mc:AlternateContent>
          <mc:Choice Requires="wps">
            <w:drawing>
              <wp:anchor distT="0" distB="0" distL="114300" distR="114300" simplePos="0" relativeHeight="251673600" behindDoc="0" locked="0" layoutInCell="1" allowOverlap="1" wp14:anchorId="335CAB62" wp14:editId="38AD4DD5">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541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" strokecolor="#4579b8 [3044]"/>
            </w:pict>
          </mc:Fallback>
        </mc:AlternateContent>
      </w:r>
    </w:p>
    <w:p w14:paraId="30CCFDDD" w14:textId="77777777" w:rsidR="00AC5857" w:rsidRPr="00501641" w:rsidRDefault="00AC5857" w:rsidP="00714BDA">
      <w:pPr>
        <w:pStyle w:val="ParaCOI"/>
        <w:numPr>
          <w:ilvl w:val="0"/>
          <w:numId w:val="4"/>
        </w:numPr>
        <w:shd w:val="clear" w:color="auto" w:fill="FFFFFF"/>
        <w:ind w:left="0" w:firstLine="0"/>
      </w:pPr>
      <w:r w:rsidRPr="00501641">
        <w:rPr>
          <w:lang w:val="es"/>
        </w:rPr>
        <w:t xml:space="preserve">El papel clave del océano en muchos aspectos del desarrollo sostenible se traduce en la importancia de mantener y seguir desarrollando los medios de ejecución de la COI. Vivimos ahora en un periodo en el que se está comprendiendo mejor el valor del océano para nuestra civilización. Existe la posibilidad de que la planificación oceánica basada en la ciencia conduzca a la inversión del deterioro de la salud de los océanos y aumente los beneficios para la humanidad procedentes de ellos. Sin embargo, históricamente, el valor de las ciencias oceánicas y la necesidad de una acción coordinada no se han reflejado adecuadamente en la gobernanza nacional e internacional, ni tampoco en los recursos pasados o actuales de los que dispone la COI. </w:t>
      </w:r>
    </w:p>
    <w:p w14:paraId="4333E64B" w14:textId="4BBAC7B6" w:rsidR="00AC5857" w:rsidRPr="00501641" w:rsidRDefault="00AC5857" w:rsidP="00714BDA">
      <w:pPr>
        <w:pStyle w:val="ParaCOI"/>
        <w:numPr>
          <w:ilvl w:val="0"/>
          <w:numId w:val="4"/>
        </w:numPr>
        <w:shd w:val="clear" w:color="auto" w:fill="FFFFFF"/>
        <w:ind w:left="0" w:firstLine="0"/>
      </w:pPr>
      <w:r w:rsidRPr="00501641">
        <w:rPr>
          <w:lang w:val="es"/>
        </w:rPr>
        <w:t>El Decenio de las Naciones Unidas de las Ciencias Oceánicas para el Desarrollo Sostenible 2021-2030 (el Decenio de los Océanos) pretende cambiar esta situación, implicar a las múltiples partes interesadas para capacitar sobre las ciencias oceánicas y dirigirlas hacia la consecución de los grandes retos de nuestro tiempo. Además, hay grandes expectativas en cuanto a la aportación de la COI a dos procesos clave de las Naciones Unidas, a saber, la adaptación al cambio climático y su mitigación en el marco de la CMNUCC y el nuevo Instrumento Internacional Jurídicamente Vinculante (ILBI) en el marco de la Convención de las Naciones Unidas sobre el Derecho del Mar (UNCLOS) sobre la conservación y el uso sostenible de la diversidad biológica marina de las zonas situadas fuera de la jurisdicción nacional (BBNJ). Estos cuatro amplios ámbitos de actuación (las funciones básicas de la COI, el Decenio, la CMNUCC y la BBNJ) serán los principales factores que darán forma a la nueva Estrategia a Medio Plazo de la COI para 2022-2029 y al programa de trabajo de la COI para 2022-2025. La COI lleva trabajando en su nueva Estrategia a Medio Plazo desde 2018, sin embargo, en el momento de escribir esta introducción, la pandemia de la COVID-19 se ha convertido en la principal preocupación del mundo. Al igual que las dramáticas pandemias de otros siglos, afectará a las economías de los países y a la forma de pensar de las sociedades y los responsables políticos. El papel del océano en la salud humana, la oportunidad para que la humanidad empiece a actuar de una manera mucho más sostenible tras la ralentización de la economía causada por la pandemia, y el impacto del confinamiento en el medio ambiente marino y las operaciones humanas en el océano y en la costa deberán ser objeto de una seria consideración.</w:t>
      </w:r>
    </w:p>
    <w:p w14:paraId="3916B160" w14:textId="3109F5F2" w:rsidR="00AC5857" w:rsidRPr="00501641" w:rsidRDefault="00AC5857" w:rsidP="00714BDA">
      <w:pPr>
        <w:pStyle w:val="ParaCOI"/>
        <w:numPr>
          <w:ilvl w:val="0"/>
          <w:numId w:val="4"/>
        </w:numPr>
        <w:shd w:val="clear" w:color="auto" w:fill="FFFFFF"/>
        <w:ind w:left="0" w:firstLine="0"/>
      </w:pPr>
      <w:r w:rsidRPr="00501641">
        <w:rPr>
          <w:lang w:val="es"/>
        </w:rPr>
        <w:t xml:space="preserve">Antes de la pandemia, la 40.ª Conferencia General de la UNESCO acordó la hipótesis presupuestaria para 2020-2021 (40 C/5) basada en el presupuesto ordinario consignado (cuotas de los Estados Miembros) de 534,6 millones de dólares estadounidenses (11,1 millones de dólares para la COI o, sin contribución a los cargos comunes, 10,9 millones de dólares). Este presupuesto ofrecía a la Secretaría de la COI la posibilidad de continuar el trabajo de forma similar al bienio anterior y de asignar un modesto capital inicial al Decenio de los Océanos. El presupuesto integrado de la COI para 2020-2021, del orden de 26,9 millones de dólares, era una suma de las contribuciones voluntarias (extrapresupuestarias) asignadas y previstas: 10,9 millones de dólares con cargo al presupuesto ordinario (de los cuales 8,3 millones se destinan a los gastos de personal y 2,6 millones a las operaciones), 2,6 millones de dólares de contribuciones voluntarias ya disponibles en el momento de la preparación del 40 C/5 y un objetivo de movilización de recursos de 13,2 millones de dólares. Esto constituyó las condiciones de base para la planificación del programa y el presupuesto para el primer bienio 2022-2023. </w:t>
      </w:r>
    </w:p>
    <w:p w14:paraId="369F7975" w14:textId="36E22E3D" w:rsidR="00AC5857" w:rsidRPr="00501641" w:rsidRDefault="00AC5857" w:rsidP="00714BDA">
      <w:pPr>
        <w:pStyle w:val="ParaCOI"/>
        <w:numPr>
          <w:ilvl w:val="0"/>
          <w:numId w:val="4"/>
        </w:numPr>
        <w:shd w:val="clear" w:color="auto" w:fill="FFFFFF"/>
        <w:ind w:left="0" w:firstLine="0"/>
      </w:pPr>
      <w:r w:rsidRPr="00501641">
        <w:rPr>
          <w:lang w:val="es"/>
        </w:rPr>
        <w:t xml:space="preserve">La COI celebró su 60.º aniversario en 2020. Sus servicios son cada vez más necesarios para el mundo. Sin embargo, en la actualidad, la COI puede considerarse una comisión intergubernamental con programas muy </w:t>
      </w:r>
      <w:proofErr w:type="gramStart"/>
      <w:r w:rsidRPr="00501641">
        <w:rPr>
          <w:lang w:val="es"/>
        </w:rPr>
        <w:t>sólidos</w:t>
      </w:r>
      <w:proofErr w:type="gramEnd"/>
      <w:r w:rsidRPr="00501641">
        <w:rPr>
          <w:lang w:val="es"/>
        </w:rPr>
        <w:t xml:space="preserve"> pero en una situación financiera inestable. La necesidad crucial de la humanidad en materia de ciencias oceánicas se manifestó claramente en la proclamación del Decenio en 2017 por parte de 193 Estados Miembros y observadores de la Asamblea General de la ONU. Conscientes de estas necesidades, los Estados Miembros de la COI aprobaron en la 30.ª reunión de la Asamblea de la COI la </w:t>
      </w:r>
      <w:hyperlink r:id="rId20" w:history="1">
        <w:r w:rsidRPr="00501641">
          <w:rPr>
            <w:rStyle w:val="Hyperlink"/>
            <w:lang w:val="es"/>
          </w:rPr>
          <w:t>Resolución XXX-3</w:t>
        </w:r>
      </w:hyperlink>
      <w:r w:rsidR="00BF26BB">
        <w:rPr>
          <w:rStyle w:val="Hyperlink"/>
          <w:lang w:val="es"/>
        </w:rPr>
        <w:t xml:space="preserve"> </w:t>
      </w:r>
      <w:r w:rsidRPr="00501641">
        <w:rPr>
          <w:lang w:val="es"/>
        </w:rPr>
        <w:t>en la que solicitaron al Secretario Ejecutivo que elaborara una "</w:t>
      </w:r>
      <w:r w:rsidRPr="00501641">
        <w:rPr>
          <w:i/>
          <w:iCs/>
          <w:lang w:val="es"/>
        </w:rPr>
        <w:t>estimación del presupuesto necesario para el funcionamiento eficaz de la COI a un nivel óptimo, a fin de ayudar a determinar cómo y qué recursos adicionales podrían obtenerse"</w:t>
      </w:r>
      <w:r w:rsidRPr="00501641">
        <w:rPr>
          <w:lang w:val="es"/>
        </w:rPr>
        <w:t xml:space="preserve">. Este trabajo ha comenzado. </w:t>
      </w:r>
    </w:p>
    <w:p w14:paraId="1F033F38" w14:textId="79EB839F" w:rsidR="00AC5857" w:rsidRPr="00501641" w:rsidRDefault="00AC5857" w:rsidP="00714BDA">
      <w:pPr>
        <w:pStyle w:val="ParaCOI"/>
        <w:numPr>
          <w:ilvl w:val="0"/>
          <w:numId w:val="4"/>
        </w:numPr>
        <w:shd w:val="clear" w:color="auto" w:fill="FFFFFF"/>
        <w:ind w:left="0" w:firstLine="0"/>
      </w:pPr>
      <w:r w:rsidRPr="00501641">
        <w:rPr>
          <w:rFonts w:cs="Arial"/>
          <w:lang w:val="es"/>
        </w:rPr>
        <w:lastRenderedPageBreak/>
        <w:t xml:space="preserve">Durante el periodo entre reuniones, fue difícil evaluar lo que realmente necesitaría la COI porque no estaba garantizado que se le diera la responsabilidad de coordinar la ejecución del Decenio. Paralelamente, se están produciendo importantes avances en el ámbito de la gestión de los océanos, sobre todo gracias a las deliberaciones del Grupo de Alto Nivel para una Economía Oceánica Sostenible. La Conferencia de la ONU sobre los Océanos de 2020 se pospuso, al igual que la </w:t>
      </w:r>
      <w:proofErr w:type="spellStart"/>
      <w:r w:rsidRPr="00501641">
        <w:rPr>
          <w:rFonts w:cs="Arial"/>
          <w:lang w:val="es"/>
        </w:rPr>
        <w:t>CoP</w:t>
      </w:r>
      <w:proofErr w:type="spellEnd"/>
      <w:r w:rsidRPr="00501641">
        <w:rPr>
          <w:rFonts w:cs="Arial"/>
          <w:lang w:val="es"/>
        </w:rPr>
        <w:t xml:space="preserve"> 26 de la CMNUCC, que pretendía convertirse en la primera "</w:t>
      </w:r>
      <w:proofErr w:type="spellStart"/>
      <w:r w:rsidRPr="00501641">
        <w:rPr>
          <w:rFonts w:cs="Arial"/>
          <w:lang w:val="es"/>
        </w:rPr>
        <w:t>CoP</w:t>
      </w:r>
      <w:proofErr w:type="spellEnd"/>
      <w:r w:rsidRPr="00501641">
        <w:rPr>
          <w:rFonts w:cs="Arial"/>
          <w:lang w:val="es"/>
        </w:rPr>
        <w:t xml:space="preserve"> azul". La Conferencia Intergubernamental de las Naciones Unidas sobre la Biodiversidad Marina de Zonas Fuera de la Jurisdicción Nacional (</w:t>
      </w:r>
      <w:hyperlink r:id="rId21" w:history="1">
        <w:r w:rsidRPr="00501641">
          <w:rPr>
            <w:rStyle w:val="Hyperlink"/>
            <w:rFonts w:cs="Arial"/>
            <w:lang w:val="es"/>
          </w:rPr>
          <w:t>BBNJ</w:t>
        </w:r>
      </w:hyperlink>
      <w:r w:rsidRPr="00501641">
        <w:rPr>
          <w:rFonts w:cs="Arial"/>
          <w:lang w:val="es"/>
        </w:rPr>
        <w:t xml:space="preserve">) también se retrasó considerablemente al considerar solicitar el servicio ampliado de la COI en lo que respecta a la capacidad científica y la transferencia de tecnología marina. Por ello, sigue siendo difícil prever todo el alcance potencial futuro de las actividades necesarias. Esta incertidumbre también puede repercutir en los debates sobre la Estrategia a Medio Plazo de la COI para 2022-2029. Las consideraciones iniciales de la Secretaría se centraron en dos opciones: </w:t>
      </w:r>
    </w:p>
    <w:p w14:paraId="5A9D0648" w14:textId="32FC5E0E" w:rsidR="00AC5857" w:rsidRPr="00501641" w:rsidRDefault="00AC5857" w:rsidP="00714BDA">
      <w:pPr>
        <w:pStyle w:val="ParaCOI"/>
        <w:numPr>
          <w:ilvl w:val="0"/>
          <w:numId w:val="6"/>
        </w:numPr>
        <w:shd w:val="clear" w:color="auto" w:fill="FFFFFF"/>
      </w:pPr>
      <w:r w:rsidRPr="00501641">
        <w:rPr>
          <w:lang w:val="es"/>
        </w:rPr>
        <w:t>la hipótesis de una "COI sana" que garantice la capacidad de la Secretaría para apoyar la actual cartera de actividades (que ahora incluye la coordinación del Decenio de los Océanos, la consecución de la labor de la COI en materia de planificación de los océanos, incluida la ordenación del espacio marítimo, un trabajo con más recursos en las regiones y actividades en los ámbitos de la alfabetización y la comunicación sobre los océanos);</w:t>
      </w:r>
    </w:p>
    <w:p w14:paraId="5506E82C" w14:textId="77777777" w:rsidR="00AC5857" w:rsidRPr="00501641" w:rsidRDefault="00AC5857" w:rsidP="00714BDA">
      <w:pPr>
        <w:pStyle w:val="ParaCOI"/>
        <w:numPr>
          <w:ilvl w:val="0"/>
          <w:numId w:val="6"/>
        </w:numPr>
        <w:shd w:val="clear" w:color="auto" w:fill="FFFFFF"/>
      </w:pPr>
      <w:r w:rsidRPr="00501641">
        <w:rPr>
          <w:rFonts w:cs="Arial"/>
          <w:lang w:val="es"/>
        </w:rPr>
        <w:t xml:space="preserve">Y un hipotético esbozo de "COI óptima" que podría apoyar la emergente alianza de la ciencia y la gestión de los océanos. Esta configuración aún no está clara debido a las nuevas negociaciones en las Naciones Unidas y a la evolución de la gobernanza de los océanos. Será necesario consultar a los Estados Miembros para completar este crucial ejercicio de planificación estratégica. </w:t>
      </w:r>
    </w:p>
    <w:p w14:paraId="0505CF08" w14:textId="32B8FDC1" w:rsidR="00AC5857" w:rsidRPr="00501641" w:rsidRDefault="00AC5857" w:rsidP="00714BDA">
      <w:pPr>
        <w:pStyle w:val="ParaCOI"/>
        <w:numPr>
          <w:ilvl w:val="0"/>
          <w:numId w:val="4"/>
        </w:numPr>
        <w:shd w:val="clear" w:color="auto" w:fill="FFFFFF"/>
        <w:ind w:left="0" w:firstLine="0"/>
      </w:pPr>
      <w:r w:rsidRPr="00501641">
        <w:rPr>
          <w:lang w:val="es"/>
        </w:rPr>
        <w:t xml:space="preserve">Las necesidades presupuestarias y de personal más inmediatas vendrán determinadas por las orientaciones estratégicas de la Estrategia a Medio Plazo de la COI para 2022-2029 y las expectativas de la COI durante ese período. En 2022-2025, la COI seguirá tratando de armonizar los objetivos del Decenio de los Océanos con los programas y actividades de la COI, prestando especial atención a los que se ocupan de las lagunas críticas en los conocimientos científicos, como la comprensión de los múltiples factores de estrés oceánicos de importancia para una gestión basada en los ecosistemas, la predicción del estado de los océanos, la adaptación al cambio climático, la elaboración de soluciones para la salud de los océanos y la protección del medio marino, la alerta de los peligros oceánicos que amenazan la vida, los enfoques de gestión de los océanos, así como el desarrollo de las capacidades de los Estados Miembros. La nueva visión de los futuros recursos y personal de la COI debe reflejar las nuevas realidades económicas, políticas y sociales del mundo posterior a la pandemia de la COVID-19 y también el futuro presupuesto previsto de la UNESCO. </w:t>
      </w:r>
    </w:p>
    <w:p w14:paraId="4AE420BA" w14:textId="24D84085" w:rsidR="00AC5857" w:rsidRPr="00501641" w:rsidRDefault="00AC5857" w:rsidP="00714BDA">
      <w:pPr>
        <w:pStyle w:val="ParaCOI"/>
        <w:numPr>
          <w:ilvl w:val="0"/>
          <w:numId w:val="4"/>
        </w:numPr>
        <w:shd w:val="clear" w:color="auto" w:fill="FFFFFF"/>
        <w:ind w:left="0" w:firstLine="0"/>
      </w:pPr>
      <w:r w:rsidRPr="00501641">
        <w:rPr>
          <w:lang w:val="es"/>
        </w:rPr>
        <w:t xml:space="preserve">Los Estados Miembros recordarán que, si bien el programa de la UNESCO está definido para el período cuatrienal 2022-2025, la Conferencia General de la UNESCO decidió mantener el ciclo bienal para la consignación del presupuesto. En el bienio 2022-2023, siempre que la dotación global de la UNESCO siga siendo la misma (534,6 millones de dólares), la asignación neta de la COI procedente de las cuotas de los Estados Miembros de la UNESCO, como se sugirió al Consejo Ejecutivo de la UNESCO en su 211.ª reunión, sería de 11,2 millones de dólares. La COI tiene la expectativa y la ambición de recaudar 16,2 millones de dólares en contribuciones voluntarias, que se suman a los 4,4 millones de dólares de los que ya dispone. A pesar de que el presupuesto ordinario global para el bienio es nominalmente un poco más alto que las cifras para 2020-2021 (11,2 millones de dólares frente a 10,9 millones de dólares), se espera que el presupuesto disponible para las operaciones en el nuevo bienio sea considerablemente menor debido a un aumento de los gastos estándar de personal. Con el nuevo enfoque global y transparente de la presentación de los gastos de personal en el presupuesto de la UNESCO, la totalidad de los costes previstos del personal se reflejan ahora en los Sectores/Oficinas en los que trabajan y obtienen resultados. Se espera que esto provoque una mayor flexibilidad en la capacidad de los Sectores/Oficinas para gestionar sus gastos de personal según sea necesario a lo largo del bienio. </w:t>
      </w:r>
    </w:p>
    <w:p w14:paraId="2CC8499A" w14:textId="12AF34CB" w:rsidR="00AC5857" w:rsidRPr="00501641" w:rsidRDefault="00AC5857" w:rsidP="00714BDA">
      <w:pPr>
        <w:pStyle w:val="ParaCOI"/>
        <w:numPr>
          <w:ilvl w:val="0"/>
          <w:numId w:val="4"/>
        </w:numPr>
        <w:shd w:val="clear" w:color="auto" w:fill="FFFFFF"/>
        <w:ind w:left="0" w:firstLine="0"/>
      </w:pPr>
      <w:r w:rsidRPr="00501641">
        <w:rPr>
          <w:lang w:val="es"/>
        </w:rPr>
        <w:lastRenderedPageBreak/>
        <w:t xml:space="preserve">La oportunidad y la responsabilidad que presenta el Decenio de los Océanos a la COI exigen una evaluación estratégica y una decisión sobre dónde invertir. El volumen de trabajo de la Secretaría de la COI está aumentando. Los recursos para las actividades procedentes de las cuotas de los Estados Miembros de la UNESCO están disminuyendo. La única justificación para una entrega adecuada es reforzar la capacidad de la Comisión para movilizar recursos adicionales. En este contexto, la opción del Secretario Ejecutivo es invertir en los recursos humanos de la COI, su mayor activo, en previsión de que un equipo más fuerte pueda responder adecuadamente a una mayor demanda de la labor fundamental de la COI para hacer posible una gestión de los océanos basada en la ciencia. Se requiere una inversión institucional en la dotación de personal de la COI, elevando su perfil al nivel que se corresponda con nuestra visión de un Decenio de los Océanos verdaderamente transformador, a fin de obtener más recursos para una Unidad de Coordinación del Decenio eficaz y eficiente y para todas las actividades del programa de la COI. Esta visión es la que permite aumentar las proyecciones de las contribuciones voluntarias. </w:t>
      </w:r>
    </w:p>
    <w:p w14:paraId="1ABC5E1B" w14:textId="33F9FA31" w:rsidR="00AC5857" w:rsidRPr="00501641" w:rsidRDefault="00AC5857" w:rsidP="00714BDA">
      <w:pPr>
        <w:pStyle w:val="ParaCOI"/>
        <w:numPr>
          <w:ilvl w:val="0"/>
          <w:numId w:val="4"/>
        </w:numPr>
        <w:shd w:val="clear" w:color="auto" w:fill="FFFFFF"/>
        <w:ind w:left="0" w:firstLine="0"/>
      </w:pPr>
      <w:r w:rsidRPr="00501641">
        <w:rPr>
          <w:lang w:val="es"/>
        </w:rPr>
        <w:t xml:space="preserve">El programa y el presupuesto de la COI para 2022-2023, el bienio que inicia el período estratégico 2022-2029, requiere una profunda reflexión de sus Estados Miembros. Una vez más, se remite a los Estados Miembros al artículo 11.3 de los Estatutos de la COI, en el que se expone la posibilidad de que la COI actúe como mecanismo mixto especializado en el sistema de las Naciones Unidas, y al artículo 10.4, que permite a la Comisión establecer disposiciones financieras adicionales para la ejecución de su programa de trabajo. El liderazgo moderno solo puede lograrse mediante la colaboración. La búsqueda de colaboraciones estratégicas adecuadas parece ser el camino para que la COI mantenga y refuerce su papel de coordinadora y facilitadora de las ciencias oceánicas al servicio del desarrollo sostenible. </w:t>
      </w:r>
    </w:p>
    <w:p w14:paraId="267F71AF" w14:textId="77777777" w:rsidR="000A273F" w:rsidRPr="00501641" w:rsidRDefault="000A273F" w:rsidP="00415394">
      <w:pPr>
        <w:widowControl/>
        <w:tabs>
          <w:tab w:val="clear" w:pos="567"/>
        </w:tabs>
        <w:adjustRightInd/>
        <w:snapToGrid/>
        <w:spacing w:line="240" w:lineRule="auto"/>
        <w:jc w:val="center"/>
        <w:textAlignment w:val="auto"/>
        <w:rPr>
          <w:b/>
        </w:rPr>
      </w:pPr>
    </w:p>
    <w:p w14:paraId="5FBAEC6F" w14:textId="77777777" w:rsidR="000A273F" w:rsidRPr="00501641" w:rsidRDefault="000A273F" w:rsidP="000A273F"/>
    <w:p w14:paraId="174F7C79" w14:textId="77777777" w:rsidR="000A273F" w:rsidRPr="00501641" w:rsidRDefault="000A273F" w:rsidP="00415394">
      <w:pPr>
        <w:widowControl/>
        <w:tabs>
          <w:tab w:val="clear" w:pos="567"/>
        </w:tabs>
        <w:adjustRightInd/>
        <w:snapToGrid/>
        <w:spacing w:line="240" w:lineRule="auto"/>
        <w:jc w:val="center"/>
        <w:textAlignment w:val="auto"/>
        <w:rPr>
          <w:b/>
        </w:rPr>
      </w:pPr>
    </w:p>
    <w:p w14:paraId="0AC61B46" w14:textId="77777777" w:rsidR="000A273F" w:rsidRPr="00501641" w:rsidRDefault="000A273F" w:rsidP="00415394">
      <w:pPr>
        <w:widowControl/>
        <w:tabs>
          <w:tab w:val="clear" w:pos="567"/>
        </w:tabs>
        <w:adjustRightInd/>
        <w:snapToGrid/>
        <w:spacing w:line="240" w:lineRule="auto"/>
        <w:jc w:val="center"/>
        <w:textAlignment w:val="auto"/>
        <w:rPr>
          <w:b/>
        </w:rPr>
      </w:pPr>
    </w:p>
    <w:p w14:paraId="3FDFFCD5" w14:textId="77777777" w:rsidR="000A273F" w:rsidRPr="00501641" w:rsidRDefault="000A273F" w:rsidP="00415394">
      <w:pPr>
        <w:widowControl/>
        <w:tabs>
          <w:tab w:val="clear" w:pos="567"/>
        </w:tabs>
        <w:adjustRightInd/>
        <w:snapToGrid/>
        <w:spacing w:line="240" w:lineRule="auto"/>
        <w:jc w:val="center"/>
        <w:textAlignment w:val="auto"/>
        <w:rPr>
          <w:b/>
        </w:rPr>
      </w:pPr>
    </w:p>
    <w:p w14:paraId="0EA911C1" w14:textId="6ED2020B" w:rsidR="00B71183" w:rsidRPr="00501641" w:rsidRDefault="00D61AF0" w:rsidP="00415394">
      <w:pPr>
        <w:widowControl/>
        <w:tabs>
          <w:tab w:val="clear" w:pos="567"/>
        </w:tabs>
        <w:adjustRightInd/>
        <w:snapToGrid/>
        <w:spacing w:line="240" w:lineRule="auto"/>
        <w:jc w:val="center"/>
        <w:textAlignment w:val="auto"/>
        <w:rPr>
          <w:b/>
        </w:rPr>
      </w:pPr>
      <w:r w:rsidRPr="00501641">
        <w:rPr>
          <w:lang w:val="es"/>
        </w:rPr>
        <w:br w:type="page"/>
      </w:r>
      <w:r w:rsidRPr="00501641">
        <w:rPr>
          <w:b/>
          <w:bCs/>
        </w:rPr>
        <w:lastRenderedPageBreak/>
        <w:t>PROYECTO DE PROGRAMA Y PRESUPUESTO (2022-2025)– PRIMER BIENIO (2022-2023)</w:t>
      </w:r>
      <w:r w:rsidRPr="00501641">
        <w:rPr>
          <w:noProof/>
          <w:lang w:val="fr-FR" w:eastAsia="fr-FR"/>
        </w:rPr>
        <w:drawing>
          <wp:inline distT="0" distB="0" distL="0" distR="0" wp14:anchorId="5D562A25" wp14:editId="4D9BADCC">
            <wp:extent cx="6193790" cy="30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3790" cy="30480"/>
                    </a:xfrm>
                    <a:prstGeom prst="rect">
                      <a:avLst/>
                    </a:prstGeom>
                    <a:noFill/>
                  </pic:spPr>
                </pic:pic>
              </a:graphicData>
            </a:graphic>
          </wp:inline>
        </w:drawing>
      </w:r>
    </w:p>
    <w:p w14:paraId="35514EB2" w14:textId="4A0426A5" w:rsidR="00936F2C" w:rsidRPr="00501641" w:rsidRDefault="00936F2C">
      <w:pPr>
        <w:widowControl/>
        <w:tabs>
          <w:tab w:val="clear" w:pos="567"/>
        </w:tabs>
        <w:adjustRightInd/>
        <w:snapToGrid/>
        <w:spacing w:line="240" w:lineRule="auto"/>
        <w:jc w:val="left"/>
        <w:textAlignment w:val="auto"/>
        <w:rPr>
          <w:i/>
        </w:rPr>
      </w:pPr>
    </w:p>
    <w:p w14:paraId="1C4B55DF" w14:textId="095CDC0E" w:rsidR="002E3D9D" w:rsidRPr="00501641" w:rsidRDefault="002D1F1D">
      <w:pPr>
        <w:widowControl/>
        <w:tabs>
          <w:tab w:val="clear" w:pos="567"/>
        </w:tabs>
        <w:adjustRightInd/>
        <w:snapToGrid/>
        <w:spacing w:line="240" w:lineRule="auto"/>
        <w:jc w:val="left"/>
        <w:textAlignment w:val="auto"/>
        <w:rPr>
          <w:i/>
        </w:rPr>
      </w:pPr>
      <w:r w:rsidRPr="00501641">
        <w:rPr>
          <w:i/>
          <w:iCs/>
        </w:rPr>
        <w:t xml:space="preserve">[abstract from document </w:t>
      </w:r>
      <w:hyperlink r:id="rId23" w:history="1">
        <w:r w:rsidRPr="00501641">
          <w:rPr>
            <w:rStyle w:val="Hyperlink"/>
            <w:i/>
            <w:iCs/>
          </w:rPr>
          <w:t>41 C/5 Draft</w:t>
        </w:r>
      </w:hyperlink>
      <w:r w:rsidRPr="00501641">
        <w:rPr>
          <w:i/>
          <w:iCs/>
        </w:rPr>
        <w:t xml:space="preserve">, volume 2: </w:t>
      </w:r>
      <w:r w:rsidRPr="00501641">
        <w:rPr>
          <w:rFonts w:ascii="Helvetica" w:hAnsi="Helvetica"/>
          <w:b/>
          <w:bCs/>
          <w:color w:val="333333"/>
          <w:shd w:val="clear" w:color="auto" w:fill="FFFFFF"/>
        </w:rPr>
        <w:t xml:space="preserve">Proyecto de </w:t>
      </w:r>
      <w:proofErr w:type="spellStart"/>
      <w:r w:rsidRPr="00501641">
        <w:rPr>
          <w:rFonts w:ascii="Helvetica" w:hAnsi="Helvetica"/>
          <w:b/>
          <w:bCs/>
          <w:color w:val="333333"/>
          <w:shd w:val="clear" w:color="auto" w:fill="FFFFFF"/>
        </w:rPr>
        <w:t>Programa</w:t>
      </w:r>
      <w:proofErr w:type="spellEnd"/>
      <w:r w:rsidRPr="00501641">
        <w:rPr>
          <w:rFonts w:ascii="Helvetica" w:hAnsi="Helvetica"/>
          <w:b/>
          <w:bCs/>
          <w:color w:val="333333"/>
          <w:shd w:val="clear" w:color="auto" w:fill="FFFFFF"/>
        </w:rPr>
        <w:t xml:space="preserve"> y </w:t>
      </w:r>
      <w:proofErr w:type="spellStart"/>
      <w:r w:rsidRPr="00501641">
        <w:rPr>
          <w:rFonts w:ascii="Helvetica" w:hAnsi="Helvetica"/>
          <w:b/>
          <w:bCs/>
          <w:color w:val="333333"/>
          <w:shd w:val="clear" w:color="auto" w:fill="FFFFFF"/>
        </w:rPr>
        <w:t>Presupuesto</w:t>
      </w:r>
      <w:proofErr w:type="spellEnd"/>
      <w:r w:rsidRPr="00501641">
        <w:rPr>
          <w:rFonts w:ascii="Helvetica" w:hAnsi="Helvetica"/>
          <w:b/>
          <w:bCs/>
          <w:color w:val="333333"/>
          <w:shd w:val="clear" w:color="auto" w:fill="FFFFFF"/>
        </w:rPr>
        <w:t xml:space="preserve">, Primer </w:t>
      </w:r>
      <w:proofErr w:type="spellStart"/>
      <w:r w:rsidRPr="00501641">
        <w:rPr>
          <w:rFonts w:ascii="Helvetica" w:hAnsi="Helvetica"/>
          <w:b/>
          <w:bCs/>
          <w:color w:val="333333"/>
          <w:shd w:val="clear" w:color="auto" w:fill="FFFFFF"/>
        </w:rPr>
        <w:t>bienio</w:t>
      </w:r>
      <w:proofErr w:type="spellEnd"/>
      <w:r w:rsidRPr="00501641">
        <w:rPr>
          <w:rFonts w:ascii="Helvetica" w:hAnsi="Helvetica"/>
          <w:b/>
          <w:bCs/>
          <w:color w:val="333333"/>
          <w:shd w:val="clear" w:color="auto" w:fill="FFFFFF"/>
        </w:rPr>
        <w:t xml:space="preserve"> (2022-2023)</w:t>
      </w:r>
      <w:r w:rsidRPr="00501641">
        <w:rPr>
          <w:i/>
          <w:iCs/>
        </w:rPr>
        <w:t>.]</w:t>
      </w:r>
    </w:p>
    <w:p w14:paraId="1836950D" w14:textId="07EFAA3F" w:rsidR="002E3D9D" w:rsidRPr="00501641" w:rsidRDefault="002E3D9D">
      <w:pPr>
        <w:widowControl/>
        <w:tabs>
          <w:tab w:val="clear" w:pos="567"/>
        </w:tabs>
        <w:adjustRightInd/>
        <w:snapToGrid/>
        <w:spacing w:line="240" w:lineRule="auto"/>
        <w:jc w:val="left"/>
        <w:textAlignment w:val="auto"/>
        <w:rPr>
          <w:i/>
        </w:rPr>
      </w:pPr>
    </w:p>
    <w:p w14:paraId="508B2D81" w14:textId="7C16E436" w:rsidR="002E3D9D" w:rsidRPr="00501641" w:rsidRDefault="00BE3612" w:rsidP="00BE3612">
      <w:pPr>
        <w:widowControl/>
        <w:tabs>
          <w:tab w:val="clear" w:pos="567"/>
        </w:tabs>
        <w:adjustRightInd/>
        <w:snapToGrid/>
        <w:spacing w:line="240" w:lineRule="auto"/>
        <w:jc w:val="left"/>
        <w:textAlignment w:val="auto"/>
        <w:rPr>
          <w:b/>
          <w:bCs/>
          <w:iCs/>
        </w:rPr>
      </w:pPr>
      <w:r w:rsidRPr="00501641">
        <w:rPr>
          <w:b/>
          <w:bCs/>
        </w:rPr>
        <w:t>COMISIÓN OCEANOGRÁFICA INTERGUBERNAMENTAL</w:t>
      </w:r>
    </w:p>
    <w:p w14:paraId="12B9F4B8" w14:textId="41F08A1A" w:rsidR="002E3D9D" w:rsidRPr="00501641" w:rsidRDefault="002E3D9D">
      <w:pPr>
        <w:widowControl/>
        <w:tabs>
          <w:tab w:val="clear" w:pos="567"/>
        </w:tabs>
        <w:adjustRightInd/>
        <w:snapToGrid/>
        <w:spacing w:line="240" w:lineRule="auto"/>
        <w:jc w:val="left"/>
        <w:textAlignment w:val="auto"/>
        <w:rPr>
          <w:i/>
        </w:rPr>
      </w:pPr>
    </w:p>
    <w:p w14:paraId="43EEEBC6" w14:textId="004059F8" w:rsidR="002D1F1D" w:rsidRPr="00501641" w:rsidRDefault="002D1F1D" w:rsidP="002D1F1D">
      <w:pPr>
        <w:widowControl/>
        <w:tabs>
          <w:tab w:val="clear" w:pos="567"/>
          <w:tab w:val="left" w:pos="1134"/>
        </w:tabs>
        <w:adjustRightInd/>
        <w:snapToGrid/>
        <w:spacing w:after="240" w:line="240" w:lineRule="auto"/>
        <w:textAlignment w:val="auto"/>
        <w:rPr>
          <w:iCs/>
        </w:rPr>
      </w:pPr>
      <w:r w:rsidRPr="00501641">
        <w:rPr>
          <w:bdr w:val="single" w:sz="4" w:space="0" w:color="auto"/>
        </w:rPr>
        <w:t>03001</w:t>
      </w:r>
      <w:r w:rsidRPr="00501641">
        <w:tab/>
      </w:r>
      <w:proofErr w:type="spellStart"/>
      <w:r w:rsidRPr="00501641">
        <w:t>En</w:t>
      </w:r>
      <w:proofErr w:type="spellEnd"/>
      <w:r w:rsidRPr="00501641">
        <w:t xml:space="preserve"> el </w:t>
      </w:r>
      <w:proofErr w:type="spellStart"/>
      <w:r w:rsidRPr="00501641">
        <w:t>periodo</w:t>
      </w:r>
      <w:proofErr w:type="spellEnd"/>
      <w:r w:rsidRPr="00501641">
        <w:t xml:space="preserve"> 2022-2025 </w:t>
      </w:r>
      <w:proofErr w:type="spellStart"/>
      <w:r w:rsidRPr="00501641">
        <w:t>puede</w:t>
      </w:r>
      <w:proofErr w:type="spellEnd"/>
      <w:r w:rsidRPr="00501641">
        <w:t xml:space="preserve"> </w:t>
      </w:r>
      <w:proofErr w:type="spellStart"/>
      <w:r w:rsidRPr="00501641">
        <w:t>producirse</w:t>
      </w:r>
      <w:proofErr w:type="spellEnd"/>
      <w:r w:rsidRPr="00501641">
        <w:t xml:space="preserve"> una </w:t>
      </w:r>
      <w:proofErr w:type="spellStart"/>
      <w:r w:rsidRPr="00501641">
        <w:t>transición</w:t>
      </w:r>
      <w:proofErr w:type="spellEnd"/>
      <w:r w:rsidRPr="00501641">
        <w:t xml:space="preserve"> </w:t>
      </w:r>
      <w:proofErr w:type="spellStart"/>
      <w:r w:rsidRPr="00501641">
        <w:t>acelerada</w:t>
      </w:r>
      <w:proofErr w:type="spellEnd"/>
      <w:r w:rsidRPr="00501641">
        <w:t xml:space="preserve"> </w:t>
      </w:r>
      <w:proofErr w:type="spellStart"/>
      <w:r w:rsidRPr="00501641">
        <w:t>hacia</w:t>
      </w:r>
      <w:proofErr w:type="spellEnd"/>
      <w:r w:rsidRPr="00501641">
        <w:t xml:space="preserve"> una </w:t>
      </w:r>
      <w:proofErr w:type="spellStart"/>
      <w:r w:rsidRPr="00501641">
        <w:t>gestión</w:t>
      </w:r>
      <w:proofErr w:type="spellEnd"/>
      <w:r w:rsidRPr="00501641">
        <w:t xml:space="preserve"> </w:t>
      </w:r>
      <w:proofErr w:type="spellStart"/>
      <w:r w:rsidRPr="00501641">
        <w:t>sostenible</w:t>
      </w:r>
      <w:proofErr w:type="spellEnd"/>
      <w:r w:rsidRPr="00501641">
        <w:t xml:space="preserve"> e </w:t>
      </w:r>
      <w:proofErr w:type="spellStart"/>
      <w:r w:rsidRPr="00501641">
        <w:t>integrada</w:t>
      </w:r>
      <w:proofErr w:type="spellEnd"/>
      <w:r w:rsidRPr="00501641">
        <w:t xml:space="preserve"> del </w:t>
      </w:r>
      <w:proofErr w:type="spellStart"/>
      <w:r w:rsidRPr="00501641">
        <w:t>océano</w:t>
      </w:r>
      <w:proofErr w:type="spellEnd"/>
      <w:r w:rsidRPr="00501641">
        <w:t xml:space="preserve"> que </w:t>
      </w:r>
      <w:proofErr w:type="spellStart"/>
      <w:r w:rsidRPr="00501641">
        <w:t>podría</w:t>
      </w:r>
      <w:proofErr w:type="spellEnd"/>
      <w:r w:rsidRPr="00501641">
        <w:t xml:space="preserve"> </w:t>
      </w:r>
      <w:proofErr w:type="spellStart"/>
      <w:r w:rsidRPr="00501641">
        <w:t>dar</w:t>
      </w:r>
      <w:proofErr w:type="spellEnd"/>
      <w:r w:rsidRPr="00501641">
        <w:t xml:space="preserve"> </w:t>
      </w:r>
      <w:proofErr w:type="spellStart"/>
      <w:r w:rsidRPr="00501641">
        <w:t>lugar</w:t>
      </w:r>
      <w:proofErr w:type="spellEnd"/>
      <w:r w:rsidRPr="00501641">
        <w:t xml:space="preserve"> a una </w:t>
      </w:r>
      <w:proofErr w:type="spellStart"/>
      <w:r w:rsidRPr="00501641">
        <w:t>inversión</w:t>
      </w:r>
      <w:proofErr w:type="spellEnd"/>
      <w:r w:rsidRPr="00501641">
        <w:t xml:space="preserve">, al </w:t>
      </w:r>
      <w:proofErr w:type="spellStart"/>
      <w:r w:rsidRPr="00501641">
        <w:t>menos</w:t>
      </w:r>
      <w:proofErr w:type="spellEnd"/>
      <w:r w:rsidRPr="00501641">
        <w:t xml:space="preserve"> </w:t>
      </w:r>
      <w:proofErr w:type="spellStart"/>
      <w:r w:rsidRPr="00501641">
        <w:t>parcial</w:t>
      </w:r>
      <w:proofErr w:type="spellEnd"/>
      <w:r w:rsidRPr="00501641">
        <w:t xml:space="preserve">, del </w:t>
      </w:r>
      <w:proofErr w:type="spellStart"/>
      <w:r w:rsidRPr="00501641">
        <w:t>deterioro</w:t>
      </w:r>
      <w:proofErr w:type="spellEnd"/>
      <w:r w:rsidRPr="00501641">
        <w:t xml:space="preserve"> de la </w:t>
      </w:r>
      <w:proofErr w:type="spellStart"/>
      <w:r w:rsidRPr="00501641">
        <w:t>salud</w:t>
      </w:r>
      <w:proofErr w:type="spellEnd"/>
      <w:r w:rsidRPr="00501641">
        <w:t xml:space="preserve"> del </w:t>
      </w:r>
      <w:proofErr w:type="spellStart"/>
      <w:r w:rsidRPr="00501641">
        <w:t>océano</w:t>
      </w:r>
      <w:proofErr w:type="spellEnd"/>
      <w:r w:rsidRPr="00501641">
        <w:t xml:space="preserve">. La Comisión </w:t>
      </w:r>
      <w:proofErr w:type="spellStart"/>
      <w:r w:rsidRPr="00501641">
        <w:t>Oceanográfica</w:t>
      </w:r>
      <w:proofErr w:type="spellEnd"/>
      <w:r w:rsidRPr="00501641">
        <w:t xml:space="preserve"> </w:t>
      </w:r>
      <w:proofErr w:type="spellStart"/>
      <w:r w:rsidRPr="00501641">
        <w:t>Intergubernamental</w:t>
      </w:r>
      <w:proofErr w:type="spellEnd"/>
      <w:r w:rsidRPr="00501641">
        <w:t xml:space="preserve"> (COI), </w:t>
      </w:r>
      <w:proofErr w:type="spellStart"/>
      <w:r w:rsidRPr="00501641">
        <w:t>guiada</w:t>
      </w:r>
      <w:proofErr w:type="spellEnd"/>
      <w:r w:rsidRPr="00501641">
        <w:t xml:space="preserve"> por los </w:t>
      </w:r>
      <w:proofErr w:type="spellStart"/>
      <w:r w:rsidRPr="00501641">
        <w:t>objetivos</w:t>
      </w:r>
      <w:proofErr w:type="spellEnd"/>
      <w:r w:rsidRPr="00501641">
        <w:t xml:space="preserve"> de alto </w:t>
      </w:r>
      <w:proofErr w:type="spellStart"/>
      <w:r w:rsidRPr="00501641">
        <w:t>nivel</w:t>
      </w:r>
      <w:proofErr w:type="spellEnd"/>
      <w:r w:rsidRPr="00501641">
        <w:t xml:space="preserve"> de </w:t>
      </w:r>
      <w:proofErr w:type="spellStart"/>
      <w:r w:rsidRPr="00501641">
        <w:t>su</w:t>
      </w:r>
      <w:proofErr w:type="spellEnd"/>
      <w:r w:rsidRPr="00501641">
        <w:t xml:space="preserve"> </w:t>
      </w:r>
      <w:proofErr w:type="spellStart"/>
      <w:r w:rsidRPr="00501641">
        <w:t>Estrategia</w:t>
      </w:r>
      <w:proofErr w:type="spellEnd"/>
      <w:r w:rsidRPr="00501641">
        <w:t xml:space="preserve"> a </w:t>
      </w:r>
      <w:proofErr w:type="spellStart"/>
      <w:r w:rsidRPr="00501641">
        <w:t>Plazo</w:t>
      </w:r>
      <w:proofErr w:type="spellEnd"/>
      <w:r w:rsidRPr="00501641">
        <w:t xml:space="preserve"> Medio para 2014-2021, ha </w:t>
      </w:r>
      <w:proofErr w:type="spellStart"/>
      <w:r w:rsidRPr="00501641">
        <w:t>desempeñado</w:t>
      </w:r>
      <w:proofErr w:type="spellEnd"/>
      <w:r w:rsidRPr="00501641">
        <w:t xml:space="preserve"> un </w:t>
      </w:r>
      <w:proofErr w:type="spellStart"/>
      <w:r w:rsidRPr="00501641">
        <w:t>papel</w:t>
      </w:r>
      <w:proofErr w:type="spellEnd"/>
      <w:r w:rsidRPr="00501641">
        <w:t xml:space="preserve"> </w:t>
      </w:r>
      <w:proofErr w:type="spellStart"/>
      <w:r w:rsidRPr="00501641">
        <w:t>decisivo</w:t>
      </w:r>
      <w:proofErr w:type="spellEnd"/>
      <w:r w:rsidRPr="00501641">
        <w:t xml:space="preserve"> para </w:t>
      </w:r>
      <w:proofErr w:type="spellStart"/>
      <w:r w:rsidRPr="00501641">
        <w:t>fomentar</w:t>
      </w:r>
      <w:proofErr w:type="spellEnd"/>
      <w:r w:rsidRPr="00501641">
        <w:t xml:space="preserve"> </w:t>
      </w:r>
      <w:proofErr w:type="spellStart"/>
      <w:r w:rsidRPr="00501641">
        <w:t>este</w:t>
      </w:r>
      <w:proofErr w:type="spellEnd"/>
      <w:r w:rsidRPr="00501641">
        <w:t xml:space="preserve"> </w:t>
      </w:r>
      <w:proofErr w:type="spellStart"/>
      <w:r w:rsidRPr="00501641">
        <w:t>incipiente</w:t>
      </w:r>
      <w:proofErr w:type="spellEnd"/>
      <w:r w:rsidRPr="00501641">
        <w:t xml:space="preserve"> </w:t>
      </w:r>
      <w:proofErr w:type="spellStart"/>
      <w:r w:rsidRPr="00501641">
        <w:t>cambio</w:t>
      </w:r>
      <w:proofErr w:type="spellEnd"/>
      <w:r w:rsidRPr="00501641">
        <w:t xml:space="preserve"> fundamental, </w:t>
      </w:r>
      <w:proofErr w:type="spellStart"/>
      <w:r w:rsidRPr="00501641">
        <w:t>así</w:t>
      </w:r>
      <w:proofErr w:type="spellEnd"/>
      <w:r w:rsidRPr="00501641">
        <w:t xml:space="preserve"> </w:t>
      </w:r>
      <w:proofErr w:type="spellStart"/>
      <w:r w:rsidRPr="00501641">
        <w:t>como</w:t>
      </w:r>
      <w:proofErr w:type="spellEnd"/>
      <w:r w:rsidRPr="00501641">
        <w:t xml:space="preserve"> la </w:t>
      </w:r>
      <w:proofErr w:type="spellStart"/>
      <w:r w:rsidRPr="00501641">
        <w:t>visión</w:t>
      </w:r>
      <w:proofErr w:type="spellEnd"/>
      <w:r w:rsidRPr="00501641">
        <w:t xml:space="preserve"> que lo </w:t>
      </w:r>
      <w:proofErr w:type="spellStart"/>
      <w:r w:rsidRPr="00501641">
        <w:t>sustenta</w:t>
      </w:r>
      <w:proofErr w:type="spellEnd"/>
      <w:r w:rsidRPr="00501641">
        <w:t xml:space="preserve">. La COI ha </w:t>
      </w:r>
      <w:proofErr w:type="spellStart"/>
      <w:r w:rsidRPr="00501641">
        <w:t>coordinado</w:t>
      </w:r>
      <w:proofErr w:type="spellEnd"/>
      <w:r w:rsidRPr="00501641">
        <w:t xml:space="preserve"> el Sistema Mundial de </w:t>
      </w:r>
      <w:proofErr w:type="spellStart"/>
      <w:r w:rsidRPr="00501641">
        <w:t>Observación</w:t>
      </w:r>
      <w:proofErr w:type="spellEnd"/>
      <w:r w:rsidRPr="00501641">
        <w:t xml:space="preserve"> del </w:t>
      </w:r>
      <w:proofErr w:type="spellStart"/>
      <w:r w:rsidRPr="00501641">
        <w:t>Océano</w:t>
      </w:r>
      <w:proofErr w:type="spellEnd"/>
      <w:r w:rsidRPr="00501641">
        <w:t xml:space="preserve"> (GOOS), ha </w:t>
      </w:r>
      <w:proofErr w:type="spellStart"/>
      <w:r w:rsidRPr="00501641">
        <w:t>facilitado</w:t>
      </w:r>
      <w:proofErr w:type="spellEnd"/>
      <w:r w:rsidRPr="00501641">
        <w:t xml:space="preserve"> el </w:t>
      </w:r>
      <w:proofErr w:type="spellStart"/>
      <w:r w:rsidRPr="00501641">
        <w:t>intercambio</w:t>
      </w:r>
      <w:proofErr w:type="spellEnd"/>
      <w:r w:rsidRPr="00501641">
        <w:t xml:space="preserve"> </w:t>
      </w:r>
      <w:proofErr w:type="spellStart"/>
      <w:r w:rsidRPr="00501641">
        <w:t>internacional</w:t>
      </w:r>
      <w:proofErr w:type="spellEnd"/>
      <w:r w:rsidRPr="00501641">
        <w:t xml:space="preserve"> de </w:t>
      </w:r>
      <w:proofErr w:type="spellStart"/>
      <w:r w:rsidRPr="00501641">
        <w:t>datos</w:t>
      </w:r>
      <w:proofErr w:type="spellEnd"/>
      <w:r w:rsidRPr="00501641">
        <w:t xml:space="preserve"> y la </w:t>
      </w:r>
      <w:proofErr w:type="spellStart"/>
      <w:r w:rsidRPr="00501641">
        <w:t>investigación</w:t>
      </w:r>
      <w:proofErr w:type="spellEnd"/>
      <w:r w:rsidRPr="00501641">
        <w:t xml:space="preserve"> de </w:t>
      </w:r>
      <w:proofErr w:type="spellStart"/>
      <w:r w:rsidRPr="00501641">
        <w:t>vanguardia</w:t>
      </w:r>
      <w:proofErr w:type="spellEnd"/>
      <w:r w:rsidRPr="00501641">
        <w:t xml:space="preserve">, ha </w:t>
      </w:r>
      <w:proofErr w:type="spellStart"/>
      <w:r w:rsidRPr="00501641">
        <w:t>promovido</w:t>
      </w:r>
      <w:proofErr w:type="spellEnd"/>
      <w:r w:rsidRPr="00501641">
        <w:t xml:space="preserve"> los </w:t>
      </w:r>
      <w:proofErr w:type="spellStart"/>
      <w:r w:rsidRPr="00501641">
        <w:t>servicios</w:t>
      </w:r>
      <w:proofErr w:type="spellEnd"/>
      <w:r w:rsidRPr="00501641">
        <w:t xml:space="preserve"> </w:t>
      </w:r>
      <w:proofErr w:type="spellStart"/>
      <w:r w:rsidRPr="00501641">
        <w:t>oceánicos</w:t>
      </w:r>
      <w:proofErr w:type="spellEnd"/>
      <w:r w:rsidRPr="00501641">
        <w:t xml:space="preserve"> y </w:t>
      </w:r>
      <w:proofErr w:type="spellStart"/>
      <w:r w:rsidRPr="00501641">
        <w:t>contribuido</w:t>
      </w:r>
      <w:proofErr w:type="spellEnd"/>
      <w:r w:rsidRPr="00501641">
        <w:t xml:space="preserve"> a las </w:t>
      </w:r>
      <w:proofErr w:type="spellStart"/>
      <w:r w:rsidRPr="00501641">
        <w:t>evaluaciones</w:t>
      </w:r>
      <w:proofErr w:type="spellEnd"/>
      <w:r w:rsidRPr="00501641">
        <w:t xml:space="preserve">, ha </w:t>
      </w:r>
      <w:proofErr w:type="spellStart"/>
      <w:r w:rsidRPr="00501641">
        <w:t>trabajado</w:t>
      </w:r>
      <w:proofErr w:type="spellEnd"/>
      <w:r w:rsidRPr="00501641">
        <w:t xml:space="preserve"> </w:t>
      </w:r>
      <w:proofErr w:type="spellStart"/>
      <w:r w:rsidRPr="00501641">
        <w:t>en</w:t>
      </w:r>
      <w:proofErr w:type="spellEnd"/>
      <w:r w:rsidRPr="00501641">
        <w:t xml:space="preserve"> la </w:t>
      </w:r>
      <w:proofErr w:type="spellStart"/>
      <w:r w:rsidRPr="00501641">
        <w:t>interfaz</w:t>
      </w:r>
      <w:proofErr w:type="spellEnd"/>
      <w:r w:rsidRPr="00501641">
        <w:t xml:space="preserve"> </w:t>
      </w:r>
      <w:proofErr w:type="spellStart"/>
      <w:r w:rsidRPr="00501641">
        <w:t>ciencia-política-sociedad</w:t>
      </w:r>
      <w:proofErr w:type="spellEnd"/>
      <w:r w:rsidRPr="00501641">
        <w:t xml:space="preserve">, ha </w:t>
      </w:r>
      <w:proofErr w:type="spellStart"/>
      <w:r w:rsidRPr="00501641">
        <w:t>apoyado</w:t>
      </w:r>
      <w:proofErr w:type="spellEnd"/>
      <w:r w:rsidRPr="00501641">
        <w:t xml:space="preserve"> el </w:t>
      </w:r>
      <w:proofErr w:type="spellStart"/>
      <w:r w:rsidRPr="00501641">
        <w:t>desarrollo</w:t>
      </w:r>
      <w:proofErr w:type="spellEnd"/>
      <w:r w:rsidRPr="00501641">
        <w:t xml:space="preserve"> de </w:t>
      </w:r>
      <w:proofErr w:type="spellStart"/>
      <w:r w:rsidRPr="00501641">
        <w:t>capacidades</w:t>
      </w:r>
      <w:proofErr w:type="spellEnd"/>
      <w:r w:rsidRPr="00501641">
        <w:t xml:space="preserve"> </w:t>
      </w:r>
      <w:proofErr w:type="spellStart"/>
      <w:r w:rsidRPr="00501641">
        <w:t>en</w:t>
      </w:r>
      <w:proofErr w:type="spellEnd"/>
      <w:r w:rsidRPr="00501641">
        <w:t xml:space="preserve"> sus 150 </w:t>
      </w:r>
      <w:proofErr w:type="spellStart"/>
      <w:r w:rsidRPr="00501641">
        <w:t>Estados</w:t>
      </w:r>
      <w:proofErr w:type="spellEnd"/>
      <w:r w:rsidRPr="00501641">
        <w:t xml:space="preserve"> </w:t>
      </w:r>
      <w:proofErr w:type="spellStart"/>
      <w:r w:rsidRPr="00501641">
        <w:t>Miembros</w:t>
      </w:r>
      <w:proofErr w:type="spellEnd"/>
      <w:r w:rsidRPr="00501641">
        <w:t xml:space="preserve"> y ha </w:t>
      </w:r>
      <w:proofErr w:type="spellStart"/>
      <w:r w:rsidRPr="00501641">
        <w:t>emprendido</w:t>
      </w:r>
      <w:proofErr w:type="spellEnd"/>
      <w:r w:rsidRPr="00501641">
        <w:t xml:space="preserve"> una </w:t>
      </w:r>
      <w:proofErr w:type="spellStart"/>
      <w:r w:rsidRPr="00501641">
        <w:t>labor</w:t>
      </w:r>
      <w:proofErr w:type="spellEnd"/>
      <w:r w:rsidRPr="00501641">
        <w:t xml:space="preserve"> sin </w:t>
      </w:r>
      <w:proofErr w:type="spellStart"/>
      <w:r w:rsidRPr="00501641">
        <w:t>precedentes</w:t>
      </w:r>
      <w:proofErr w:type="spellEnd"/>
      <w:r w:rsidRPr="00501641">
        <w:t xml:space="preserve"> —por </w:t>
      </w:r>
      <w:proofErr w:type="spellStart"/>
      <w:r w:rsidRPr="00501641">
        <w:t>su</w:t>
      </w:r>
      <w:proofErr w:type="spellEnd"/>
      <w:r w:rsidRPr="00501641">
        <w:t xml:space="preserve"> </w:t>
      </w:r>
      <w:proofErr w:type="spellStart"/>
      <w:r w:rsidRPr="00501641">
        <w:t>inclusividad</w:t>
      </w:r>
      <w:proofErr w:type="spellEnd"/>
      <w:r w:rsidRPr="00501641">
        <w:t xml:space="preserve">, </w:t>
      </w:r>
      <w:proofErr w:type="spellStart"/>
      <w:r w:rsidRPr="00501641">
        <w:t>ambición</w:t>
      </w:r>
      <w:proofErr w:type="spellEnd"/>
      <w:r w:rsidRPr="00501641">
        <w:t xml:space="preserve">, </w:t>
      </w:r>
      <w:proofErr w:type="spellStart"/>
      <w:r w:rsidRPr="00501641">
        <w:t>escala</w:t>
      </w:r>
      <w:proofErr w:type="spellEnd"/>
      <w:r w:rsidRPr="00501641">
        <w:t xml:space="preserve"> e </w:t>
      </w:r>
      <w:proofErr w:type="spellStart"/>
      <w:r w:rsidRPr="00501641">
        <w:t>intensidad</w:t>
      </w:r>
      <w:proofErr w:type="spellEnd"/>
      <w:r w:rsidRPr="00501641">
        <w:t xml:space="preserve">— con la </w:t>
      </w:r>
      <w:proofErr w:type="spellStart"/>
      <w:r w:rsidRPr="00501641">
        <w:t>preparación</w:t>
      </w:r>
      <w:proofErr w:type="spellEnd"/>
      <w:r w:rsidRPr="00501641">
        <w:t xml:space="preserve"> del Decenio de las </w:t>
      </w:r>
      <w:proofErr w:type="spellStart"/>
      <w:r w:rsidRPr="00501641">
        <w:t>Naciones</w:t>
      </w:r>
      <w:proofErr w:type="spellEnd"/>
      <w:r w:rsidRPr="00501641">
        <w:t xml:space="preserve"> </w:t>
      </w:r>
      <w:proofErr w:type="spellStart"/>
      <w:r w:rsidRPr="00501641">
        <w:t>Unidas</w:t>
      </w:r>
      <w:proofErr w:type="spellEnd"/>
      <w:r w:rsidRPr="00501641">
        <w:t xml:space="preserve"> de las </w:t>
      </w:r>
      <w:proofErr w:type="spellStart"/>
      <w:r w:rsidRPr="00501641">
        <w:t>Ciencias</w:t>
      </w:r>
      <w:proofErr w:type="spellEnd"/>
      <w:r w:rsidRPr="00501641">
        <w:t xml:space="preserve"> </w:t>
      </w:r>
      <w:proofErr w:type="spellStart"/>
      <w:r w:rsidRPr="00501641">
        <w:t>Oceánicas</w:t>
      </w:r>
      <w:proofErr w:type="spellEnd"/>
      <w:r w:rsidRPr="00501641">
        <w:t xml:space="preserve"> para el Desarrollo </w:t>
      </w:r>
      <w:proofErr w:type="spellStart"/>
      <w:r w:rsidRPr="00501641">
        <w:t>Sostenible</w:t>
      </w:r>
      <w:proofErr w:type="spellEnd"/>
      <w:r w:rsidRPr="00501641">
        <w:t xml:space="preserve"> (2021-2030) (“Decenio del </w:t>
      </w:r>
      <w:proofErr w:type="spellStart"/>
      <w:r w:rsidRPr="00501641">
        <w:t>Océano</w:t>
      </w:r>
      <w:proofErr w:type="spellEnd"/>
      <w:r w:rsidRPr="00501641">
        <w:t xml:space="preserve">”). El Decenio del </w:t>
      </w:r>
      <w:proofErr w:type="spellStart"/>
      <w:r w:rsidRPr="00501641">
        <w:t>Océano</w:t>
      </w:r>
      <w:proofErr w:type="spellEnd"/>
      <w:r w:rsidRPr="00501641">
        <w:t xml:space="preserve"> </w:t>
      </w:r>
      <w:proofErr w:type="spellStart"/>
      <w:r w:rsidRPr="00501641">
        <w:t>ofrecerá</w:t>
      </w:r>
      <w:proofErr w:type="spellEnd"/>
      <w:r w:rsidRPr="00501641">
        <w:t xml:space="preserve"> una </w:t>
      </w:r>
      <w:proofErr w:type="spellStart"/>
      <w:r w:rsidRPr="00501641">
        <w:t>oportunidad</w:t>
      </w:r>
      <w:proofErr w:type="spellEnd"/>
      <w:r w:rsidRPr="00501641">
        <w:t xml:space="preserve"> </w:t>
      </w:r>
      <w:proofErr w:type="spellStart"/>
      <w:r w:rsidRPr="00501641">
        <w:t>excepcional</w:t>
      </w:r>
      <w:proofErr w:type="spellEnd"/>
      <w:r w:rsidRPr="00501641">
        <w:t xml:space="preserve"> para que los </w:t>
      </w:r>
      <w:proofErr w:type="spellStart"/>
      <w:r w:rsidRPr="00501641">
        <w:t>países</w:t>
      </w:r>
      <w:proofErr w:type="spellEnd"/>
      <w:r w:rsidRPr="00501641">
        <w:t xml:space="preserve"> </w:t>
      </w:r>
      <w:proofErr w:type="spellStart"/>
      <w:r w:rsidRPr="00501641">
        <w:t>colaboren</w:t>
      </w:r>
      <w:proofErr w:type="spellEnd"/>
      <w:r w:rsidRPr="00501641">
        <w:t xml:space="preserve"> </w:t>
      </w:r>
      <w:proofErr w:type="spellStart"/>
      <w:r w:rsidRPr="00501641">
        <w:t>en</w:t>
      </w:r>
      <w:proofErr w:type="spellEnd"/>
      <w:r w:rsidRPr="00501641">
        <w:t xml:space="preserve"> la </w:t>
      </w:r>
      <w:proofErr w:type="spellStart"/>
      <w:r w:rsidRPr="00501641">
        <w:t>generación</w:t>
      </w:r>
      <w:proofErr w:type="spellEnd"/>
      <w:r w:rsidRPr="00501641">
        <w:t xml:space="preserve"> de las </w:t>
      </w:r>
      <w:proofErr w:type="spellStart"/>
      <w:r w:rsidRPr="00501641">
        <w:t>ciencias</w:t>
      </w:r>
      <w:proofErr w:type="spellEnd"/>
      <w:r w:rsidRPr="00501641">
        <w:t xml:space="preserve"> </w:t>
      </w:r>
      <w:proofErr w:type="spellStart"/>
      <w:r w:rsidRPr="00501641">
        <w:t>oceánicas</w:t>
      </w:r>
      <w:proofErr w:type="spellEnd"/>
      <w:r w:rsidRPr="00501641">
        <w:t xml:space="preserve"> que se </w:t>
      </w:r>
      <w:proofErr w:type="spellStart"/>
      <w:r w:rsidRPr="00501641">
        <w:t>necesitan</w:t>
      </w:r>
      <w:proofErr w:type="spellEnd"/>
      <w:r w:rsidRPr="00501641">
        <w:t xml:space="preserve">, a </w:t>
      </w:r>
      <w:proofErr w:type="spellStart"/>
      <w:r w:rsidRPr="00501641">
        <w:t>escala</w:t>
      </w:r>
      <w:proofErr w:type="spellEnd"/>
      <w:r w:rsidRPr="00501641">
        <w:t xml:space="preserve"> </w:t>
      </w:r>
      <w:proofErr w:type="spellStart"/>
      <w:r w:rsidRPr="00501641">
        <w:t>mundial</w:t>
      </w:r>
      <w:proofErr w:type="spellEnd"/>
      <w:r w:rsidRPr="00501641">
        <w:t xml:space="preserve">, para </w:t>
      </w:r>
      <w:proofErr w:type="spellStart"/>
      <w:r w:rsidRPr="00501641">
        <w:t>contribuir</w:t>
      </w:r>
      <w:proofErr w:type="spellEnd"/>
      <w:r w:rsidRPr="00501641">
        <w:t xml:space="preserve"> al </w:t>
      </w:r>
      <w:proofErr w:type="spellStart"/>
      <w:r w:rsidRPr="00501641">
        <w:t>desarrollo</w:t>
      </w:r>
      <w:proofErr w:type="spellEnd"/>
      <w:r w:rsidRPr="00501641">
        <w:t xml:space="preserve"> </w:t>
      </w:r>
      <w:proofErr w:type="spellStart"/>
      <w:r w:rsidRPr="00501641">
        <w:t>sostenible</w:t>
      </w:r>
      <w:proofErr w:type="spellEnd"/>
      <w:r w:rsidRPr="00501641">
        <w:t xml:space="preserve"> de </w:t>
      </w:r>
      <w:proofErr w:type="spellStart"/>
      <w:r w:rsidRPr="00501641">
        <w:t>nuestro</w:t>
      </w:r>
      <w:proofErr w:type="spellEnd"/>
      <w:r w:rsidRPr="00501641">
        <w:t xml:space="preserve"> </w:t>
      </w:r>
      <w:proofErr w:type="spellStart"/>
      <w:r w:rsidRPr="00501641">
        <w:t>océano</w:t>
      </w:r>
      <w:proofErr w:type="spellEnd"/>
      <w:r w:rsidRPr="00501641">
        <w:t xml:space="preserve"> </w:t>
      </w:r>
      <w:proofErr w:type="spellStart"/>
      <w:r w:rsidRPr="00501641">
        <w:t>compartido</w:t>
      </w:r>
      <w:proofErr w:type="spellEnd"/>
      <w:r w:rsidRPr="00501641">
        <w:t xml:space="preserve">, y </w:t>
      </w:r>
      <w:proofErr w:type="spellStart"/>
      <w:r w:rsidRPr="00501641">
        <w:t>contribuirá</w:t>
      </w:r>
      <w:proofErr w:type="spellEnd"/>
      <w:r w:rsidRPr="00501641">
        <w:t xml:space="preserve"> a </w:t>
      </w:r>
      <w:proofErr w:type="spellStart"/>
      <w:r w:rsidRPr="00501641">
        <w:t>poner</w:t>
      </w:r>
      <w:proofErr w:type="spellEnd"/>
      <w:r w:rsidRPr="00501641">
        <w:t xml:space="preserve"> de relieve los </w:t>
      </w:r>
      <w:proofErr w:type="spellStart"/>
      <w:r w:rsidRPr="00501641">
        <w:t>beneficios</w:t>
      </w:r>
      <w:proofErr w:type="spellEnd"/>
      <w:r w:rsidRPr="00501641">
        <w:t xml:space="preserve"> que la COI y sus </w:t>
      </w:r>
      <w:proofErr w:type="spellStart"/>
      <w:r w:rsidRPr="00501641">
        <w:t>programas</w:t>
      </w:r>
      <w:proofErr w:type="spellEnd"/>
      <w:r w:rsidRPr="00501641">
        <w:t xml:space="preserve"> </w:t>
      </w:r>
      <w:proofErr w:type="spellStart"/>
      <w:r w:rsidRPr="00501641">
        <w:t>aportan</w:t>
      </w:r>
      <w:proofErr w:type="spellEnd"/>
      <w:r w:rsidRPr="00501641">
        <w:t xml:space="preserve"> a la </w:t>
      </w:r>
      <w:proofErr w:type="spellStart"/>
      <w:r w:rsidRPr="00501641">
        <w:t>sociedad</w:t>
      </w:r>
      <w:proofErr w:type="spellEnd"/>
      <w:r w:rsidRPr="00501641">
        <w:t xml:space="preserve">. A </w:t>
      </w:r>
      <w:proofErr w:type="spellStart"/>
      <w:r w:rsidRPr="00501641">
        <w:t>partir</w:t>
      </w:r>
      <w:proofErr w:type="spellEnd"/>
      <w:r w:rsidRPr="00501641">
        <w:t xml:space="preserve"> de 2021, una de las </w:t>
      </w:r>
      <w:proofErr w:type="spellStart"/>
      <w:r w:rsidRPr="00501641">
        <w:t>principales</w:t>
      </w:r>
      <w:proofErr w:type="spellEnd"/>
      <w:r w:rsidRPr="00501641">
        <w:t xml:space="preserve"> </w:t>
      </w:r>
      <w:proofErr w:type="spellStart"/>
      <w:r w:rsidRPr="00501641">
        <w:t>responsabilidades</w:t>
      </w:r>
      <w:proofErr w:type="spellEnd"/>
      <w:r w:rsidRPr="00501641">
        <w:t xml:space="preserve"> de la COI </w:t>
      </w:r>
      <w:proofErr w:type="spellStart"/>
      <w:r w:rsidRPr="00501641">
        <w:t>consiste</w:t>
      </w:r>
      <w:proofErr w:type="spellEnd"/>
      <w:r w:rsidRPr="00501641">
        <w:t xml:space="preserve"> </w:t>
      </w:r>
      <w:proofErr w:type="spellStart"/>
      <w:r w:rsidRPr="00501641">
        <w:t>en</w:t>
      </w:r>
      <w:proofErr w:type="spellEnd"/>
      <w:r w:rsidRPr="00501641">
        <w:t xml:space="preserve"> </w:t>
      </w:r>
      <w:proofErr w:type="spellStart"/>
      <w:r w:rsidRPr="00501641">
        <w:t>apoyar</w:t>
      </w:r>
      <w:proofErr w:type="spellEnd"/>
      <w:r w:rsidRPr="00501641">
        <w:t xml:space="preserve"> y </w:t>
      </w:r>
      <w:proofErr w:type="spellStart"/>
      <w:r w:rsidRPr="00501641">
        <w:t>facilitar</w:t>
      </w:r>
      <w:proofErr w:type="spellEnd"/>
      <w:r w:rsidRPr="00501641">
        <w:t xml:space="preserve"> la </w:t>
      </w:r>
      <w:proofErr w:type="spellStart"/>
      <w:r w:rsidRPr="00501641">
        <w:t>ejecución</w:t>
      </w:r>
      <w:proofErr w:type="spellEnd"/>
      <w:r w:rsidRPr="00501641">
        <w:t xml:space="preserve"> del Decenio del </w:t>
      </w:r>
      <w:proofErr w:type="spellStart"/>
      <w:r w:rsidRPr="00501641">
        <w:t>Océano</w:t>
      </w:r>
      <w:proofErr w:type="spellEnd"/>
      <w:r w:rsidRPr="00501641">
        <w:t xml:space="preserve"> e </w:t>
      </w:r>
      <w:proofErr w:type="spellStart"/>
      <w:r w:rsidRPr="00501641">
        <w:t>informar</w:t>
      </w:r>
      <w:proofErr w:type="spellEnd"/>
      <w:r w:rsidRPr="00501641">
        <w:t xml:space="preserve"> </w:t>
      </w:r>
      <w:proofErr w:type="spellStart"/>
      <w:r w:rsidRPr="00501641">
        <w:t>periódicamente</w:t>
      </w:r>
      <w:proofErr w:type="spellEnd"/>
      <w:r w:rsidRPr="00501641">
        <w:t xml:space="preserve"> de los </w:t>
      </w:r>
      <w:proofErr w:type="spellStart"/>
      <w:r w:rsidRPr="00501641">
        <w:t>progresos</w:t>
      </w:r>
      <w:proofErr w:type="spellEnd"/>
      <w:r w:rsidRPr="00501641">
        <w:t xml:space="preserve"> </w:t>
      </w:r>
      <w:proofErr w:type="spellStart"/>
      <w:r w:rsidRPr="00501641">
        <w:t>realizados</w:t>
      </w:r>
      <w:proofErr w:type="spellEnd"/>
      <w:r w:rsidRPr="00501641">
        <w:t xml:space="preserve"> a los </w:t>
      </w:r>
      <w:proofErr w:type="spellStart"/>
      <w:r w:rsidRPr="00501641">
        <w:t>Estados</w:t>
      </w:r>
      <w:proofErr w:type="spellEnd"/>
      <w:r w:rsidRPr="00501641">
        <w:t xml:space="preserve"> </w:t>
      </w:r>
      <w:proofErr w:type="spellStart"/>
      <w:r w:rsidRPr="00501641">
        <w:t>Miembros</w:t>
      </w:r>
      <w:proofErr w:type="spellEnd"/>
      <w:r w:rsidRPr="00501641">
        <w:t xml:space="preserve"> y a las </w:t>
      </w:r>
      <w:proofErr w:type="spellStart"/>
      <w:r w:rsidRPr="00501641">
        <w:t>Naciones</w:t>
      </w:r>
      <w:proofErr w:type="spellEnd"/>
      <w:r w:rsidRPr="00501641">
        <w:t xml:space="preserve"> </w:t>
      </w:r>
      <w:proofErr w:type="spellStart"/>
      <w:r w:rsidRPr="00501641">
        <w:t>Unidas</w:t>
      </w:r>
      <w:proofErr w:type="spellEnd"/>
      <w:r w:rsidRPr="00501641">
        <w:t xml:space="preserve">, </w:t>
      </w:r>
      <w:proofErr w:type="spellStart"/>
      <w:r w:rsidRPr="00501641">
        <w:t>proporcionando</w:t>
      </w:r>
      <w:proofErr w:type="spellEnd"/>
      <w:r w:rsidRPr="00501641">
        <w:t xml:space="preserve"> un </w:t>
      </w:r>
      <w:proofErr w:type="spellStart"/>
      <w:r w:rsidRPr="00501641">
        <w:t>fuerte</w:t>
      </w:r>
      <w:proofErr w:type="spellEnd"/>
      <w:r w:rsidRPr="00501641">
        <w:t xml:space="preserve"> </w:t>
      </w:r>
      <w:proofErr w:type="spellStart"/>
      <w:r w:rsidRPr="00501641">
        <w:t>estímulo</w:t>
      </w:r>
      <w:proofErr w:type="spellEnd"/>
      <w:r w:rsidRPr="00501641">
        <w:t xml:space="preserve"> para la </w:t>
      </w:r>
      <w:proofErr w:type="spellStart"/>
      <w:r w:rsidRPr="00501641">
        <w:t>aplicación</w:t>
      </w:r>
      <w:proofErr w:type="spellEnd"/>
      <w:r w:rsidRPr="00501641">
        <w:t xml:space="preserve"> de las </w:t>
      </w:r>
      <w:proofErr w:type="spellStart"/>
      <w:r w:rsidRPr="00501641">
        <w:t>prioridades</w:t>
      </w:r>
      <w:proofErr w:type="spellEnd"/>
      <w:r w:rsidRPr="00501641">
        <w:t xml:space="preserve"> </w:t>
      </w:r>
      <w:proofErr w:type="spellStart"/>
      <w:r w:rsidRPr="00501641">
        <w:t>mundiales</w:t>
      </w:r>
      <w:proofErr w:type="spellEnd"/>
      <w:r w:rsidRPr="00501641">
        <w:t xml:space="preserve"> </w:t>
      </w:r>
      <w:proofErr w:type="spellStart"/>
      <w:r w:rsidRPr="00501641">
        <w:t>acordadas</w:t>
      </w:r>
      <w:proofErr w:type="spellEnd"/>
      <w:r w:rsidRPr="00501641">
        <w:t xml:space="preserve"> </w:t>
      </w:r>
      <w:proofErr w:type="spellStart"/>
      <w:r w:rsidRPr="00501641">
        <w:t>colectivamente</w:t>
      </w:r>
      <w:proofErr w:type="spellEnd"/>
      <w:r w:rsidRPr="00501641">
        <w:t>.</w:t>
      </w:r>
    </w:p>
    <w:p w14:paraId="2A476EAA" w14:textId="6D0BBC60" w:rsidR="002E3D9D" w:rsidRPr="00501641" w:rsidRDefault="002D1F1D" w:rsidP="002D1F1D">
      <w:pPr>
        <w:widowControl/>
        <w:tabs>
          <w:tab w:val="clear" w:pos="567"/>
          <w:tab w:val="left" w:pos="1134"/>
        </w:tabs>
        <w:adjustRightInd/>
        <w:snapToGrid/>
        <w:spacing w:after="240" w:line="240" w:lineRule="auto"/>
        <w:textAlignment w:val="auto"/>
        <w:rPr>
          <w:iCs/>
        </w:rPr>
      </w:pPr>
      <w:r w:rsidRPr="00501641">
        <w:rPr>
          <w:bdr w:val="single" w:sz="4" w:space="0" w:color="auto"/>
        </w:rPr>
        <w:t>03002</w:t>
      </w:r>
      <w:r w:rsidRPr="00501641">
        <w:tab/>
        <w:t xml:space="preserve">La </w:t>
      </w:r>
      <w:proofErr w:type="spellStart"/>
      <w:r w:rsidRPr="00501641">
        <w:t>pandemia</w:t>
      </w:r>
      <w:proofErr w:type="spellEnd"/>
      <w:r w:rsidRPr="00501641">
        <w:t xml:space="preserve"> de COVID-19 ha </w:t>
      </w:r>
      <w:proofErr w:type="spellStart"/>
      <w:r w:rsidRPr="00501641">
        <w:t>afectado</w:t>
      </w:r>
      <w:proofErr w:type="spellEnd"/>
      <w:r w:rsidRPr="00501641">
        <w:t xml:space="preserve"> a la COI y a las </w:t>
      </w:r>
      <w:proofErr w:type="spellStart"/>
      <w:r w:rsidRPr="00501641">
        <w:t>actividades</w:t>
      </w:r>
      <w:proofErr w:type="spellEnd"/>
      <w:r w:rsidRPr="00501641">
        <w:t xml:space="preserve"> </w:t>
      </w:r>
      <w:proofErr w:type="spellStart"/>
      <w:r w:rsidRPr="00501641">
        <w:t>oceánicas</w:t>
      </w:r>
      <w:proofErr w:type="spellEnd"/>
      <w:r w:rsidRPr="00501641">
        <w:t xml:space="preserve">, </w:t>
      </w:r>
      <w:proofErr w:type="spellStart"/>
      <w:r w:rsidRPr="00501641">
        <w:t>pero</w:t>
      </w:r>
      <w:proofErr w:type="spellEnd"/>
      <w:r w:rsidRPr="00501641">
        <w:t xml:space="preserve"> la Comisión ha </w:t>
      </w:r>
      <w:proofErr w:type="spellStart"/>
      <w:r w:rsidRPr="00501641">
        <w:t>ajustado</w:t>
      </w:r>
      <w:proofErr w:type="spellEnd"/>
      <w:r w:rsidRPr="00501641">
        <w:t xml:space="preserve"> </w:t>
      </w:r>
      <w:proofErr w:type="spellStart"/>
      <w:r w:rsidRPr="00501641">
        <w:t>su</w:t>
      </w:r>
      <w:proofErr w:type="spellEnd"/>
      <w:r w:rsidRPr="00501641">
        <w:t xml:space="preserve"> </w:t>
      </w:r>
      <w:proofErr w:type="spellStart"/>
      <w:r w:rsidRPr="00501641">
        <w:t>trabajo</w:t>
      </w:r>
      <w:proofErr w:type="spellEnd"/>
      <w:r w:rsidRPr="00501641">
        <w:t xml:space="preserve"> para </w:t>
      </w:r>
      <w:proofErr w:type="spellStart"/>
      <w:r w:rsidRPr="00501641">
        <w:t>atenuar</w:t>
      </w:r>
      <w:proofErr w:type="spellEnd"/>
      <w:r w:rsidRPr="00501641">
        <w:t xml:space="preserve"> las </w:t>
      </w:r>
      <w:proofErr w:type="spellStart"/>
      <w:r w:rsidRPr="00501641">
        <w:t>consecuencias</w:t>
      </w:r>
      <w:proofErr w:type="spellEnd"/>
      <w:r w:rsidRPr="00501641">
        <w:t xml:space="preserve">. El </w:t>
      </w:r>
      <w:proofErr w:type="spellStart"/>
      <w:r w:rsidRPr="00501641">
        <w:t>confinamiento</w:t>
      </w:r>
      <w:proofErr w:type="spellEnd"/>
      <w:r w:rsidRPr="00501641">
        <w:t xml:space="preserve"> </w:t>
      </w:r>
      <w:proofErr w:type="spellStart"/>
      <w:r w:rsidRPr="00501641">
        <w:t>tuvo</w:t>
      </w:r>
      <w:proofErr w:type="spellEnd"/>
      <w:r w:rsidRPr="00501641">
        <w:t xml:space="preserve"> un </w:t>
      </w:r>
      <w:proofErr w:type="spellStart"/>
      <w:r w:rsidRPr="00501641">
        <w:t>impacto</w:t>
      </w:r>
      <w:proofErr w:type="spellEnd"/>
      <w:r w:rsidRPr="00501641">
        <w:t xml:space="preserve"> </w:t>
      </w:r>
      <w:proofErr w:type="spellStart"/>
      <w:r w:rsidRPr="00501641">
        <w:t>negativo</w:t>
      </w:r>
      <w:proofErr w:type="spellEnd"/>
      <w:r w:rsidRPr="00501641">
        <w:t xml:space="preserve"> </w:t>
      </w:r>
      <w:proofErr w:type="spellStart"/>
      <w:r w:rsidRPr="00501641">
        <w:t>en</w:t>
      </w:r>
      <w:proofErr w:type="spellEnd"/>
      <w:r w:rsidRPr="00501641">
        <w:t xml:space="preserve"> las </w:t>
      </w:r>
      <w:proofErr w:type="spellStart"/>
      <w:r w:rsidRPr="00501641">
        <w:t>observaciones</w:t>
      </w:r>
      <w:proofErr w:type="spellEnd"/>
      <w:r w:rsidRPr="00501641">
        <w:t xml:space="preserve"> del </w:t>
      </w:r>
      <w:proofErr w:type="spellStart"/>
      <w:r w:rsidRPr="00501641">
        <w:t>océano</w:t>
      </w:r>
      <w:proofErr w:type="spellEnd"/>
      <w:r w:rsidRPr="00501641">
        <w:t xml:space="preserve">. La </w:t>
      </w:r>
      <w:proofErr w:type="spellStart"/>
      <w:r w:rsidRPr="00501641">
        <w:t>comunidad</w:t>
      </w:r>
      <w:proofErr w:type="spellEnd"/>
      <w:r w:rsidRPr="00501641">
        <w:t xml:space="preserve"> de </w:t>
      </w:r>
      <w:proofErr w:type="spellStart"/>
      <w:r w:rsidRPr="00501641">
        <w:t>observación</w:t>
      </w:r>
      <w:proofErr w:type="spellEnd"/>
      <w:r w:rsidRPr="00501641">
        <w:t xml:space="preserve"> del </w:t>
      </w:r>
      <w:proofErr w:type="spellStart"/>
      <w:r w:rsidRPr="00501641">
        <w:t>océano</w:t>
      </w:r>
      <w:proofErr w:type="spellEnd"/>
      <w:r w:rsidRPr="00501641">
        <w:t xml:space="preserve"> se </w:t>
      </w:r>
      <w:proofErr w:type="spellStart"/>
      <w:r w:rsidRPr="00501641">
        <w:t>mostró</w:t>
      </w:r>
      <w:proofErr w:type="spellEnd"/>
      <w:r w:rsidRPr="00501641">
        <w:t xml:space="preserve"> </w:t>
      </w:r>
      <w:proofErr w:type="spellStart"/>
      <w:r w:rsidRPr="00501641">
        <w:t>resiliente</w:t>
      </w:r>
      <w:proofErr w:type="spellEnd"/>
      <w:r w:rsidRPr="00501641">
        <w:t xml:space="preserve"> y </w:t>
      </w:r>
      <w:proofErr w:type="spellStart"/>
      <w:r w:rsidRPr="00501641">
        <w:t>encontró</w:t>
      </w:r>
      <w:proofErr w:type="spellEnd"/>
      <w:r w:rsidRPr="00501641">
        <w:t xml:space="preserve"> </w:t>
      </w:r>
      <w:proofErr w:type="spellStart"/>
      <w:r w:rsidRPr="00501641">
        <w:t>soluciones</w:t>
      </w:r>
      <w:proofErr w:type="spellEnd"/>
      <w:r w:rsidRPr="00501641">
        <w:t xml:space="preserve"> para </w:t>
      </w:r>
      <w:proofErr w:type="spellStart"/>
      <w:r w:rsidRPr="00501641">
        <w:t>mantener</w:t>
      </w:r>
      <w:proofErr w:type="spellEnd"/>
      <w:r w:rsidRPr="00501641">
        <w:t xml:space="preserve"> el </w:t>
      </w:r>
      <w:proofErr w:type="spellStart"/>
      <w:r w:rsidRPr="00501641">
        <w:t>sistema</w:t>
      </w:r>
      <w:proofErr w:type="spellEnd"/>
      <w:r w:rsidRPr="00501641">
        <w:t xml:space="preserve"> </w:t>
      </w:r>
      <w:proofErr w:type="spellStart"/>
      <w:r w:rsidRPr="00501641">
        <w:t>en</w:t>
      </w:r>
      <w:proofErr w:type="spellEnd"/>
      <w:r w:rsidRPr="00501641">
        <w:t xml:space="preserve"> </w:t>
      </w:r>
      <w:proofErr w:type="spellStart"/>
      <w:r w:rsidRPr="00501641">
        <w:t>funcionamiento</w:t>
      </w:r>
      <w:proofErr w:type="spellEnd"/>
      <w:r w:rsidRPr="00501641">
        <w:t xml:space="preserve"> </w:t>
      </w:r>
      <w:proofErr w:type="spellStart"/>
      <w:r w:rsidRPr="00501641">
        <w:t>en</w:t>
      </w:r>
      <w:proofErr w:type="spellEnd"/>
      <w:r w:rsidRPr="00501641">
        <w:t xml:space="preserve"> la </w:t>
      </w:r>
      <w:proofErr w:type="spellStart"/>
      <w:r w:rsidRPr="00501641">
        <w:t>medida</w:t>
      </w:r>
      <w:proofErr w:type="spellEnd"/>
      <w:r w:rsidRPr="00501641">
        <w:t xml:space="preserve"> de lo </w:t>
      </w:r>
      <w:proofErr w:type="spellStart"/>
      <w:r w:rsidRPr="00501641">
        <w:t>posible</w:t>
      </w:r>
      <w:proofErr w:type="spellEnd"/>
      <w:r w:rsidRPr="00501641">
        <w:t xml:space="preserve">, </w:t>
      </w:r>
      <w:proofErr w:type="spellStart"/>
      <w:r w:rsidRPr="00501641">
        <w:t>en</w:t>
      </w:r>
      <w:proofErr w:type="spellEnd"/>
      <w:r w:rsidRPr="00501641">
        <w:t xml:space="preserve"> </w:t>
      </w:r>
      <w:proofErr w:type="gramStart"/>
      <w:r w:rsidRPr="00501641">
        <w:t xml:space="preserve">particular </w:t>
      </w:r>
      <w:proofErr w:type="spellStart"/>
      <w:r w:rsidRPr="00501641">
        <w:t>intensificando</w:t>
      </w:r>
      <w:proofErr w:type="spellEnd"/>
      <w:proofErr w:type="gramEnd"/>
      <w:r w:rsidRPr="00501641">
        <w:t xml:space="preserve"> la </w:t>
      </w:r>
      <w:proofErr w:type="spellStart"/>
      <w:r w:rsidRPr="00501641">
        <w:t>colaboración</w:t>
      </w:r>
      <w:proofErr w:type="spellEnd"/>
      <w:r w:rsidRPr="00501641">
        <w:t xml:space="preserve"> </w:t>
      </w:r>
      <w:proofErr w:type="spellStart"/>
      <w:r w:rsidRPr="00501641">
        <w:t>internacional</w:t>
      </w:r>
      <w:proofErr w:type="spellEnd"/>
      <w:r w:rsidRPr="00501641">
        <w:t xml:space="preserve">. La </w:t>
      </w:r>
      <w:proofErr w:type="spellStart"/>
      <w:r w:rsidRPr="00501641">
        <w:t>necesidad</w:t>
      </w:r>
      <w:proofErr w:type="spellEnd"/>
      <w:r w:rsidRPr="00501641">
        <w:t xml:space="preserve"> de </w:t>
      </w:r>
      <w:proofErr w:type="spellStart"/>
      <w:r w:rsidRPr="00501641">
        <w:t>mantener</w:t>
      </w:r>
      <w:proofErr w:type="spellEnd"/>
      <w:r w:rsidRPr="00501641">
        <w:t xml:space="preserve"> el </w:t>
      </w:r>
      <w:proofErr w:type="spellStart"/>
      <w:r w:rsidRPr="00501641">
        <w:t>distanciamiento</w:t>
      </w:r>
      <w:proofErr w:type="spellEnd"/>
      <w:r w:rsidRPr="00501641">
        <w:t xml:space="preserve"> </w:t>
      </w:r>
      <w:proofErr w:type="spellStart"/>
      <w:r w:rsidRPr="00501641">
        <w:t>físico</w:t>
      </w:r>
      <w:proofErr w:type="spellEnd"/>
      <w:r w:rsidRPr="00501641">
        <w:t xml:space="preserve"> </w:t>
      </w:r>
      <w:proofErr w:type="spellStart"/>
      <w:r w:rsidRPr="00501641">
        <w:t>alteró</w:t>
      </w:r>
      <w:proofErr w:type="spellEnd"/>
      <w:r w:rsidRPr="00501641">
        <w:t xml:space="preserve"> las </w:t>
      </w:r>
      <w:proofErr w:type="spellStart"/>
      <w:r w:rsidRPr="00501641">
        <w:t>modalidades</w:t>
      </w:r>
      <w:proofErr w:type="spellEnd"/>
      <w:r w:rsidRPr="00501641">
        <w:t xml:space="preserve"> de </w:t>
      </w:r>
      <w:proofErr w:type="spellStart"/>
      <w:r w:rsidRPr="00501641">
        <w:t>reacción</w:t>
      </w:r>
      <w:proofErr w:type="spellEnd"/>
      <w:r w:rsidRPr="00501641">
        <w:t xml:space="preserve"> ante las </w:t>
      </w:r>
      <w:proofErr w:type="spellStart"/>
      <w:r w:rsidRPr="00501641">
        <w:t>alertas</w:t>
      </w:r>
      <w:proofErr w:type="spellEnd"/>
      <w:r w:rsidRPr="00501641">
        <w:t xml:space="preserve"> de tsunami. El COI </w:t>
      </w:r>
      <w:proofErr w:type="spellStart"/>
      <w:r w:rsidRPr="00501641">
        <w:t>publicó</w:t>
      </w:r>
      <w:proofErr w:type="spellEnd"/>
      <w:r w:rsidRPr="00501641">
        <w:t xml:space="preserve"> </w:t>
      </w:r>
      <w:proofErr w:type="spellStart"/>
      <w:r w:rsidRPr="00501641">
        <w:t>unas</w:t>
      </w:r>
      <w:proofErr w:type="spellEnd"/>
      <w:r w:rsidRPr="00501641">
        <w:t xml:space="preserve"> directrices </w:t>
      </w:r>
      <w:proofErr w:type="spellStart"/>
      <w:r w:rsidRPr="00501641">
        <w:t>actualizadas</w:t>
      </w:r>
      <w:proofErr w:type="spellEnd"/>
      <w:r w:rsidRPr="00501641">
        <w:t xml:space="preserve"> para la </w:t>
      </w:r>
      <w:proofErr w:type="spellStart"/>
      <w:r w:rsidRPr="00501641">
        <w:t>evacuación</w:t>
      </w:r>
      <w:proofErr w:type="spellEnd"/>
      <w:r w:rsidRPr="00501641">
        <w:t xml:space="preserve"> </w:t>
      </w:r>
      <w:proofErr w:type="spellStart"/>
      <w:r w:rsidRPr="00501641">
        <w:t>en</w:t>
      </w:r>
      <w:proofErr w:type="spellEnd"/>
      <w:r w:rsidRPr="00501641">
        <w:t xml:space="preserve"> </w:t>
      </w:r>
      <w:proofErr w:type="spellStart"/>
      <w:r w:rsidRPr="00501641">
        <w:t>condiciones</w:t>
      </w:r>
      <w:proofErr w:type="spellEnd"/>
      <w:r w:rsidRPr="00501641">
        <w:t xml:space="preserve"> de </w:t>
      </w:r>
      <w:proofErr w:type="spellStart"/>
      <w:r w:rsidRPr="00501641">
        <w:t>confinamiento</w:t>
      </w:r>
      <w:proofErr w:type="spellEnd"/>
      <w:r w:rsidRPr="00501641">
        <w:t xml:space="preserve">. Las </w:t>
      </w:r>
      <w:proofErr w:type="spellStart"/>
      <w:r w:rsidRPr="00501641">
        <w:t>presiones</w:t>
      </w:r>
      <w:proofErr w:type="spellEnd"/>
      <w:r w:rsidRPr="00501641">
        <w:t xml:space="preserve"> </w:t>
      </w:r>
      <w:proofErr w:type="spellStart"/>
      <w:r w:rsidRPr="00501641">
        <w:t>posteriores</w:t>
      </w:r>
      <w:proofErr w:type="spellEnd"/>
      <w:r w:rsidRPr="00501641">
        <w:t xml:space="preserve"> a la crisis </w:t>
      </w:r>
      <w:proofErr w:type="spellStart"/>
      <w:r w:rsidRPr="00501641">
        <w:t>pueden</w:t>
      </w:r>
      <w:proofErr w:type="spellEnd"/>
      <w:r w:rsidRPr="00501641">
        <w:t xml:space="preserve"> </w:t>
      </w:r>
      <w:proofErr w:type="spellStart"/>
      <w:r w:rsidRPr="00501641">
        <w:t>llevar</w:t>
      </w:r>
      <w:proofErr w:type="spellEnd"/>
      <w:r w:rsidRPr="00501641">
        <w:t xml:space="preserve"> a una </w:t>
      </w:r>
      <w:proofErr w:type="spellStart"/>
      <w:r w:rsidRPr="00501641">
        <w:t>nueva</w:t>
      </w:r>
      <w:proofErr w:type="spellEnd"/>
      <w:r w:rsidRPr="00501641">
        <w:t xml:space="preserve"> </w:t>
      </w:r>
      <w:proofErr w:type="spellStart"/>
      <w:r w:rsidRPr="00501641">
        <w:t>reducción</w:t>
      </w:r>
      <w:proofErr w:type="spellEnd"/>
      <w:r w:rsidRPr="00501641">
        <w:t xml:space="preserve"> del </w:t>
      </w:r>
      <w:proofErr w:type="spellStart"/>
      <w:r w:rsidRPr="00501641">
        <w:t>presupuesto</w:t>
      </w:r>
      <w:proofErr w:type="spellEnd"/>
      <w:r w:rsidRPr="00501641">
        <w:t xml:space="preserve"> global </w:t>
      </w:r>
      <w:proofErr w:type="spellStart"/>
      <w:r w:rsidRPr="00501641">
        <w:t>ya</w:t>
      </w:r>
      <w:proofErr w:type="spellEnd"/>
      <w:r w:rsidRPr="00501641">
        <w:t xml:space="preserve"> de por </w:t>
      </w:r>
      <w:proofErr w:type="spellStart"/>
      <w:r w:rsidRPr="00501641">
        <w:t>sí</w:t>
      </w:r>
      <w:proofErr w:type="spellEnd"/>
      <w:r w:rsidRPr="00501641">
        <w:t xml:space="preserve"> </w:t>
      </w:r>
      <w:proofErr w:type="spellStart"/>
      <w:r w:rsidRPr="00501641">
        <w:t>exiguo</w:t>
      </w:r>
      <w:proofErr w:type="spellEnd"/>
      <w:r w:rsidRPr="00501641">
        <w:t xml:space="preserve"> que los </w:t>
      </w:r>
      <w:proofErr w:type="spellStart"/>
      <w:r w:rsidRPr="00501641">
        <w:t>países</w:t>
      </w:r>
      <w:proofErr w:type="spellEnd"/>
      <w:r w:rsidRPr="00501641">
        <w:t xml:space="preserve"> </w:t>
      </w:r>
      <w:proofErr w:type="spellStart"/>
      <w:r w:rsidRPr="00501641">
        <w:t>invierten</w:t>
      </w:r>
      <w:proofErr w:type="spellEnd"/>
      <w:r w:rsidRPr="00501641">
        <w:t xml:space="preserve"> </w:t>
      </w:r>
      <w:proofErr w:type="spellStart"/>
      <w:r w:rsidRPr="00501641">
        <w:t>en</w:t>
      </w:r>
      <w:proofErr w:type="spellEnd"/>
      <w:r w:rsidRPr="00501641">
        <w:t xml:space="preserve"> la </w:t>
      </w:r>
      <w:proofErr w:type="spellStart"/>
      <w:r w:rsidRPr="00501641">
        <w:t>investigación</w:t>
      </w:r>
      <w:proofErr w:type="spellEnd"/>
      <w:r w:rsidRPr="00501641">
        <w:t xml:space="preserve"> </w:t>
      </w:r>
      <w:proofErr w:type="spellStart"/>
      <w:r w:rsidRPr="00501641">
        <w:t>oceánica</w:t>
      </w:r>
      <w:proofErr w:type="spellEnd"/>
      <w:r w:rsidRPr="00501641">
        <w:t xml:space="preserve">. A </w:t>
      </w:r>
      <w:proofErr w:type="spellStart"/>
      <w:r w:rsidRPr="00501641">
        <w:t>través</w:t>
      </w:r>
      <w:proofErr w:type="spellEnd"/>
      <w:r w:rsidRPr="00501641">
        <w:t xml:space="preserve"> de </w:t>
      </w:r>
      <w:proofErr w:type="spellStart"/>
      <w:r w:rsidRPr="00501641">
        <w:t>su</w:t>
      </w:r>
      <w:proofErr w:type="spellEnd"/>
      <w:r w:rsidRPr="00501641">
        <w:t xml:space="preserve"> Informe Mundial </w:t>
      </w:r>
      <w:proofErr w:type="spellStart"/>
      <w:r w:rsidRPr="00501641">
        <w:t>sobre</w:t>
      </w:r>
      <w:proofErr w:type="spellEnd"/>
      <w:r w:rsidRPr="00501641">
        <w:t xml:space="preserve"> las </w:t>
      </w:r>
      <w:proofErr w:type="spellStart"/>
      <w:r w:rsidRPr="00501641">
        <w:t>Ciencias</w:t>
      </w:r>
      <w:proofErr w:type="spellEnd"/>
      <w:r w:rsidRPr="00501641">
        <w:t xml:space="preserve"> </w:t>
      </w:r>
      <w:proofErr w:type="spellStart"/>
      <w:r w:rsidRPr="00501641">
        <w:t>Oceánicas</w:t>
      </w:r>
      <w:proofErr w:type="spellEnd"/>
      <w:r w:rsidRPr="00501641">
        <w:t xml:space="preserve">, la COI </w:t>
      </w:r>
      <w:proofErr w:type="spellStart"/>
      <w:r w:rsidRPr="00501641">
        <w:t>seguirá</w:t>
      </w:r>
      <w:proofErr w:type="spellEnd"/>
      <w:r w:rsidRPr="00501641">
        <w:t xml:space="preserve"> </w:t>
      </w:r>
      <w:proofErr w:type="spellStart"/>
      <w:r w:rsidRPr="00501641">
        <w:t>vigilando</w:t>
      </w:r>
      <w:proofErr w:type="spellEnd"/>
      <w:r w:rsidRPr="00501641">
        <w:t xml:space="preserve"> las </w:t>
      </w:r>
      <w:proofErr w:type="spellStart"/>
      <w:r w:rsidRPr="00501641">
        <w:t>tendencias</w:t>
      </w:r>
      <w:proofErr w:type="spellEnd"/>
      <w:r w:rsidRPr="00501641">
        <w:t xml:space="preserve"> que </w:t>
      </w:r>
      <w:proofErr w:type="spellStart"/>
      <w:r w:rsidRPr="00501641">
        <w:t>podrían</w:t>
      </w:r>
      <w:proofErr w:type="spellEnd"/>
      <w:r w:rsidRPr="00501641">
        <w:t xml:space="preserve"> </w:t>
      </w:r>
      <w:proofErr w:type="spellStart"/>
      <w:r w:rsidRPr="00501641">
        <w:t>afectar</w:t>
      </w:r>
      <w:proofErr w:type="spellEnd"/>
      <w:r w:rsidRPr="00501641">
        <w:t xml:space="preserve"> </w:t>
      </w:r>
      <w:proofErr w:type="spellStart"/>
      <w:r w:rsidRPr="00501641">
        <w:t>negativamente</w:t>
      </w:r>
      <w:proofErr w:type="spellEnd"/>
      <w:r w:rsidRPr="00501641">
        <w:t xml:space="preserve"> a </w:t>
      </w:r>
      <w:proofErr w:type="spellStart"/>
      <w:r w:rsidRPr="00501641">
        <w:t>nuestra</w:t>
      </w:r>
      <w:proofErr w:type="spellEnd"/>
      <w:r w:rsidRPr="00501641">
        <w:t xml:space="preserve"> </w:t>
      </w:r>
      <w:proofErr w:type="spellStart"/>
      <w:r w:rsidRPr="00501641">
        <w:t>capacidad</w:t>
      </w:r>
      <w:proofErr w:type="spellEnd"/>
      <w:r w:rsidRPr="00501641">
        <w:t xml:space="preserve"> </w:t>
      </w:r>
      <w:proofErr w:type="spellStart"/>
      <w:r w:rsidRPr="00501641">
        <w:t>colectiva</w:t>
      </w:r>
      <w:proofErr w:type="spellEnd"/>
      <w:r w:rsidRPr="00501641">
        <w:t xml:space="preserve"> para </w:t>
      </w:r>
      <w:proofErr w:type="spellStart"/>
      <w:r w:rsidRPr="00501641">
        <w:t>atenuar</w:t>
      </w:r>
      <w:proofErr w:type="spellEnd"/>
      <w:r w:rsidRPr="00501641">
        <w:t xml:space="preserve"> los </w:t>
      </w:r>
      <w:proofErr w:type="spellStart"/>
      <w:r w:rsidRPr="00501641">
        <w:t>cambios</w:t>
      </w:r>
      <w:proofErr w:type="spellEnd"/>
      <w:r w:rsidRPr="00501641">
        <w:t xml:space="preserve"> </w:t>
      </w:r>
      <w:proofErr w:type="spellStart"/>
      <w:r w:rsidRPr="00501641">
        <w:t>oceánicos</w:t>
      </w:r>
      <w:proofErr w:type="spellEnd"/>
      <w:r w:rsidRPr="00501641">
        <w:t xml:space="preserve"> </w:t>
      </w:r>
      <w:proofErr w:type="spellStart"/>
      <w:r w:rsidRPr="00501641">
        <w:t>futuros</w:t>
      </w:r>
      <w:proofErr w:type="spellEnd"/>
      <w:r w:rsidRPr="00501641">
        <w:t xml:space="preserve"> y </w:t>
      </w:r>
      <w:proofErr w:type="spellStart"/>
      <w:r w:rsidRPr="00501641">
        <w:t>adaptarnos</w:t>
      </w:r>
      <w:proofErr w:type="spellEnd"/>
      <w:r w:rsidRPr="00501641">
        <w:t xml:space="preserve"> </w:t>
      </w:r>
      <w:proofErr w:type="gramStart"/>
      <w:r w:rsidRPr="00501641">
        <w:t>a</w:t>
      </w:r>
      <w:proofErr w:type="gramEnd"/>
      <w:r w:rsidRPr="00501641">
        <w:t xml:space="preserve"> </w:t>
      </w:r>
      <w:proofErr w:type="spellStart"/>
      <w:r w:rsidRPr="00501641">
        <w:t>ellos</w:t>
      </w:r>
      <w:proofErr w:type="spellEnd"/>
      <w:r w:rsidRPr="00501641">
        <w:t xml:space="preserve">, </w:t>
      </w:r>
      <w:proofErr w:type="spellStart"/>
      <w:r w:rsidRPr="00501641">
        <w:t>así</w:t>
      </w:r>
      <w:proofErr w:type="spellEnd"/>
      <w:r w:rsidRPr="00501641">
        <w:t xml:space="preserve"> </w:t>
      </w:r>
      <w:proofErr w:type="spellStart"/>
      <w:r w:rsidRPr="00501641">
        <w:t>como</w:t>
      </w:r>
      <w:proofErr w:type="spellEnd"/>
      <w:r w:rsidRPr="00501641">
        <w:t xml:space="preserve"> de “</w:t>
      </w:r>
      <w:proofErr w:type="spellStart"/>
      <w:r w:rsidRPr="00501641">
        <w:t>reconstruir</w:t>
      </w:r>
      <w:proofErr w:type="spellEnd"/>
      <w:r w:rsidRPr="00501641">
        <w:t xml:space="preserve"> para </w:t>
      </w:r>
      <w:proofErr w:type="spellStart"/>
      <w:r w:rsidRPr="00501641">
        <w:t>mejorar</w:t>
      </w:r>
      <w:proofErr w:type="spellEnd"/>
      <w:r w:rsidRPr="00501641">
        <w:t xml:space="preserve">”. A </w:t>
      </w:r>
      <w:proofErr w:type="spellStart"/>
      <w:r w:rsidRPr="00501641">
        <w:t>medida</w:t>
      </w:r>
      <w:proofErr w:type="spellEnd"/>
      <w:r w:rsidRPr="00501641">
        <w:t xml:space="preserve"> que la población </w:t>
      </w:r>
      <w:proofErr w:type="spellStart"/>
      <w:r w:rsidRPr="00501641">
        <w:t>humana</w:t>
      </w:r>
      <w:proofErr w:type="spellEnd"/>
      <w:r w:rsidRPr="00501641">
        <w:t xml:space="preserve"> </w:t>
      </w:r>
      <w:proofErr w:type="spellStart"/>
      <w:r w:rsidRPr="00501641">
        <w:t>sigue</w:t>
      </w:r>
      <w:proofErr w:type="spellEnd"/>
      <w:r w:rsidRPr="00501641">
        <w:t xml:space="preserve"> </w:t>
      </w:r>
      <w:proofErr w:type="spellStart"/>
      <w:r w:rsidRPr="00501641">
        <w:t>aumentando</w:t>
      </w:r>
      <w:proofErr w:type="spellEnd"/>
      <w:r w:rsidRPr="00501641">
        <w:t xml:space="preserve">, la </w:t>
      </w:r>
      <w:proofErr w:type="spellStart"/>
      <w:r w:rsidRPr="00501641">
        <w:t>sociedad</w:t>
      </w:r>
      <w:proofErr w:type="spellEnd"/>
      <w:r w:rsidRPr="00501641">
        <w:t xml:space="preserve"> </w:t>
      </w:r>
      <w:proofErr w:type="spellStart"/>
      <w:r w:rsidRPr="00501641">
        <w:t>recurre</w:t>
      </w:r>
      <w:proofErr w:type="spellEnd"/>
      <w:r w:rsidRPr="00501641">
        <w:t xml:space="preserve"> al </w:t>
      </w:r>
      <w:proofErr w:type="spellStart"/>
      <w:r w:rsidRPr="00501641">
        <w:t>océano</w:t>
      </w:r>
      <w:proofErr w:type="spellEnd"/>
      <w:r w:rsidRPr="00501641">
        <w:t xml:space="preserve"> </w:t>
      </w:r>
      <w:proofErr w:type="spellStart"/>
      <w:r w:rsidRPr="00501641">
        <w:t>en</w:t>
      </w:r>
      <w:proofErr w:type="spellEnd"/>
      <w:r w:rsidRPr="00501641">
        <w:t xml:space="preserve"> </w:t>
      </w:r>
      <w:proofErr w:type="spellStart"/>
      <w:r w:rsidRPr="00501641">
        <w:t>busca</w:t>
      </w:r>
      <w:proofErr w:type="spellEnd"/>
      <w:r w:rsidRPr="00501641">
        <w:t xml:space="preserve"> de </w:t>
      </w:r>
      <w:proofErr w:type="spellStart"/>
      <w:r w:rsidRPr="00501641">
        <w:t>mayores</w:t>
      </w:r>
      <w:proofErr w:type="spellEnd"/>
      <w:r w:rsidRPr="00501641">
        <w:t xml:space="preserve"> </w:t>
      </w:r>
      <w:proofErr w:type="spellStart"/>
      <w:r w:rsidRPr="00501641">
        <w:t>cantidades</w:t>
      </w:r>
      <w:proofErr w:type="spellEnd"/>
      <w:r w:rsidRPr="00501641">
        <w:t xml:space="preserve"> de </w:t>
      </w:r>
      <w:proofErr w:type="spellStart"/>
      <w:r w:rsidRPr="00501641">
        <w:t>alimentos</w:t>
      </w:r>
      <w:proofErr w:type="spellEnd"/>
      <w:r w:rsidRPr="00501641">
        <w:t xml:space="preserve">, </w:t>
      </w:r>
      <w:proofErr w:type="spellStart"/>
      <w:r w:rsidRPr="00501641">
        <w:t>recursos</w:t>
      </w:r>
      <w:proofErr w:type="spellEnd"/>
      <w:r w:rsidRPr="00501641">
        <w:t xml:space="preserve"> y </w:t>
      </w:r>
      <w:proofErr w:type="spellStart"/>
      <w:r w:rsidRPr="00501641">
        <w:t>servicios</w:t>
      </w:r>
      <w:proofErr w:type="spellEnd"/>
      <w:r w:rsidRPr="00501641">
        <w:t xml:space="preserve"> para </w:t>
      </w:r>
      <w:proofErr w:type="spellStart"/>
      <w:r w:rsidRPr="00501641">
        <w:t>apoyar</w:t>
      </w:r>
      <w:proofErr w:type="spellEnd"/>
      <w:r w:rsidRPr="00501641">
        <w:t xml:space="preserve"> el </w:t>
      </w:r>
      <w:proofErr w:type="spellStart"/>
      <w:r w:rsidRPr="00501641">
        <w:t>desarrollo</w:t>
      </w:r>
      <w:proofErr w:type="spellEnd"/>
      <w:r w:rsidRPr="00501641">
        <w:t xml:space="preserve"> </w:t>
      </w:r>
      <w:proofErr w:type="spellStart"/>
      <w:r w:rsidRPr="00501641">
        <w:t>económico</w:t>
      </w:r>
      <w:proofErr w:type="spellEnd"/>
      <w:r w:rsidRPr="00501641">
        <w:t xml:space="preserve"> y el </w:t>
      </w:r>
      <w:proofErr w:type="spellStart"/>
      <w:r w:rsidRPr="00501641">
        <w:t>bienestar</w:t>
      </w:r>
      <w:proofErr w:type="spellEnd"/>
      <w:r w:rsidRPr="00501641">
        <w:t xml:space="preserve"> social, </w:t>
      </w:r>
      <w:proofErr w:type="spellStart"/>
      <w:r w:rsidRPr="00501641">
        <w:t>incluida</w:t>
      </w:r>
      <w:proofErr w:type="spellEnd"/>
      <w:r w:rsidRPr="00501641">
        <w:t xml:space="preserve"> la </w:t>
      </w:r>
      <w:proofErr w:type="spellStart"/>
      <w:r w:rsidRPr="00501641">
        <w:t>salud</w:t>
      </w:r>
      <w:proofErr w:type="spellEnd"/>
      <w:r w:rsidRPr="00501641">
        <w:t xml:space="preserve"> </w:t>
      </w:r>
      <w:proofErr w:type="spellStart"/>
      <w:r w:rsidRPr="00501641">
        <w:t>humana</w:t>
      </w:r>
      <w:proofErr w:type="spellEnd"/>
      <w:r w:rsidRPr="00501641">
        <w:t xml:space="preserve">. El </w:t>
      </w:r>
      <w:proofErr w:type="spellStart"/>
      <w:r w:rsidRPr="00501641">
        <w:t>desarrollo</w:t>
      </w:r>
      <w:proofErr w:type="spellEnd"/>
      <w:r w:rsidRPr="00501641">
        <w:t xml:space="preserve"> y la </w:t>
      </w:r>
      <w:proofErr w:type="spellStart"/>
      <w:r w:rsidRPr="00501641">
        <w:t>gestión</w:t>
      </w:r>
      <w:proofErr w:type="spellEnd"/>
      <w:r w:rsidRPr="00501641">
        <w:t xml:space="preserve"> de la </w:t>
      </w:r>
      <w:proofErr w:type="spellStart"/>
      <w:r w:rsidRPr="00501641">
        <w:t>economía</w:t>
      </w:r>
      <w:proofErr w:type="spellEnd"/>
      <w:r w:rsidRPr="00501641">
        <w:t xml:space="preserve"> </w:t>
      </w:r>
      <w:proofErr w:type="spellStart"/>
      <w:r w:rsidRPr="00501641">
        <w:t>oceánica</w:t>
      </w:r>
      <w:proofErr w:type="spellEnd"/>
      <w:r w:rsidRPr="00501641">
        <w:t xml:space="preserve"> </w:t>
      </w:r>
      <w:proofErr w:type="spellStart"/>
      <w:r w:rsidRPr="00501641">
        <w:t>sostenible</w:t>
      </w:r>
      <w:proofErr w:type="spellEnd"/>
      <w:r w:rsidRPr="00501641">
        <w:t xml:space="preserve"> </w:t>
      </w:r>
      <w:proofErr w:type="spellStart"/>
      <w:r w:rsidRPr="00501641">
        <w:t>requerirán</w:t>
      </w:r>
      <w:proofErr w:type="spellEnd"/>
      <w:r w:rsidRPr="00501641">
        <w:t xml:space="preserve"> </w:t>
      </w:r>
      <w:proofErr w:type="spellStart"/>
      <w:r w:rsidRPr="00501641">
        <w:t>investigaciones</w:t>
      </w:r>
      <w:proofErr w:type="spellEnd"/>
      <w:r w:rsidRPr="00501641">
        <w:t xml:space="preserve"> </w:t>
      </w:r>
      <w:proofErr w:type="spellStart"/>
      <w:r w:rsidRPr="00501641">
        <w:t>científicas</w:t>
      </w:r>
      <w:proofErr w:type="spellEnd"/>
      <w:r w:rsidRPr="00501641">
        <w:t xml:space="preserve">, </w:t>
      </w:r>
      <w:proofErr w:type="spellStart"/>
      <w:r w:rsidRPr="00501641">
        <w:t>datos</w:t>
      </w:r>
      <w:proofErr w:type="spellEnd"/>
      <w:r w:rsidRPr="00501641">
        <w:t xml:space="preserve"> e </w:t>
      </w:r>
      <w:proofErr w:type="spellStart"/>
      <w:r w:rsidRPr="00501641">
        <w:t>información</w:t>
      </w:r>
      <w:proofErr w:type="spellEnd"/>
      <w:r w:rsidRPr="00501641">
        <w:t xml:space="preserve">, </w:t>
      </w:r>
      <w:proofErr w:type="spellStart"/>
      <w:r w:rsidRPr="00501641">
        <w:t>servicios</w:t>
      </w:r>
      <w:proofErr w:type="spellEnd"/>
      <w:r w:rsidRPr="00501641">
        <w:t xml:space="preserve"> y </w:t>
      </w:r>
      <w:proofErr w:type="spellStart"/>
      <w:r w:rsidRPr="00501641">
        <w:t>herramientas</w:t>
      </w:r>
      <w:proofErr w:type="spellEnd"/>
      <w:r w:rsidRPr="00501641">
        <w:t xml:space="preserve"> de </w:t>
      </w:r>
      <w:proofErr w:type="spellStart"/>
      <w:r w:rsidRPr="00501641">
        <w:t>apoyo</w:t>
      </w:r>
      <w:proofErr w:type="spellEnd"/>
      <w:r w:rsidRPr="00501641">
        <w:t xml:space="preserve"> a la </w:t>
      </w:r>
      <w:proofErr w:type="spellStart"/>
      <w:r w:rsidRPr="00501641">
        <w:t>adopción</w:t>
      </w:r>
      <w:proofErr w:type="spellEnd"/>
      <w:r w:rsidRPr="00501641">
        <w:t xml:space="preserve"> de </w:t>
      </w:r>
      <w:proofErr w:type="spellStart"/>
      <w:r w:rsidRPr="00501641">
        <w:t>decisiones</w:t>
      </w:r>
      <w:proofErr w:type="spellEnd"/>
      <w:r w:rsidRPr="00501641">
        <w:t xml:space="preserve"> para </w:t>
      </w:r>
      <w:proofErr w:type="spellStart"/>
      <w:r w:rsidRPr="00501641">
        <w:t>orientar</w:t>
      </w:r>
      <w:proofErr w:type="spellEnd"/>
      <w:r w:rsidRPr="00501641">
        <w:t xml:space="preserve"> las </w:t>
      </w:r>
      <w:proofErr w:type="spellStart"/>
      <w:r w:rsidRPr="00501641">
        <w:t>inversiones</w:t>
      </w:r>
      <w:proofErr w:type="spellEnd"/>
      <w:r w:rsidRPr="00501641">
        <w:t xml:space="preserve"> </w:t>
      </w:r>
      <w:proofErr w:type="spellStart"/>
      <w:r w:rsidRPr="00501641">
        <w:t>presentes</w:t>
      </w:r>
      <w:proofErr w:type="spellEnd"/>
      <w:r w:rsidRPr="00501641">
        <w:t xml:space="preserve"> y </w:t>
      </w:r>
      <w:proofErr w:type="spellStart"/>
      <w:r w:rsidRPr="00501641">
        <w:t>futuras</w:t>
      </w:r>
      <w:proofErr w:type="spellEnd"/>
      <w:r w:rsidRPr="00501641">
        <w:t xml:space="preserve">, </w:t>
      </w:r>
      <w:proofErr w:type="spellStart"/>
      <w:r w:rsidRPr="00501641">
        <w:t>garantizando</w:t>
      </w:r>
      <w:proofErr w:type="spellEnd"/>
      <w:r w:rsidRPr="00501641">
        <w:t xml:space="preserve"> al </w:t>
      </w:r>
      <w:proofErr w:type="spellStart"/>
      <w:r w:rsidRPr="00501641">
        <w:t>mismo</w:t>
      </w:r>
      <w:proofErr w:type="spellEnd"/>
      <w:r w:rsidRPr="00501641">
        <w:t xml:space="preserve"> </w:t>
      </w:r>
      <w:proofErr w:type="spellStart"/>
      <w:r w:rsidRPr="00501641">
        <w:t>tiempo</w:t>
      </w:r>
      <w:proofErr w:type="spellEnd"/>
      <w:r w:rsidRPr="00501641">
        <w:t xml:space="preserve"> la </w:t>
      </w:r>
      <w:proofErr w:type="spellStart"/>
      <w:r w:rsidRPr="00501641">
        <w:t>resiliencia</w:t>
      </w:r>
      <w:proofErr w:type="spellEnd"/>
      <w:r w:rsidRPr="00501641">
        <w:t xml:space="preserve"> y la </w:t>
      </w:r>
      <w:proofErr w:type="spellStart"/>
      <w:r w:rsidRPr="00501641">
        <w:t>salud</w:t>
      </w:r>
      <w:proofErr w:type="spellEnd"/>
      <w:r w:rsidRPr="00501641">
        <w:t xml:space="preserve"> a largo </w:t>
      </w:r>
      <w:proofErr w:type="spellStart"/>
      <w:r w:rsidRPr="00501641">
        <w:t>plazo</w:t>
      </w:r>
      <w:proofErr w:type="spellEnd"/>
      <w:r w:rsidRPr="00501641">
        <w:t xml:space="preserve"> del </w:t>
      </w:r>
      <w:proofErr w:type="spellStart"/>
      <w:r w:rsidRPr="00501641">
        <w:t>ecosistema</w:t>
      </w:r>
      <w:proofErr w:type="spellEnd"/>
      <w:r w:rsidRPr="00501641">
        <w:t xml:space="preserve"> </w:t>
      </w:r>
      <w:proofErr w:type="spellStart"/>
      <w:r w:rsidRPr="00501641">
        <w:t>oceánico</w:t>
      </w:r>
      <w:proofErr w:type="spellEnd"/>
      <w:r w:rsidRPr="00501641">
        <w:t>.</w:t>
      </w:r>
    </w:p>
    <w:p w14:paraId="76CDC918" w14:textId="02753EBC" w:rsidR="00BC243D" w:rsidRPr="00501641" w:rsidRDefault="002D1F1D" w:rsidP="00BC243D">
      <w:pPr>
        <w:widowControl/>
        <w:tabs>
          <w:tab w:val="clear" w:pos="567"/>
          <w:tab w:val="left" w:pos="1148"/>
        </w:tabs>
        <w:adjustRightInd/>
        <w:snapToGrid/>
        <w:spacing w:after="240" w:line="240" w:lineRule="auto"/>
        <w:textAlignment w:val="auto"/>
        <w:rPr>
          <w:iCs/>
        </w:rPr>
      </w:pPr>
      <w:r w:rsidRPr="00501641">
        <w:rPr>
          <w:bdr w:val="single" w:sz="4" w:space="0" w:color="auto"/>
        </w:rPr>
        <w:t>03003</w:t>
      </w:r>
      <w:r w:rsidRPr="00501641">
        <w:tab/>
      </w:r>
      <w:proofErr w:type="spellStart"/>
      <w:r w:rsidRPr="00501641">
        <w:t>En</w:t>
      </w:r>
      <w:proofErr w:type="spellEnd"/>
      <w:r w:rsidRPr="00501641">
        <w:t xml:space="preserve"> el </w:t>
      </w:r>
      <w:proofErr w:type="spellStart"/>
      <w:r w:rsidRPr="00501641">
        <w:t>periodo</w:t>
      </w:r>
      <w:proofErr w:type="spellEnd"/>
      <w:r w:rsidRPr="00501641">
        <w:t xml:space="preserve"> 2022-2025, la COI </w:t>
      </w:r>
      <w:proofErr w:type="spellStart"/>
      <w:r w:rsidRPr="00501641">
        <w:t>contribuirá</w:t>
      </w:r>
      <w:proofErr w:type="spellEnd"/>
      <w:r w:rsidRPr="00501641">
        <w:t xml:space="preserve"> a la </w:t>
      </w:r>
      <w:proofErr w:type="spellStart"/>
      <w:r w:rsidRPr="00501641">
        <w:t>consecución</w:t>
      </w:r>
      <w:proofErr w:type="spellEnd"/>
      <w:r w:rsidRPr="00501641">
        <w:t xml:space="preserve"> del </w:t>
      </w:r>
      <w:proofErr w:type="spellStart"/>
      <w:r w:rsidRPr="00501641">
        <w:t>objetivo</w:t>
      </w:r>
      <w:proofErr w:type="spellEnd"/>
      <w:r w:rsidRPr="00501641">
        <w:t xml:space="preserve"> </w:t>
      </w:r>
      <w:proofErr w:type="spellStart"/>
      <w:r w:rsidRPr="00501641">
        <w:t>estratégico</w:t>
      </w:r>
      <w:proofErr w:type="spellEnd"/>
      <w:r w:rsidRPr="00501641">
        <w:t xml:space="preserve"> 2 de la </w:t>
      </w:r>
      <w:proofErr w:type="spellStart"/>
      <w:r w:rsidRPr="00501641">
        <w:t>Estrategia</w:t>
      </w:r>
      <w:proofErr w:type="spellEnd"/>
      <w:r w:rsidRPr="00501641">
        <w:t xml:space="preserve"> a </w:t>
      </w:r>
      <w:proofErr w:type="spellStart"/>
      <w:r w:rsidRPr="00501641">
        <w:t>Plazo</w:t>
      </w:r>
      <w:proofErr w:type="spellEnd"/>
      <w:r w:rsidRPr="00501641">
        <w:t xml:space="preserve"> Medio de la UNESCO, “</w:t>
      </w:r>
      <w:proofErr w:type="spellStart"/>
      <w:r w:rsidRPr="00501641">
        <w:t>Impulsar</w:t>
      </w:r>
      <w:proofErr w:type="spellEnd"/>
      <w:r w:rsidRPr="00501641">
        <w:t xml:space="preserve"> </w:t>
      </w:r>
      <w:proofErr w:type="spellStart"/>
      <w:r w:rsidRPr="00501641">
        <w:t>sociedades</w:t>
      </w:r>
      <w:proofErr w:type="spellEnd"/>
      <w:r w:rsidRPr="00501641">
        <w:t xml:space="preserve"> </w:t>
      </w:r>
      <w:proofErr w:type="spellStart"/>
      <w:r w:rsidRPr="00501641">
        <w:t>sostenibles</w:t>
      </w:r>
      <w:proofErr w:type="spellEnd"/>
      <w:r w:rsidRPr="00501641">
        <w:t xml:space="preserve"> y </w:t>
      </w:r>
      <w:proofErr w:type="spellStart"/>
      <w:r w:rsidRPr="00501641">
        <w:t>proteger</w:t>
      </w:r>
      <w:proofErr w:type="spellEnd"/>
      <w:r w:rsidRPr="00501641">
        <w:t xml:space="preserve"> el medio </w:t>
      </w:r>
      <w:proofErr w:type="spellStart"/>
      <w:r w:rsidRPr="00501641">
        <w:t>ambiente</w:t>
      </w:r>
      <w:proofErr w:type="spellEnd"/>
      <w:r w:rsidRPr="00501641">
        <w:t xml:space="preserve"> </w:t>
      </w:r>
      <w:proofErr w:type="spellStart"/>
      <w:r w:rsidRPr="00501641">
        <w:t>mediante</w:t>
      </w:r>
      <w:proofErr w:type="spellEnd"/>
      <w:r w:rsidRPr="00501641">
        <w:t xml:space="preserve"> la </w:t>
      </w:r>
      <w:proofErr w:type="spellStart"/>
      <w:r w:rsidRPr="00501641">
        <w:t>promoción</w:t>
      </w:r>
      <w:proofErr w:type="spellEnd"/>
      <w:r w:rsidRPr="00501641">
        <w:t xml:space="preserve"> de la </w:t>
      </w:r>
      <w:proofErr w:type="spellStart"/>
      <w:r w:rsidRPr="00501641">
        <w:t>ciencia</w:t>
      </w:r>
      <w:proofErr w:type="spellEnd"/>
      <w:r w:rsidRPr="00501641">
        <w:t xml:space="preserve">, la </w:t>
      </w:r>
      <w:proofErr w:type="spellStart"/>
      <w:r w:rsidRPr="00501641">
        <w:t>tecnología</w:t>
      </w:r>
      <w:proofErr w:type="spellEnd"/>
      <w:r w:rsidRPr="00501641">
        <w:t xml:space="preserve">, la </w:t>
      </w:r>
      <w:proofErr w:type="spellStart"/>
      <w:r w:rsidRPr="00501641">
        <w:t>innovación</w:t>
      </w:r>
      <w:proofErr w:type="spellEnd"/>
      <w:r w:rsidRPr="00501641">
        <w:t xml:space="preserve"> y el </w:t>
      </w:r>
      <w:proofErr w:type="spellStart"/>
      <w:r w:rsidRPr="00501641">
        <w:t>patrimonio</w:t>
      </w:r>
      <w:proofErr w:type="spellEnd"/>
      <w:r w:rsidRPr="00501641">
        <w:t xml:space="preserve"> natural”, y de </w:t>
      </w:r>
      <w:proofErr w:type="spellStart"/>
      <w:r w:rsidRPr="00501641">
        <w:t>su</w:t>
      </w:r>
      <w:proofErr w:type="spellEnd"/>
      <w:r w:rsidRPr="00501641">
        <w:t xml:space="preserve"> </w:t>
      </w:r>
      <w:proofErr w:type="spellStart"/>
      <w:r w:rsidRPr="00501641">
        <w:t>resultado</w:t>
      </w:r>
      <w:proofErr w:type="spellEnd"/>
      <w:r w:rsidRPr="00501641">
        <w:t xml:space="preserve"> 3, “</w:t>
      </w:r>
      <w:proofErr w:type="spellStart"/>
      <w:r w:rsidRPr="00501641">
        <w:t>Mejora</w:t>
      </w:r>
      <w:proofErr w:type="spellEnd"/>
      <w:r w:rsidRPr="00501641">
        <w:t xml:space="preserve"> de los </w:t>
      </w:r>
      <w:proofErr w:type="spellStart"/>
      <w:r w:rsidRPr="00501641">
        <w:t>conocimientos</w:t>
      </w:r>
      <w:proofErr w:type="spellEnd"/>
      <w:r w:rsidRPr="00501641">
        <w:t xml:space="preserve"> para </w:t>
      </w:r>
      <w:proofErr w:type="spellStart"/>
      <w:r w:rsidRPr="00501641">
        <w:t>favorecer</w:t>
      </w:r>
      <w:proofErr w:type="spellEnd"/>
      <w:r w:rsidRPr="00501641">
        <w:t xml:space="preserve"> la acción </w:t>
      </w:r>
      <w:proofErr w:type="spellStart"/>
      <w:r w:rsidRPr="00501641">
        <w:t>climática</w:t>
      </w:r>
      <w:proofErr w:type="spellEnd"/>
      <w:r w:rsidRPr="00501641">
        <w:t xml:space="preserve">, la </w:t>
      </w:r>
      <w:proofErr w:type="spellStart"/>
      <w:r w:rsidRPr="00501641">
        <w:t>biodiversidad</w:t>
      </w:r>
      <w:proofErr w:type="spellEnd"/>
      <w:r w:rsidRPr="00501641">
        <w:t xml:space="preserve">, la </w:t>
      </w:r>
      <w:proofErr w:type="spellStart"/>
      <w:r w:rsidRPr="00501641">
        <w:t>gestión</w:t>
      </w:r>
      <w:proofErr w:type="spellEnd"/>
      <w:r w:rsidRPr="00501641">
        <w:t xml:space="preserve"> del </w:t>
      </w:r>
      <w:proofErr w:type="spellStart"/>
      <w:r w:rsidRPr="00501641">
        <w:t>agua</w:t>
      </w:r>
      <w:proofErr w:type="spellEnd"/>
      <w:r w:rsidRPr="00501641">
        <w:t xml:space="preserve"> y del </w:t>
      </w:r>
      <w:proofErr w:type="spellStart"/>
      <w:r w:rsidRPr="00501641">
        <w:t>océano</w:t>
      </w:r>
      <w:proofErr w:type="spellEnd"/>
      <w:r w:rsidRPr="00501641">
        <w:t xml:space="preserve"> y la </w:t>
      </w:r>
      <w:proofErr w:type="spellStart"/>
      <w:r w:rsidRPr="00501641">
        <w:t>reducción</w:t>
      </w:r>
      <w:proofErr w:type="spellEnd"/>
      <w:r w:rsidRPr="00501641">
        <w:t xml:space="preserve"> del </w:t>
      </w:r>
      <w:proofErr w:type="spellStart"/>
      <w:r w:rsidRPr="00501641">
        <w:t>riesgo</w:t>
      </w:r>
      <w:proofErr w:type="spellEnd"/>
      <w:r w:rsidRPr="00501641">
        <w:t xml:space="preserve"> de </w:t>
      </w:r>
      <w:proofErr w:type="spellStart"/>
      <w:r w:rsidRPr="00501641">
        <w:t>desastres</w:t>
      </w:r>
      <w:proofErr w:type="spellEnd"/>
      <w:r w:rsidRPr="00501641">
        <w:t xml:space="preserve">”. La COI </w:t>
      </w:r>
      <w:proofErr w:type="spellStart"/>
      <w:r w:rsidRPr="00501641">
        <w:t>seguirá</w:t>
      </w:r>
      <w:proofErr w:type="spellEnd"/>
      <w:r w:rsidRPr="00501641">
        <w:t xml:space="preserve"> </w:t>
      </w:r>
      <w:proofErr w:type="spellStart"/>
      <w:r w:rsidRPr="00501641">
        <w:t>reforzando</w:t>
      </w:r>
      <w:proofErr w:type="spellEnd"/>
      <w:r w:rsidRPr="00501641">
        <w:t xml:space="preserve"> la </w:t>
      </w:r>
      <w:proofErr w:type="spellStart"/>
      <w:r w:rsidRPr="00501641">
        <w:t>cooperación</w:t>
      </w:r>
      <w:proofErr w:type="spellEnd"/>
      <w:r w:rsidRPr="00501641">
        <w:t xml:space="preserve"> con </w:t>
      </w:r>
      <w:proofErr w:type="spellStart"/>
      <w:r w:rsidRPr="00501641">
        <w:t>diversos</w:t>
      </w:r>
      <w:proofErr w:type="spellEnd"/>
      <w:r w:rsidRPr="00501641">
        <w:t xml:space="preserve"> </w:t>
      </w:r>
      <w:proofErr w:type="spellStart"/>
      <w:r w:rsidRPr="00501641">
        <w:t>programas</w:t>
      </w:r>
      <w:proofErr w:type="spellEnd"/>
      <w:r w:rsidRPr="00501641">
        <w:t xml:space="preserve"> de la UNESCO y </w:t>
      </w:r>
      <w:proofErr w:type="spellStart"/>
      <w:r w:rsidRPr="00501641">
        <w:t>aprovechando</w:t>
      </w:r>
      <w:proofErr w:type="spellEnd"/>
      <w:r w:rsidRPr="00501641">
        <w:t xml:space="preserve"> al </w:t>
      </w:r>
      <w:proofErr w:type="spellStart"/>
      <w:r w:rsidRPr="00501641">
        <w:t>máximo</w:t>
      </w:r>
      <w:proofErr w:type="spellEnd"/>
      <w:r w:rsidRPr="00501641">
        <w:t xml:space="preserve"> la </w:t>
      </w:r>
      <w:proofErr w:type="spellStart"/>
      <w:r w:rsidRPr="00501641">
        <w:t>ventaja</w:t>
      </w:r>
      <w:proofErr w:type="spellEnd"/>
      <w:r w:rsidRPr="00501641">
        <w:t xml:space="preserve"> </w:t>
      </w:r>
      <w:proofErr w:type="spellStart"/>
      <w:r w:rsidRPr="00501641">
        <w:t>comparativa</w:t>
      </w:r>
      <w:proofErr w:type="spellEnd"/>
      <w:r w:rsidRPr="00501641">
        <w:t xml:space="preserve"> del </w:t>
      </w:r>
      <w:proofErr w:type="spellStart"/>
      <w:r w:rsidRPr="00501641">
        <w:t>enfoque</w:t>
      </w:r>
      <w:proofErr w:type="spellEnd"/>
      <w:r w:rsidRPr="00501641">
        <w:t xml:space="preserve"> </w:t>
      </w:r>
      <w:proofErr w:type="spellStart"/>
      <w:r w:rsidRPr="00501641">
        <w:t>multidisciplinario</w:t>
      </w:r>
      <w:proofErr w:type="spellEnd"/>
      <w:r w:rsidRPr="00501641">
        <w:t xml:space="preserve"> de la UNESCO </w:t>
      </w:r>
      <w:proofErr w:type="spellStart"/>
      <w:r w:rsidRPr="00501641">
        <w:t>en</w:t>
      </w:r>
      <w:proofErr w:type="spellEnd"/>
      <w:r w:rsidRPr="00501641">
        <w:t xml:space="preserve"> </w:t>
      </w:r>
      <w:proofErr w:type="spellStart"/>
      <w:r w:rsidRPr="00501641">
        <w:t>relación</w:t>
      </w:r>
      <w:proofErr w:type="spellEnd"/>
      <w:r w:rsidRPr="00501641">
        <w:t xml:space="preserve"> con los </w:t>
      </w:r>
      <w:proofErr w:type="spellStart"/>
      <w:r w:rsidRPr="00501641">
        <w:t>principales</w:t>
      </w:r>
      <w:proofErr w:type="spellEnd"/>
      <w:r w:rsidRPr="00501641">
        <w:t xml:space="preserve"> </w:t>
      </w:r>
      <w:proofErr w:type="spellStart"/>
      <w:r w:rsidRPr="00501641">
        <w:t>problemas</w:t>
      </w:r>
      <w:proofErr w:type="spellEnd"/>
      <w:r w:rsidRPr="00501641">
        <w:t xml:space="preserve"> </w:t>
      </w:r>
      <w:proofErr w:type="spellStart"/>
      <w:r w:rsidRPr="00501641">
        <w:t>sociales</w:t>
      </w:r>
      <w:proofErr w:type="spellEnd"/>
      <w:r w:rsidRPr="00501641">
        <w:t xml:space="preserve">. Mediante </w:t>
      </w:r>
      <w:proofErr w:type="spellStart"/>
      <w:r w:rsidRPr="00501641">
        <w:t>su</w:t>
      </w:r>
      <w:proofErr w:type="spellEnd"/>
      <w:r w:rsidRPr="00501641">
        <w:t xml:space="preserve"> </w:t>
      </w:r>
      <w:proofErr w:type="spellStart"/>
      <w:r w:rsidRPr="00501641">
        <w:t>cooperación</w:t>
      </w:r>
      <w:proofErr w:type="spellEnd"/>
      <w:r w:rsidRPr="00501641">
        <w:t xml:space="preserve"> con el Sector de </w:t>
      </w:r>
      <w:proofErr w:type="spellStart"/>
      <w:r w:rsidRPr="00501641">
        <w:t>Educación</w:t>
      </w:r>
      <w:proofErr w:type="spellEnd"/>
      <w:r w:rsidRPr="00501641">
        <w:t xml:space="preserve"> para </w:t>
      </w:r>
      <w:proofErr w:type="spellStart"/>
      <w:r w:rsidRPr="00501641">
        <w:t>incorporar</w:t>
      </w:r>
      <w:proofErr w:type="spellEnd"/>
      <w:r w:rsidRPr="00501641">
        <w:t xml:space="preserve"> de </w:t>
      </w:r>
      <w:proofErr w:type="spellStart"/>
      <w:r w:rsidRPr="00501641">
        <w:t>manera</w:t>
      </w:r>
      <w:proofErr w:type="spellEnd"/>
      <w:r w:rsidRPr="00501641">
        <w:t xml:space="preserve"> </w:t>
      </w:r>
      <w:proofErr w:type="spellStart"/>
      <w:r w:rsidRPr="00501641">
        <w:t>más</w:t>
      </w:r>
      <w:proofErr w:type="spellEnd"/>
      <w:r w:rsidRPr="00501641">
        <w:t xml:space="preserve"> </w:t>
      </w:r>
      <w:proofErr w:type="spellStart"/>
      <w:r w:rsidRPr="00501641">
        <w:t>efectiva</w:t>
      </w:r>
      <w:proofErr w:type="spellEnd"/>
      <w:r w:rsidRPr="00501641">
        <w:t xml:space="preserve"> la </w:t>
      </w:r>
      <w:proofErr w:type="spellStart"/>
      <w:r w:rsidRPr="00501641">
        <w:t>cultura</w:t>
      </w:r>
      <w:proofErr w:type="spellEnd"/>
      <w:r w:rsidRPr="00501641">
        <w:t xml:space="preserve"> </w:t>
      </w:r>
      <w:proofErr w:type="spellStart"/>
      <w:r w:rsidRPr="00501641">
        <w:t>oceánica</w:t>
      </w:r>
      <w:proofErr w:type="spellEnd"/>
      <w:r w:rsidRPr="00501641">
        <w:t xml:space="preserve"> </w:t>
      </w:r>
      <w:proofErr w:type="spellStart"/>
      <w:r w:rsidRPr="00501641">
        <w:t>en</w:t>
      </w:r>
      <w:proofErr w:type="spellEnd"/>
      <w:r w:rsidRPr="00501641">
        <w:t xml:space="preserve"> los planes de </w:t>
      </w:r>
      <w:proofErr w:type="spellStart"/>
      <w:r w:rsidRPr="00501641">
        <w:t>estudios</w:t>
      </w:r>
      <w:proofErr w:type="spellEnd"/>
      <w:r w:rsidRPr="00501641">
        <w:t xml:space="preserve">, la COI </w:t>
      </w:r>
      <w:proofErr w:type="spellStart"/>
      <w:r w:rsidRPr="00501641">
        <w:t>contribuirá</w:t>
      </w:r>
      <w:proofErr w:type="spellEnd"/>
      <w:r w:rsidRPr="00501641">
        <w:t xml:space="preserve"> </w:t>
      </w:r>
      <w:proofErr w:type="spellStart"/>
      <w:r w:rsidRPr="00501641">
        <w:lastRenderedPageBreak/>
        <w:t>también</w:t>
      </w:r>
      <w:proofErr w:type="spellEnd"/>
      <w:r w:rsidRPr="00501641">
        <w:t xml:space="preserve"> a la </w:t>
      </w:r>
      <w:proofErr w:type="spellStart"/>
      <w:r w:rsidRPr="00501641">
        <w:t>consecución</w:t>
      </w:r>
      <w:proofErr w:type="spellEnd"/>
      <w:r w:rsidRPr="00501641">
        <w:t xml:space="preserve"> del </w:t>
      </w:r>
      <w:proofErr w:type="spellStart"/>
      <w:r w:rsidRPr="00501641">
        <w:t>resultado</w:t>
      </w:r>
      <w:proofErr w:type="spellEnd"/>
      <w:r w:rsidRPr="00501641">
        <w:t xml:space="preserve"> 1, “</w:t>
      </w:r>
      <w:proofErr w:type="spellStart"/>
      <w:r w:rsidRPr="00501641">
        <w:t>Garantía</w:t>
      </w:r>
      <w:proofErr w:type="spellEnd"/>
      <w:r w:rsidRPr="00501641">
        <w:t xml:space="preserve"> de una </w:t>
      </w:r>
      <w:proofErr w:type="spellStart"/>
      <w:r w:rsidRPr="00501641">
        <w:t>educación</w:t>
      </w:r>
      <w:proofErr w:type="spellEnd"/>
      <w:r w:rsidRPr="00501641">
        <w:t xml:space="preserve"> </w:t>
      </w:r>
      <w:proofErr w:type="spellStart"/>
      <w:r w:rsidRPr="00501641">
        <w:t>inclusiva</w:t>
      </w:r>
      <w:proofErr w:type="spellEnd"/>
      <w:r w:rsidRPr="00501641">
        <w:t xml:space="preserve"> y </w:t>
      </w:r>
      <w:proofErr w:type="spellStart"/>
      <w:r w:rsidRPr="00501641">
        <w:t>equitativa</w:t>
      </w:r>
      <w:proofErr w:type="spellEnd"/>
      <w:r w:rsidRPr="00501641">
        <w:t xml:space="preserve"> de </w:t>
      </w:r>
      <w:proofErr w:type="spellStart"/>
      <w:r w:rsidRPr="00501641">
        <w:t>calidad</w:t>
      </w:r>
      <w:proofErr w:type="spellEnd"/>
      <w:r w:rsidRPr="00501641">
        <w:t xml:space="preserve"> y </w:t>
      </w:r>
      <w:proofErr w:type="spellStart"/>
      <w:r w:rsidRPr="00501641">
        <w:t>promoción</w:t>
      </w:r>
      <w:proofErr w:type="spellEnd"/>
      <w:r w:rsidRPr="00501641">
        <w:t xml:space="preserve"> de </w:t>
      </w:r>
      <w:proofErr w:type="spellStart"/>
      <w:r w:rsidRPr="00501641">
        <w:t>oportunidades</w:t>
      </w:r>
      <w:proofErr w:type="spellEnd"/>
      <w:r w:rsidRPr="00501641">
        <w:t xml:space="preserve"> de </w:t>
      </w:r>
      <w:proofErr w:type="spellStart"/>
      <w:r w:rsidRPr="00501641">
        <w:t>aprendizaje</w:t>
      </w:r>
      <w:proofErr w:type="spellEnd"/>
      <w:r w:rsidRPr="00501641">
        <w:t xml:space="preserve"> </w:t>
      </w:r>
      <w:proofErr w:type="spellStart"/>
      <w:r w:rsidRPr="00501641">
        <w:t>permanente</w:t>
      </w:r>
      <w:proofErr w:type="spellEnd"/>
      <w:r w:rsidRPr="00501641">
        <w:t xml:space="preserve"> para </w:t>
      </w:r>
      <w:proofErr w:type="spellStart"/>
      <w:r w:rsidRPr="00501641">
        <w:t>todos</w:t>
      </w:r>
      <w:proofErr w:type="spellEnd"/>
      <w:r w:rsidRPr="00501641">
        <w:t xml:space="preserve">”, </w:t>
      </w:r>
      <w:proofErr w:type="spellStart"/>
      <w:r w:rsidRPr="00501641">
        <w:t>así</w:t>
      </w:r>
      <w:proofErr w:type="spellEnd"/>
      <w:r w:rsidRPr="00501641">
        <w:t xml:space="preserve"> </w:t>
      </w:r>
      <w:proofErr w:type="spellStart"/>
      <w:r w:rsidRPr="00501641">
        <w:t>como</w:t>
      </w:r>
      <w:proofErr w:type="spellEnd"/>
      <w:r w:rsidRPr="00501641">
        <w:t xml:space="preserve"> al </w:t>
      </w:r>
      <w:proofErr w:type="spellStart"/>
      <w:r w:rsidRPr="00501641">
        <w:t>programa</w:t>
      </w:r>
      <w:proofErr w:type="spellEnd"/>
      <w:r w:rsidRPr="00501641">
        <w:t xml:space="preserve"> </w:t>
      </w:r>
      <w:proofErr w:type="spellStart"/>
      <w:r w:rsidRPr="00501641">
        <w:t>intersectorial</w:t>
      </w:r>
      <w:proofErr w:type="spellEnd"/>
      <w:r w:rsidRPr="00501641">
        <w:t xml:space="preserve"> </w:t>
      </w:r>
      <w:proofErr w:type="spellStart"/>
      <w:r w:rsidRPr="00501641">
        <w:t>relativo</w:t>
      </w:r>
      <w:proofErr w:type="spellEnd"/>
      <w:r w:rsidRPr="00501641">
        <w:t xml:space="preserve"> a la </w:t>
      </w:r>
      <w:proofErr w:type="spellStart"/>
      <w:r w:rsidRPr="00501641">
        <w:t>educación</w:t>
      </w:r>
      <w:proofErr w:type="spellEnd"/>
      <w:r w:rsidRPr="00501641">
        <w:t xml:space="preserve"> </w:t>
      </w:r>
      <w:proofErr w:type="spellStart"/>
      <w:r w:rsidRPr="00501641">
        <w:t>ambiental</w:t>
      </w:r>
      <w:proofErr w:type="spellEnd"/>
      <w:r w:rsidRPr="00501641">
        <w:t xml:space="preserve">. La COI </w:t>
      </w:r>
      <w:proofErr w:type="spellStart"/>
      <w:r w:rsidRPr="00501641">
        <w:t>seguirá</w:t>
      </w:r>
      <w:proofErr w:type="spellEnd"/>
      <w:r w:rsidRPr="00501641">
        <w:t xml:space="preserve"> </w:t>
      </w:r>
      <w:proofErr w:type="spellStart"/>
      <w:r w:rsidRPr="00501641">
        <w:t>colaborando</w:t>
      </w:r>
      <w:proofErr w:type="spellEnd"/>
      <w:r w:rsidRPr="00501641">
        <w:t xml:space="preserve"> con el </w:t>
      </w:r>
      <w:proofErr w:type="spellStart"/>
      <w:r w:rsidRPr="00501641">
        <w:t>Programa</w:t>
      </w:r>
      <w:proofErr w:type="spellEnd"/>
      <w:r w:rsidRPr="00501641">
        <w:t xml:space="preserve"> </w:t>
      </w:r>
      <w:proofErr w:type="spellStart"/>
      <w:r w:rsidRPr="00501641">
        <w:t>Hidrológico</w:t>
      </w:r>
      <w:proofErr w:type="spellEnd"/>
      <w:r w:rsidRPr="00501641">
        <w:t xml:space="preserve"> </w:t>
      </w:r>
      <w:proofErr w:type="spellStart"/>
      <w:r w:rsidRPr="00501641">
        <w:t>Intergubernamental</w:t>
      </w:r>
      <w:proofErr w:type="spellEnd"/>
      <w:r w:rsidRPr="00501641">
        <w:t xml:space="preserve"> (PHI) </w:t>
      </w:r>
      <w:proofErr w:type="spellStart"/>
      <w:r w:rsidRPr="00501641">
        <w:t>en</w:t>
      </w:r>
      <w:proofErr w:type="spellEnd"/>
      <w:r w:rsidRPr="00501641">
        <w:t xml:space="preserve"> lo </w:t>
      </w:r>
      <w:proofErr w:type="spellStart"/>
      <w:r w:rsidRPr="00501641">
        <w:t>relativo</w:t>
      </w:r>
      <w:proofErr w:type="spellEnd"/>
      <w:r w:rsidRPr="00501641">
        <w:t xml:space="preserve"> a la </w:t>
      </w:r>
      <w:proofErr w:type="spellStart"/>
      <w:r w:rsidRPr="00501641">
        <w:t>gestión</w:t>
      </w:r>
      <w:proofErr w:type="spellEnd"/>
      <w:r w:rsidRPr="00501641">
        <w:t xml:space="preserve"> de las </w:t>
      </w:r>
      <w:proofErr w:type="spellStart"/>
      <w:r w:rsidRPr="00501641">
        <w:t>aguas</w:t>
      </w:r>
      <w:proofErr w:type="spellEnd"/>
      <w:r w:rsidRPr="00501641">
        <w:t xml:space="preserve"> </w:t>
      </w:r>
      <w:proofErr w:type="spellStart"/>
      <w:r w:rsidRPr="00501641">
        <w:t>transfronterizas</w:t>
      </w:r>
      <w:proofErr w:type="spellEnd"/>
      <w:r w:rsidRPr="00501641">
        <w:t xml:space="preserve"> y las </w:t>
      </w:r>
      <w:proofErr w:type="spellStart"/>
      <w:r w:rsidRPr="00501641">
        <w:t>interacciones</w:t>
      </w:r>
      <w:proofErr w:type="spellEnd"/>
      <w:r w:rsidRPr="00501641">
        <w:t xml:space="preserve"> entre el </w:t>
      </w:r>
      <w:proofErr w:type="spellStart"/>
      <w:r w:rsidRPr="00501641">
        <w:t>agua</w:t>
      </w:r>
      <w:proofErr w:type="spellEnd"/>
      <w:r w:rsidRPr="00501641">
        <w:t xml:space="preserve"> dulce y el </w:t>
      </w:r>
      <w:proofErr w:type="spellStart"/>
      <w:r w:rsidRPr="00501641">
        <w:t>agua</w:t>
      </w:r>
      <w:proofErr w:type="spellEnd"/>
      <w:r w:rsidRPr="00501641">
        <w:t xml:space="preserve"> marina. </w:t>
      </w:r>
      <w:proofErr w:type="spellStart"/>
      <w:r w:rsidRPr="00501641">
        <w:t>Además</w:t>
      </w:r>
      <w:proofErr w:type="spellEnd"/>
      <w:r w:rsidRPr="00501641">
        <w:t xml:space="preserve">, la COI </w:t>
      </w:r>
      <w:proofErr w:type="spellStart"/>
      <w:r w:rsidRPr="00501641">
        <w:t>seguirá</w:t>
      </w:r>
      <w:proofErr w:type="spellEnd"/>
      <w:r w:rsidRPr="00501641">
        <w:t xml:space="preserve"> </w:t>
      </w:r>
      <w:proofErr w:type="spellStart"/>
      <w:r w:rsidRPr="00501641">
        <w:t>contribuyendo</w:t>
      </w:r>
      <w:proofErr w:type="spellEnd"/>
      <w:r w:rsidRPr="00501641">
        <w:t xml:space="preserve"> a las </w:t>
      </w:r>
      <w:proofErr w:type="spellStart"/>
      <w:r w:rsidRPr="00501641">
        <w:t>actividades</w:t>
      </w:r>
      <w:proofErr w:type="spellEnd"/>
      <w:r w:rsidRPr="00501641">
        <w:t xml:space="preserve"> </w:t>
      </w:r>
      <w:proofErr w:type="spellStart"/>
      <w:r w:rsidRPr="00501641">
        <w:t>intersectoriales</w:t>
      </w:r>
      <w:proofErr w:type="spellEnd"/>
      <w:r w:rsidRPr="00501641">
        <w:t xml:space="preserve"> de la UNESCO </w:t>
      </w:r>
      <w:proofErr w:type="spellStart"/>
      <w:r w:rsidRPr="00501641">
        <w:t>en</w:t>
      </w:r>
      <w:proofErr w:type="spellEnd"/>
      <w:r w:rsidRPr="00501641">
        <w:t xml:space="preserve"> el </w:t>
      </w:r>
      <w:proofErr w:type="spellStart"/>
      <w:r w:rsidRPr="00501641">
        <w:t>ámbito</w:t>
      </w:r>
      <w:proofErr w:type="spellEnd"/>
      <w:r w:rsidRPr="00501641">
        <w:t xml:space="preserve"> del </w:t>
      </w:r>
      <w:proofErr w:type="spellStart"/>
      <w:r w:rsidRPr="00501641">
        <w:t>cambio</w:t>
      </w:r>
      <w:proofErr w:type="spellEnd"/>
      <w:r w:rsidRPr="00501641">
        <w:t xml:space="preserve"> </w:t>
      </w:r>
      <w:proofErr w:type="spellStart"/>
      <w:r w:rsidRPr="00501641">
        <w:t>climático</w:t>
      </w:r>
      <w:proofErr w:type="spellEnd"/>
      <w:r w:rsidRPr="00501641">
        <w:t xml:space="preserve"> y la </w:t>
      </w:r>
      <w:proofErr w:type="spellStart"/>
      <w:r w:rsidRPr="00501641">
        <w:t>pérdida</w:t>
      </w:r>
      <w:proofErr w:type="spellEnd"/>
      <w:r w:rsidRPr="00501641">
        <w:t xml:space="preserve"> de </w:t>
      </w:r>
      <w:proofErr w:type="spellStart"/>
      <w:r w:rsidRPr="00501641">
        <w:t>biodiversidad</w:t>
      </w:r>
      <w:proofErr w:type="spellEnd"/>
      <w:r w:rsidRPr="00501641">
        <w:t xml:space="preserve">, </w:t>
      </w:r>
      <w:proofErr w:type="spellStart"/>
      <w:r w:rsidRPr="00501641">
        <w:t>centrándose</w:t>
      </w:r>
      <w:proofErr w:type="spellEnd"/>
      <w:r w:rsidRPr="00501641">
        <w:t xml:space="preserve"> </w:t>
      </w:r>
      <w:proofErr w:type="spellStart"/>
      <w:r w:rsidRPr="00501641">
        <w:t>en</w:t>
      </w:r>
      <w:proofErr w:type="spellEnd"/>
      <w:r w:rsidRPr="00501641">
        <w:t xml:space="preserve"> </w:t>
      </w:r>
      <w:proofErr w:type="spellStart"/>
      <w:r w:rsidRPr="00501641">
        <w:t>su</w:t>
      </w:r>
      <w:proofErr w:type="spellEnd"/>
      <w:r w:rsidRPr="00501641">
        <w:t xml:space="preserve"> </w:t>
      </w:r>
      <w:proofErr w:type="spellStart"/>
      <w:r w:rsidRPr="00501641">
        <w:t>dimensión</w:t>
      </w:r>
      <w:proofErr w:type="spellEnd"/>
      <w:r w:rsidRPr="00501641">
        <w:t xml:space="preserve"> </w:t>
      </w:r>
      <w:proofErr w:type="spellStart"/>
      <w:r w:rsidRPr="00501641">
        <w:t>oceánica</w:t>
      </w:r>
      <w:proofErr w:type="spellEnd"/>
      <w:r w:rsidRPr="00501641">
        <w:t xml:space="preserve">. La </w:t>
      </w:r>
      <w:proofErr w:type="spellStart"/>
      <w:r w:rsidRPr="00501641">
        <w:t>labor</w:t>
      </w:r>
      <w:proofErr w:type="spellEnd"/>
      <w:r w:rsidRPr="00501641">
        <w:t xml:space="preserve"> de la COI </w:t>
      </w:r>
      <w:proofErr w:type="spellStart"/>
      <w:r w:rsidRPr="00501641">
        <w:t>como</w:t>
      </w:r>
      <w:proofErr w:type="spellEnd"/>
      <w:r w:rsidRPr="00501641">
        <w:t xml:space="preserve"> </w:t>
      </w:r>
      <w:proofErr w:type="spellStart"/>
      <w:r w:rsidRPr="00501641">
        <w:t>catalizadora</w:t>
      </w:r>
      <w:proofErr w:type="spellEnd"/>
      <w:r w:rsidRPr="00501641">
        <w:t xml:space="preserve"> de la </w:t>
      </w:r>
      <w:proofErr w:type="spellStart"/>
      <w:r w:rsidRPr="00501641">
        <w:t>cooperación</w:t>
      </w:r>
      <w:proofErr w:type="spellEnd"/>
      <w:r w:rsidRPr="00501641">
        <w:t xml:space="preserve"> regional e </w:t>
      </w:r>
      <w:proofErr w:type="spellStart"/>
      <w:r w:rsidRPr="00501641">
        <w:t>internacional</w:t>
      </w:r>
      <w:proofErr w:type="spellEnd"/>
      <w:r w:rsidRPr="00501641">
        <w:t xml:space="preserve"> </w:t>
      </w:r>
      <w:proofErr w:type="spellStart"/>
      <w:r w:rsidRPr="00501641">
        <w:t>en</w:t>
      </w:r>
      <w:proofErr w:type="spellEnd"/>
      <w:r w:rsidRPr="00501641">
        <w:t xml:space="preserve"> </w:t>
      </w:r>
      <w:proofErr w:type="spellStart"/>
      <w:r w:rsidRPr="00501641">
        <w:t>materia</w:t>
      </w:r>
      <w:proofErr w:type="spellEnd"/>
      <w:r w:rsidRPr="00501641">
        <w:t xml:space="preserve"> de </w:t>
      </w:r>
      <w:proofErr w:type="spellStart"/>
      <w:r w:rsidRPr="00501641">
        <w:t>ciencias</w:t>
      </w:r>
      <w:proofErr w:type="spellEnd"/>
      <w:r w:rsidRPr="00501641">
        <w:t xml:space="preserve"> </w:t>
      </w:r>
      <w:proofErr w:type="spellStart"/>
      <w:r w:rsidRPr="00501641">
        <w:t>oceánicas</w:t>
      </w:r>
      <w:proofErr w:type="spellEnd"/>
      <w:r w:rsidRPr="00501641">
        <w:t xml:space="preserve"> </w:t>
      </w:r>
      <w:proofErr w:type="spellStart"/>
      <w:r w:rsidRPr="00501641">
        <w:t>contribuirá</w:t>
      </w:r>
      <w:proofErr w:type="spellEnd"/>
      <w:r w:rsidRPr="00501641">
        <w:t xml:space="preserve"> </w:t>
      </w:r>
      <w:proofErr w:type="spellStart"/>
      <w:r w:rsidRPr="00501641">
        <w:t>también</w:t>
      </w:r>
      <w:proofErr w:type="spellEnd"/>
      <w:r w:rsidRPr="00501641">
        <w:t xml:space="preserve"> </w:t>
      </w:r>
      <w:proofErr w:type="spellStart"/>
      <w:r w:rsidRPr="00501641">
        <w:t>indirectamente</w:t>
      </w:r>
      <w:proofErr w:type="spellEnd"/>
      <w:r w:rsidRPr="00501641">
        <w:t xml:space="preserve"> a la </w:t>
      </w:r>
      <w:proofErr w:type="spellStart"/>
      <w:r w:rsidRPr="00501641">
        <w:t>consecución</w:t>
      </w:r>
      <w:proofErr w:type="spellEnd"/>
      <w:r w:rsidRPr="00501641">
        <w:t xml:space="preserve"> del </w:t>
      </w:r>
      <w:proofErr w:type="spellStart"/>
      <w:r w:rsidRPr="00501641">
        <w:t>resultado</w:t>
      </w:r>
      <w:proofErr w:type="spellEnd"/>
      <w:r w:rsidRPr="00501641">
        <w:t xml:space="preserve"> 4, “</w:t>
      </w:r>
      <w:proofErr w:type="spellStart"/>
      <w:r w:rsidRPr="00501641">
        <w:t>Fomento</w:t>
      </w:r>
      <w:proofErr w:type="spellEnd"/>
      <w:r w:rsidRPr="00501641">
        <w:t xml:space="preserve"> de la </w:t>
      </w:r>
      <w:proofErr w:type="spellStart"/>
      <w:r w:rsidRPr="00501641">
        <w:t>cooperación</w:t>
      </w:r>
      <w:proofErr w:type="spellEnd"/>
      <w:r w:rsidRPr="00501641">
        <w:t xml:space="preserve"> </w:t>
      </w:r>
      <w:proofErr w:type="spellStart"/>
      <w:r w:rsidRPr="00501641">
        <w:t>internacional</w:t>
      </w:r>
      <w:proofErr w:type="spellEnd"/>
      <w:r w:rsidRPr="00501641">
        <w:t xml:space="preserve"> </w:t>
      </w:r>
      <w:proofErr w:type="spellStart"/>
      <w:r w:rsidRPr="00501641">
        <w:t>en</w:t>
      </w:r>
      <w:proofErr w:type="spellEnd"/>
      <w:r w:rsidRPr="00501641">
        <w:t xml:space="preserve"> </w:t>
      </w:r>
      <w:proofErr w:type="spellStart"/>
      <w:r w:rsidRPr="00501641">
        <w:t>materia</w:t>
      </w:r>
      <w:proofErr w:type="spellEnd"/>
      <w:r w:rsidRPr="00501641">
        <w:t xml:space="preserve"> de </w:t>
      </w:r>
      <w:proofErr w:type="spellStart"/>
      <w:r w:rsidRPr="00501641">
        <w:t>ciencia</w:t>
      </w:r>
      <w:proofErr w:type="spellEnd"/>
      <w:r w:rsidRPr="00501641">
        <w:t xml:space="preserve">, </w:t>
      </w:r>
      <w:proofErr w:type="spellStart"/>
      <w:r w:rsidRPr="00501641">
        <w:t>tecnología</w:t>
      </w:r>
      <w:proofErr w:type="spellEnd"/>
      <w:r w:rsidRPr="00501641">
        <w:t xml:space="preserve"> e </w:t>
      </w:r>
      <w:proofErr w:type="spellStart"/>
      <w:r w:rsidRPr="00501641">
        <w:t>innovación</w:t>
      </w:r>
      <w:proofErr w:type="spellEnd"/>
      <w:r w:rsidRPr="00501641">
        <w:t xml:space="preserve">”. La </w:t>
      </w:r>
      <w:proofErr w:type="spellStart"/>
      <w:r w:rsidRPr="00501641">
        <w:t>cooperación</w:t>
      </w:r>
      <w:proofErr w:type="spellEnd"/>
      <w:r w:rsidRPr="00501641">
        <w:t xml:space="preserve"> de la COI con la </w:t>
      </w:r>
      <w:proofErr w:type="spellStart"/>
      <w:r w:rsidRPr="00501641">
        <w:t>Convención</w:t>
      </w:r>
      <w:proofErr w:type="spellEnd"/>
      <w:r w:rsidRPr="00501641">
        <w:t xml:space="preserve"> </w:t>
      </w:r>
      <w:proofErr w:type="spellStart"/>
      <w:r w:rsidRPr="00501641">
        <w:t>sobre</w:t>
      </w:r>
      <w:proofErr w:type="spellEnd"/>
      <w:r w:rsidRPr="00501641">
        <w:t xml:space="preserve"> la </w:t>
      </w:r>
      <w:proofErr w:type="spellStart"/>
      <w:r w:rsidRPr="00501641">
        <w:t>Protección</w:t>
      </w:r>
      <w:proofErr w:type="spellEnd"/>
      <w:r w:rsidRPr="00501641">
        <w:t xml:space="preserve"> del </w:t>
      </w:r>
      <w:proofErr w:type="spellStart"/>
      <w:r w:rsidRPr="00501641">
        <w:t>Patrimonio</w:t>
      </w:r>
      <w:proofErr w:type="spellEnd"/>
      <w:r w:rsidRPr="00501641">
        <w:t xml:space="preserve"> Cultural </w:t>
      </w:r>
      <w:proofErr w:type="spellStart"/>
      <w:r w:rsidRPr="00501641">
        <w:t>Subacuático</w:t>
      </w:r>
      <w:proofErr w:type="spellEnd"/>
      <w:r w:rsidRPr="00501641">
        <w:t xml:space="preserve"> y el Centro del </w:t>
      </w:r>
      <w:proofErr w:type="spellStart"/>
      <w:r w:rsidRPr="00501641">
        <w:t>Patrimonio</w:t>
      </w:r>
      <w:proofErr w:type="spellEnd"/>
      <w:r w:rsidRPr="00501641">
        <w:t xml:space="preserve"> Mundial (sitios </w:t>
      </w:r>
      <w:proofErr w:type="spellStart"/>
      <w:r w:rsidRPr="00501641">
        <w:t>marinos</w:t>
      </w:r>
      <w:proofErr w:type="spellEnd"/>
      <w:r w:rsidRPr="00501641">
        <w:t xml:space="preserve">), que se </w:t>
      </w:r>
      <w:proofErr w:type="spellStart"/>
      <w:r w:rsidRPr="00501641">
        <w:t>reforzará</w:t>
      </w:r>
      <w:proofErr w:type="spellEnd"/>
      <w:r w:rsidRPr="00501641">
        <w:t xml:space="preserve"> </w:t>
      </w:r>
      <w:proofErr w:type="spellStart"/>
      <w:r w:rsidRPr="00501641">
        <w:t>en</w:t>
      </w:r>
      <w:proofErr w:type="spellEnd"/>
      <w:r w:rsidRPr="00501641">
        <w:t xml:space="preserve"> el </w:t>
      </w:r>
      <w:proofErr w:type="spellStart"/>
      <w:r w:rsidRPr="00501641">
        <w:t>contexto</w:t>
      </w:r>
      <w:proofErr w:type="spellEnd"/>
      <w:r w:rsidRPr="00501641">
        <w:t xml:space="preserve"> del Decenio del </w:t>
      </w:r>
      <w:proofErr w:type="spellStart"/>
      <w:r w:rsidRPr="00501641">
        <w:t>Océano</w:t>
      </w:r>
      <w:proofErr w:type="spellEnd"/>
      <w:r w:rsidRPr="00501641">
        <w:t xml:space="preserve">, </w:t>
      </w:r>
      <w:proofErr w:type="spellStart"/>
      <w:r w:rsidRPr="00501641">
        <w:t>así</w:t>
      </w:r>
      <w:proofErr w:type="spellEnd"/>
      <w:r w:rsidRPr="00501641">
        <w:t xml:space="preserve"> </w:t>
      </w:r>
      <w:proofErr w:type="spellStart"/>
      <w:r w:rsidRPr="00501641">
        <w:t>como</w:t>
      </w:r>
      <w:proofErr w:type="spellEnd"/>
      <w:r w:rsidRPr="00501641">
        <w:t xml:space="preserve"> </w:t>
      </w:r>
      <w:proofErr w:type="spellStart"/>
      <w:r w:rsidRPr="00501641">
        <w:t>su</w:t>
      </w:r>
      <w:proofErr w:type="spellEnd"/>
      <w:r w:rsidRPr="00501641">
        <w:t xml:space="preserve"> </w:t>
      </w:r>
      <w:proofErr w:type="spellStart"/>
      <w:r w:rsidRPr="00501641">
        <w:t>trabajo</w:t>
      </w:r>
      <w:proofErr w:type="spellEnd"/>
      <w:r w:rsidRPr="00501641">
        <w:t xml:space="preserve"> </w:t>
      </w:r>
      <w:proofErr w:type="spellStart"/>
      <w:r w:rsidRPr="00501641">
        <w:t>sobre</w:t>
      </w:r>
      <w:proofErr w:type="spellEnd"/>
      <w:r w:rsidRPr="00501641">
        <w:t xml:space="preserve"> las </w:t>
      </w:r>
      <w:proofErr w:type="spellStart"/>
      <w:r w:rsidRPr="00501641">
        <w:t>megalópolis</w:t>
      </w:r>
      <w:proofErr w:type="spellEnd"/>
      <w:r w:rsidRPr="00501641">
        <w:t xml:space="preserve"> </w:t>
      </w:r>
      <w:proofErr w:type="spellStart"/>
      <w:r w:rsidRPr="00501641">
        <w:t>costeras</w:t>
      </w:r>
      <w:proofErr w:type="spellEnd"/>
      <w:r w:rsidRPr="00501641">
        <w:t xml:space="preserve"> —que son las </w:t>
      </w:r>
      <w:proofErr w:type="spellStart"/>
      <w:r w:rsidRPr="00501641">
        <w:t>megalópolis</w:t>
      </w:r>
      <w:proofErr w:type="spellEnd"/>
      <w:r w:rsidRPr="00501641">
        <w:t xml:space="preserve"> de </w:t>
      </w:r>
      <w:proofErr w:type="spellStart"/>
      <w:r w:rsidRPr="00501641">
        <w:t>más</w:t>
      </w:r>
      <w:proofErr w:type="spellEnd"/>
      <w:r w:rsidRPr="00501641">
        <w:t xml:space="preserve"> </w:t>
      </w:r>
      <w:proofErr w:type="spellStart"/>
      <w:r w:rsidRPr="00501641">
        <w:t>rápido</w:t>
      </w:r>
      <w:proofErr w:type="spellEnd"/>
      <w:r w:rsidRPr="00501641">
        <w:t xml:space="preserve"> </w:t>
      </w:r>
      <w:proofErr w:type="spellStart"/>
      <w:r w:rsidRPr="00501641">
        <w:t>crecimiento</w:t>
      </w:r>
      <w:proofErr w:type="spellEnd"/>
      <w:r w:rsidRPr="00501641">
        <w:t xml:space="preserve">—, </w:t>
      </w:r>
      <w:proofErr w:type="spellStart"/>
      <w:r w:rsidRPr="00501641">
        <w:t>contribuirán</w:t>
      </w:r>
      <w:proofErr w:type="spellEnd"/>
      <w:r w:rsidRPr="00501641">
        <w:t xml:space="preserve"> a la </w:t>
      </w:r>
      <w:proofErr w:type="spellStart"/>
      <w:r w:rsidRPr="00501641">
        <w:t>consecución</w:t>
      </w:r>
      <w:proofErr w:type="spellEnd"/>
      <w:r w:rsidRPr="00501641">
        <w:t xml:space="preserve"> del </w:t>
      </w:r>
      <w:proofErr w:type="spellStart"/>
      <w:r w:rsidRPr="00501641">
        <w:t>resultado</w:t>
      </w:r>
      <w:proofErr w:type="spellEnd"/>
      <w:r w:rsidRPr="00501641">
        <w:t xml:space="preserve"> 5. Por </w:t>
      </w:r>
      <w:proofErr w:type="spellStart"/>
      <w:r w:rsidRPr="00501641">
        <w:t>otra</w:t>
      </w:r>
      <w:proofErr w:type="spellEnd"/>
      <w:r w:rsidRPr="00501641">
        <w:t xml:space="preserve"> </w:t>
      </w:r>
      <w:proofErr w:type="spellStart"/>
      <w:r w:rsidRPr="00501641">
        <w:t>parte</w:t>
      </w:r>
      <w:proofErr w:type="spellEnd"/>
      <w:r w:rsidRPr="00501641">
        <w:t xml:space="preserve">, la COI </w:t>
      </w:r>
      <w:proofErr w:type="spellStart"/>
      <w:r w:rsidRPr="00501641">
        <w:t>participará</w:t>
      </w:r>
      <w:proofErr w:type="spellEnd"/>
      <w:r w:rsidRPr="00501641">
        <w:t xml:space="preserve"> </w:t>
      </w:r>
      <w:proofErr w:type="spellStart"/>
      <w:r w:rsidRPr="00501641">
        <w:t>en</w:t>
      </w:r>
      <w:proofErr w:type="spellEnd"/>
      <w:r w:rsidRPr="00501641">
        <w:t xml:space="preserve"> el </w:t>
      </w:r>
      <w:proofErr w:type="spellStart"/>
      <w:r w:rsidRPr="00501641">
        <w:t>programa</w:t>
      </w:r>
      <w:proofErr w:type="spellEnd"/>
      <w:r w:rsidRPr="00501641">
        <w:t xml:space="preserve"> </w:t>
      </w:r>
      <w:proofErr w:type="spellStart"/>
      <w:r w:rsidRPr="00501641">
        <w:t>intersectorial</w:t>
      </w:r>
      <w:proofErr w:type="spellEnd"/>
      <w:r w:rsidRPr="00501641">
        <w:t xml:space="preserve"> </w:t>
      </w:r>
      <w:proofErr w:type="spellStart"/>
      <w:r w:rsidRPr="00501641">
        <w:t>relativo</w:t>
      </w:r>
      <w:proofErr w:type="spellEnd"/>
      <w:r w:rsidRPr="00501641">
        <w:t xml:space="preserve"> a la </w:t>
      </w:r>
      <w:proofErr w:type="spellStart"/>
      <w:r w:rsidRPr="00501641">
        <w:t>educación</w:t>
      </w:r>
      <w:proofErr w:type="spellEnd"/>
      <w:r w:rsidRPr="00501641">
        <w:t xml:space="preserve"> </w:t>
      </w:r>
      <w:proofErr w:type="spellStart"/>
      <w:r w:rsidRPr="00501641">
        <w:t>ambiental</w:t>
      </w:r>
      <w:proofErr w:type="spellEnd"/>
      <w:r w:rsidRPr="00501641">
        <w:t xml:space="preserve"> </w:t>
      </w:r>
      <w:proofErr w:type="spellStart"/>
      <w:r w:rsidRPr="00501641">
        <w:t>aportando</w:t>
      </w:r>
      <w:proofErr w:type="spellEnd"/>
      <w:r w:rsidRPr="00501641">
        <w:t xml:space="preserve"> la </w:t>
      </w:r>
      <w:proofErr w:type="spellStart"/>
      <w:r w:rsidRPr="00501641">
        <w:t>dimensión</w:t>
      </w:r>
      <w:proofErr w:type="spellEnd"/>
      <w:r w:rsidRPr="00501641">
        <w:t xml:space="preserve"> </w:t>
      </w:r>
      <w:proofErr w:type="spellStart"/>
      <w:r w:rsidRPr="00501641">
        <w:t>oceánica</w:t>
      </w:r>
      <w:proofErr w:type="spellEnd"/>
      <w:r w:rsidRPr="00501641">
        <w:t xml:space="preserve"> de los </w:t>
      </w:r>
      <w:proofErr w:type="spellStart"/>
      <w:r w:rsidRPr="00501641">
        <w:t>sistemas</w:t>
      </w:r>
      <w:proofErr w:type="spellEnd"/>
      <w:r w:rsidRPr="00501641">
        <w:t xml:space="preserve"> de </w:t>
      </w:r>
      <w:proofErr w:type="spellStart"/>
      <w:r w:rsidRPr="00501641">
        <w:t>conocimiento</w:t>
      </w:r>
      <w:proofErr w:type="spellEnd"/>
      <w:r w:rsidRPr="00501641">
        <w:t xml:space="preserve"> </w:t>
      </w:r>
      <w:proofErr w:type="spellStart"/>
      <w:r w:rsidRPr="00501641">
        <w:t>utilizados</w:t>
      </w:r>
      <w:proofErr w:type="spellEnd"/>
      <w:r w:rsidRPr="00501641">
        <w:t xml:space="preserve"> para </w:t>
      </w:r>
      <w:proofErr w:type="spellStart"/>
      <w:r w:rsidRPr="00501641">
        <w:t>luchar</w:t>
      </w:r>
      <w:proofErr w:type="spellEnd"/>
      <w:r w:rsidRPr="00501641">
        <w:t xml:space="preserve"> contra el </w:t>
      </w:r>
      <w:proofErr w:type="spellStart"/>
      <w:r w:rsidRPr="00501641">
        <w:t>cambio</w:t>
      </w:r>
      <w:proofErr w:type="spellEnd"/>
      <w:r w:rsidRPr="00501641">
        <w:t xml:space="preserve"> </w:t>
      </w:r>
      <w:proofErr w:type="spellStart"/>
      <w:r w:rsidRPr="00501641">
        <w:t>climático</w:t>
      </w:r>
      <w:proofErr w:type="spellEnd"/>
      <w:r w:rsidRPr="00501641">
        <w:t xml:space="preserve"> y </w:t>
      </w:r>
      <w:proofErr w:type="spellStart"/>
      <w:r w:rsidRPr="00501641">
        <w:t>fomentar</w:t>
      </w:r>
      <w:proofErr w:type="spellEnd"/>
      <w:r w:rsidRPr="00501641">
        <w:t xml:space="preserve"> la </w:t>
      </w:r>
      <w:proofErr w:type="spellStart"/>
      <w:r w:rsidRPr="00501641">
        <w:t>gestión</w:t>
      </w:r>
      <w:proofErr w:type="spellEnd"/>
      <w:r w:rsidRPr="00501641">
        <w:t xml:space="preserve"> </w:t>
      </w:r>
      <w:proofErr w:type="spellStart"/>
      <w:r w:rsidRPr="00501641">
        <w:t>sostenible</w:t>
      </w:r>
      <w:proofErr w:type="spellEnd"/>
      <w:r w:rsidRPr="00501641">
        <w:t xml:space="preserve"> de los </w:t>
      </w:r>
      <w:proofErr w:type="spellStart"/>
      <w:r w:rsidRPr="00501641">
        <w:t>ecosistemas</w:t>
      </w:r>
      <w:proofErr w:type="spellEnd"/>
      <w:r w:rsidRPr="00501641">
        <w:t xml:space="preserve"> </w:t>
      </w:r>
      <w:proofErr w:type="spellStart"/>
      <w:r w:rsidRPr="00501641">
        <w:t>oceánicos</w:t>
      </w:r>
      <w:proofErr w:type="spellEnd"/>
      <w:r w:rsidRPr="00501641">
        <w:t>.</w:t>
      </w:r>
    </w:p>
    <w:p w14:paraId="733BC909" w14:textId="0636C9BC" w:rsidR="002E3D9D" w:rsidRPr="00501641" w:rsidRDefault="00BC243D" w:rsidP="00BC243D">
      <w:pPr>
        <w:widowControl/>
        <w:tabs>
          <w:tab w:val="clear" w:pos="567"/>
          <w:tab w:val="left" w:pos="1148"/>
        </w:tabs>
        <w:adjustRightInd/>
        <w:snapToGrid/>
        <w:spacing w:after="240" w:line="240" w:lineRule="auto"/>
        <w:textAlignment w:val="auto"/>
        <w:rPr>
          <w:iCs/>
        </w:rPr>
      </w:pPr>
      <w:r w:rsidRPr="00501641">
        <w:rPr>
          <w:bdr w:val="single" w:sz="4" w:space="0" w:color="auto"/>
        </w:rPr>
        <w:t>03004</w:t>
      </w:r>
      <w:r w:rsidRPr="00501641">
        <w:tab/>
        <w:t xml:space="preserve">La </w:t>
      </w:r>
      <w:proofErr w:type="spellStart"/>
      <w:r w:rsidRPr="00501641">
        <w:t>Secretaría</w:t>
      </w:r>
      <w:proofErr w:type="spellEnd"/>
      <w:r w:rsidRPr="00501641">
        <w:t xml:space="preserve"> de la COI es el </w:t>
      </w:r>
      <w:proofErr w:type="spellStart"/>
      <w:r w:rsidRPr="00501641">
        <w:t>único</w:t>
      </w:r>
      <w:proofErr w:type="spellEnd"/>
      <w:r w:rsidRPr="00501641">
        <w:t xml:space="preserve"> </w:t>
      </w:r>
      <w:proofErr w:type="spellStart"/>
      <w:r w:rsidRPr="00501641">
        <w:t>mecanismo</w:t>
      </w:r>
      <w:proofErr w:type="spellEnd"/>
      <w:r w:rsidRPr="00501641">
        <w:t xml:space="preserve"> </w:t>
      </w:r>
      <w:proofErr w:type="spellStart"/>
      <w:r w:rsidRPr="00501641">
        <w:t>intergubernamental</w:t>
      </w:r>
      <w:proofErr w:type="spellEnd"/>
      <w:r w:rsidRPr="00501641">
        <w:t xml:space="preserve"> del </w:t>
      </w:r>
      <w:proofErr w:type="spellStart"/>
      <w:r w:rsidRPr="00501641">
        <w:t>sistema</w:t>
      </w:r>
      <w:proofErr w:type="spellEnd"/>
      <w:r w:rsidRPr="00501641">
        <w:t xml:space="preserve"> de las </w:t>
      </w:r>
      <w:proofErr w:type="spellStart"/>
      <w:r w:rsidRPr="00501641">
        <w:t>Naciones</w:t>
      </w:r>
      <w:proofErr w:type="spellEnd"/>
      <w:r w:rsidRPr="00501641">
        <w:t xml:space="preserve"> </w:t>
      </w:r>
      <w:proofErr w:type="spellStart"/>
      <w:r w:rsidRPr="00501641">
        <w:t>Unidas</w:t>
      </w:r>
      <w:proofErr w:type="spellEnd"/>
      <w:r w:rsidRPr="00501641">
        <w:t xml:space="preserve"> </w:t>
      </w:r>
      <w:proofErr w:type="spellStart"/>
      <w:r w:rsidRPr="00501641">
        <w:t>plenamente</w:t>
      </w:r>
      <w:proofErr w:type="spellEnd"/>
      <w:r w:rsidRPr="00501641">
        <w:t xml:space="preserve"> </w:t>
      </w:r>
      <w:proofErr w:type="spellStart"/>
      <w:r w:rsidRPr="00501641">
        <w:t>dedicado</w:t>
      </w:r>
      <w:proofErr w:type="spellEnd"/>
      <w:r w:rsidRPr="00501641">
        <w:t xml:space="preserve"> al </w:t>
      </w:r>
      <w:proofErr w:type="spellStart"/>
      <w:r w:rsidRPr="00501641">
        <w:t>desarrollo</w:t>
      </w:r>
      <w:proofErr w:type="spellEnd"/>
      <w:r w:rsidRPr="00501641">
        <w:t xml:space="preserve"> de las </w:t>
      </w:r>
      <w:proofErr w:type="spellStart"/>
      <w:r w:rsidRPr="00501641">
        <w:t>ciencias</w:t>
      </w:r>
      <w:proofErr w:type="spellEnd"/>
      <w:r w:rsidRPr="00501641">
        <w:t xml:space="preserve"> </w:t>
      </w:r>
      <w:proofErr w:type="spellStart"/>
      <w:r w:rsidRPr="00501641">
        <w:t>oceánicas</w:t>
      </w:r>
      <w:proofErr w:type="spellEnd"/>
      <w:r w:rsidRPr="00501641">
        <w:t xml:space="preserve">. </w:t>
      </w:r>
      <w:proofErr w:type="spellStart"/>
      <w:r w:rsidRPr="00501641">
        <w:t>Todas</w:t>
      </w:r>
      <w:proofErr w:type="spellEnd"/>
      <w:r w:rsidRPr="00501641">
        <w:t xml:space="preserve"> las </w:t>
      </w:r>
      <w:proofErr w:type="spellStart"/>
      <w:r w:rsidRPr="00501641">
        <w:t>auditorías</w:t>
      </w:r>
      <w:proofErr w:type="spellEnd"/>
      <w:r w:rsidRPr="00501641">
        <w:t xml:space="preserve"> y </w:t>
      </w:r>
      <w:proofErr w:type="spellStart"/>
      <w:r w:rsidRPr="00501641">
        <w:t>evaluaciones</w:t>
      </w:r>
      <w:proofErr w:type="spellEnd"/>
      <w:r w:rsidRPr="00501641">
        <w:t xml:space="preserve"> </w:t>
      </w:r>
      <w:proofErr w:type="spellStart"/>
      <w:r w:rsidRPr="00501641">
        <w:t>recientes</w:t>
      </w:r>
      <w:proofErr w:type="spellEnd"/>
      <w:r w:rsidRPr="00501641">
        <w:t xml:space="preserve"> de la COI </w:t>
      </w:r>
      <w:proofErr w:type="spellStart"/>
      <w:r w:rsidRPr="00501641">
        <w:t>han</w:t>
      </w:r>
      <w:proofErr w:type="spellEnd"/>
      <w:r w:rsidRPr="00501641">
        <w:t xml:space="preserve"> </w:t>
      </w:r>
      <w:proofErr w:type="spellStart"/>
      <w:r w:rsidRPr="00501641">
        <w:t>indicado</w:t>
      </w:r>
      <w:proofErr w:type="spellEnd"/>
      <w:r w:rsidRPr="00501641">
        <w:t xml:space="preserve"> que, </w:t>
      </w:r>
      <w:proofErr w:type="spellStart"/>
      <w:r w:rsidRPr="00501641">
        <w:t>si</w:t>
      </w:r>
      <w:proofErr w:type="spellEnd"/>
      <w:r w:rsidRPr="00501641">
        <w:t xml:space="preserve"> bien la Comisión </w:t>
      </w:r>
      <w:proofErr w:type="spellStart"/>
      <w:r w:rsidRPr="00501641">
        <w:t>representa</w:t>
      </w:r>
      <w:proofErr w:type="spellEnd"/>
      <w:r w:rsidRPr="00501641">
        <w:t xml:space="preserve"> una </w:t>
      </w:r>
      <w:proofErr w:type="spellStart"/>
      <w:r w:rsidRPr="00501641">
        <w:t>inversión</w:t>
      </w:r>
      <w:proofErr w:type="spellEnd"/>
      <w:r w:rsidRPr="00501641">
        <w:t xml:space="preserve"> </w:t>
      </w:r>
      <w:proofErr w:type="spellStart"/>
      <w:r w:rsidRPr="00501641">
        <w:t>extraordinariamente</w:t>
      </w:r>
      <w:proofErr w:type="spellEnd"/>
      <w:r w:rsidRPr="00501641">
        <w:t xml:space="preserve"> </w:t>
      </w:r>
      <w:proofErr w:type="spellStart"/>
      <w:r w:rsidRPr="00501641">
        <w:t>productiva</w:t>
      </w:r>
      <w:proofErr w:type="spellEnd"/>
      <w:r w:rsidRPr="00501641">
        <w:t xml:space="preserve"> y de alto </w:t>
      </w:r>
      <w:proofErr w:type="spellStart"/>
      <w:r w:rsidRPr="00501641">
        <w:t>rendimiento</w:t>
      </w:r>
      <w:proofErr w:type="spellEnd"/>
      <w:r w:rsidRPr="00501641">
        <w:t xml:space="preserve"> de los </w:t>
      </w:r>
      <w:proofErr w:type="spellStart"/>
      <w:r w:rsidRPr="00501641">
        <w:t>Estados</w:t>
      </w:r>
      <w:proofErr w:type="spellEnd"/>
      <w:r w:rsidRPr="00501641">
        <w:t xml:space="preserve"> </w:t>
      </w:r>
      <w:proofErr w:type="spellStart"/>
      <w:r w:rsidRPr="00501641">
        <w:t>Miembros</w:t>
      </w:r>
      <w:proofErr w:type="spellEnd"/>
      <w:r w:rsidRPr="00501641">
        <w:t xml:space="preserve"> </w:t>
      </w:r>
      <w:proofErr w:type="spellStart"/>
      <w:r w:rsidRPr="00501641">
        <w:t>en</w:t>
      </w:r>
      <w:proofErr w:type="spellEnd"/>
      <w:r w:rsidRPr="00501641">
        <w:t xml:space="preserve"> los </w:t>
      </w:r>
      <w:proofErr w:type="spellStart"/>
      <w:r w:rsidRPr="00501641">
        <w:t>futuros</w:t>
      </w:r>
      <w:proofErr w:type="spellEnd"/>
      <w:r w:rsidRPr="00501641">
        <w:t xml:space="preserve"> </w:t>
      </w:r>
      <w:proofErr w:type="spellStart"/>
      <w:r w:rsidRPr="00501641">
        <w:t>servicios</w:t>
      </w:r>
      <w:proofErr w:type="spellEnd"/>
      <w:r w:rsidRPr="00501641">
        <w:t xml:space="preserve"> </w:t>
      </w:r>
      <w:proofErr w:type="spellStart"/>
      <w:r w:rsidRPr="00501641">
        <w:t>oceánicos</w:t>
      </w:r>
      <w:proofErr w:type="spellEnd"/>
      <w:r w:rsidRPr="00501641">
        <w:t xml:space="preserve"> </w:t>
      </w:r>
      <w:proofErr w:type="spellStart"/>
      <w:r w:rsidRPr="00501641">
        <w:t>sostenibles</w:t>
      </w:r>
      <w:proofErr w:type="spellEnd"/>
      <w:r w:rsidRPr="00501641">
        <w:t xml:space="preserve"> </w:t>
      </w:r>
      <w:proofErr w:type="spellStart"/>
      <w:r w:rsidRPr="00501641">
        <w:t>basados</w:t>
      </w:r>
      <w:proofErr w:type="spellEnd"/>
      <w:r w:rsidRPr="00501641">
        <w:t xml:space="preserve"> </w:t>
      </w:r>
      <w:proofErr w:type="spellStart"/>
      <w:r w:rsidRPr="00501641">
        <w:t>en</w:t>
      </w:r>
      <w:proofErr w:type="spellEnd"/>
      <w:r w:rsidRPr="00501641">
        <w:t xml:space="preserve"> el </w:t>
      </w:r>
      <w:proofErr w:type="spellStart"/>
      <w:r w:rsidRPr="00501641">
        <w:t>conocimiento</w:t>
      </w:r>
      <w:proofErr w:type="spellEnd"/>
      <w:r w:rsidRPr="00501641">
        <w:t xml:space="preserve">, </w:t>
      </w:r>
      <w:proofErr w:type="spellStart"/>
      <w:r w:rsidRPr="00501641">
        <w:t>esta</w:t>
      </w:r>
      <w:proofErr w:type="spellEnd"/>
      <w:r w:rsidRPr="00501641">
        <w:t xml:space="preserve"> </w:t>
      </w:r>
      <w:proofErr w:type="spellStart"/>
      <w:r w:rsidRPr="00501641">
        <w:t>inversión</w:t>
      </w:r>
      <w:proofErr w:type="spellEnd"/>
      <w:r w:rsidRPr="00501641">
        <w:t xml:space="preserve"> es </w:t>
      </w:r>
      <w:proofErr w:type="spellStart"/>
      <w:r w:rsidRPr="00501641">
        <w:t>totalmente</w:t>
      </w:r>
      <w:proofErr w:type="spellEnd"/>
      <w:r w:rsidRPr="00501641">
        <w:t xml:space="preserve"> </w:t>
      </w:r>
      <w:proofErr w:type="spellStart"/>
      <w:r w:rsidRPr="00501641">
        <w:t>insuficiente</w:t>
      </w:r>
      <w:proofErr w:type="spellEnd"/>
      <w:r w:rsidRPr="00501641">
        <w:t xml:space="preserve">, y que la COI </w:t>
      </w:r>
      <w:proofErr w:type="spellStart"/>
      <w:r w:rsidRPr="00501641">
        <w:t>carece</w:t>
      </w:r>
      <w:proofErr w:type="spellEnd"/>
      <w:r w:rsidRPr="00501641">
        <w:t xml:space="preserve"> de personal y </w:t>
      </w:r>
      <w:proofErr w:type="spellStart"/>
      <w:r w:rsidRPr="00501641">
        <w:t>recursos</w:t>
      </w:r>
      <w:proofErr w:type="spellEnd"/>
      <w:r w:rsidRPr="00501641">
        <w:t xml:space="preserve"> </w:t>
      </w:r>
      <w:proofErr w:type="spellStart"/>
      <w:r w:rsidRPr="00501641">
        <w:t>suficientes</w:t>
      </w:r>
      <w:proofErr w:type="spellEnd"/>
      <w:r w:rsidRPr="00501641">
        <w:t xml:space="preserve"> para </w:t>
      </w:r>
      <w:proofErr w:type="spellStart"/>
      <w:r w:rsidRPr="00501641">
        <w:t>cumplir</w:t>
      </w:r>
      <w:proofErr w:type="spellEnd"/>
      <w:r w:rsidRPr="00501641">
        <w:t xml:space="preserve"> </w:t>
      </w:r>
      <w:proofErr w:type="spellStart"/>
      <w:r w:rsidRPr="00501641">
        <w:t>su</w:t>
      </w:r>
      <w:proofErr w:type="spellEnd"/>
      <w:r w:rsidRPr="00501641">
        <w:t xml:space="preserve"> </w:t>
      </w:r>
      <w:proofErr w:type="spellStart"/>
      <w:r w:rsidRPr="00501641">
        <w:t>creciente</w:t>
      </w:r>
      <w:proofErr w:type="spellEnd"/>
      <w:r w:rsidRPr="00501641">
        <w:t xml:space="preserve"> </w:t>
      </w:r>
      <w:proofErr w:type="spellStart"/>
      <w:r w:rsidRPr="00501641">
        <w:t>mandato</w:t>
      </w:r>
      <w:proofErr w:type="spellEnd"/>
      <w:r w:rsidRPr="00501641">
        <w:t>.</w:t>
      </w:r>
    </w:p>
    <w:p w14:paraId="0CB0AFAC" w14:textId="313DE2E0" w:rsidR="004C110A" w:rsidRPr="00501641" w:rsidRDefault="00BC243D" w:rsidP="00BC243D">
      <w:pPr>
        <w:pStyle w:val="Marge"/>
        <w:tabs>
          <w:tab w:val="clear" w:pos="567"/>
          <w:tab w:val="left" w:pos="1162"/>
        </w:tabs>
        <w:spacing w:line="240" w:lineRule="auto"/>
      </w:pPr>
      <w:r w:rsidRPr="00501641">
        <w:rPr>
          <w:bdr w:val="single" w:sz="4" w:space="0" w:color="auto"/>
        </w:rPr>
        <w:t>03005</w:t>
      </w:r>
      <w:r w:rsidRPr="00501641">
        <w:tab/>
        <w:t xml:space="preserve">A </w:t>
      </w:r>
      <w:proofErr w:type="spellStart"/>
      <w:r w:rsidRPr="00501641">
        <w:t>pesar</w:t>
      </w:r>
      <w:proofErr w:type="spellEnd"/>
      <w:r w:rsidRPr="00501641">
        <w:t xml:space="preserve"> del </w:t>
      </w:r>
      <w:proofErr w:type="spellStart"/>
      <w:r w:rsidRPr="00501641">
        <w:t>limitado</w:t>
      </w:r>
      <w:proofErr w:type="spellEnd"/>
      <w:r w:rsidRPr="00501641">
        <w:t xml:space="preserve"> </w:t>
      </w:r>
      <w:proofErr w:type="spellStart"/>
      <w:r w:rsidRPr="00501641">
        <w:t>presupuesto</w:t>
      </w:r>
      <w:proofErr w:type="spellEnd"/>
      <w:r w:rsidRPr="00501641">
        <w:t xml:space="preserve"> del </w:t>
      </w:r>
      <w:proofErr w:type="spellStart"/>
      <w:r w:rsidRPr="00501641">
        <w:t>programa</w:t>
      </w:r>
      <w:proofErr w:type="spellEnd"/>
      <w:r w:rsidRPr="00501641">
        <w:t xml:space="preserve"> </w:t>
      </w:r>
      <w:proofErr w:type="spellStart"/>
      <w:r w:rsidRPr="00501641">
        <w:t>ordinario</w:t>
      </w:r>
      <w:proofErr w:type="spellEnd"/>
      <w:r w:rsidRPr="00501641">
        <w:t xml:space="preserve">, el </w:t>
      </w:r>
      <w:proofErr w:type="spellStart"/>
      <w:r w:rsidRPr="00501641">
        <w:t>alcance</w:t>
      </w:r>
      <w:proofErr w:type="spellEnd"/>
      <w:r w:rsidRPr="00501641">
        <w:t xml:space="preserve"> de la </w:t>
      </w:r>
      <w:proofErr w:type="spellStart"/>
      <w:r w:rsidRPr="00501641">
        <w:t>labor</w:t>
      </w:r>
      <w:proofErr w:type="spellEnd"/>
      <w:r w:rsidRPr="00501641">
        <w:t xml:space="preserve"> de la COI </w:t>
      </w:r>
      <w:proofErr w:type="spellStart"/>
      <w:r w:rsidRPr="00501641">
        <w:t>aumenta</w:t>
      </w:r>
      <w:proofErr w:type="spellEnd"/>
      <w:r w:rsidRPr="00501641">
        <w:t xml:space="preserve"> </w:t>
      </w:r>
      <w:proofErr w:type="spellStart"/>
      <w:r w:rsidRPr="00501641">
        <w:t>continuamente</w:t>
      </w:r>
      <w:proofErr w:type="spellEnd"/>
      <w:r w:rsidRPr="00501641">
        <w:t xml:space="preserve">. Se </w:t>
      </w:r>
      <w:proofErr w:type="spellStart"/>
      <w:r w:rsidRPr="00501641">
        <w:t>necesitan</w:t>
      </w:r>
      <w:proofErr w:type="spellEnd"/>
      <w:r w:rsidRPr="00501641">
        <w:t xml:space="preserve"> </w:t>
      </w:r>
      <w:proofErr w:type="spellStart"/>
      <w:r w:rsidRPr="00501641">
        <w:t>cambios</w:t>
      </w:r>
      <w:proofErr w:type="spellEnd"/>
      <w:r w:rsidRPr="00501641">
        <w:t xml:space="preserve"> </w:t>
      </w:r>
      <w:proofErr w:type="spellStart"/>
      <w:r w:rsidRPr="00501641">
        <w:t>estratégicos</w:t>
      </w:r>
      <w:proofErr w:type="spellEnd"/>
      <w:r w:rsidRPr="00501641">
        <w:t xml:space="preserve"> para que la COI </w:t>
      </w:r>
      <w:proofErr w:type="spellStart"/>
      <w:r w:rsidRPr="00501641">
        <w:t>lidere</w:t>
      </w:r>
      <w:proofErr w:type="spellEnd"/>
      <w:r w:rsidRPr="00501641">
        <w:t xml:space="preserve"> la </w:t>
      </w:r>
      <w:proofErr w:type="spellStart"/>
      <w:r w:rsidRPr="00501641">
        <w:t>coordinación</w:t>
      </w:r>
      <w:proofErr w:type="spellEnd"/>
      <w:r w:rsidRPr="00501641">
        <w:t xml:space="preserve"> de la </w:t>
      </w:r>
      <w:proofErr w:type="spellStart"/>
      <w:r w:rsidRPr="00501641">
        <w:t>investigación</w:t>
      </w:r>
      <w:proofErr w:type="spellEnd"/>
      <w:r w:rsidRPr="00501641">
        <w:t xml:space="preserve"> </w:t>
      </w:r>
      <w:proofErr w:type="spellStart"/>
      <w:r w:rsidRPr="00501641">
        <w:t>oceánica</w:t>
      </w:r>
      <w:proofErr w:type="spellEnd"/>
      <w:r w:rsidRPr="00501641">
        <w:t xml:space="preserve"> </w:t>
      </w:r>
      <w:proofErr w:type="spellStart"/>
      <w:r w:rsidRPr="00501641">
        <w:t>en</w:t>
      </w:r>
      <w:proofErr w:type="spellEnd"/>
      <w:r w:rsidRPr="00501641">
        <w:t xml:space="preserve"> </w:t>
      </w:r>
      <w:proofErr w:type="spellStart"/>
      <w:r w:rsidRPr="00501641">
        <w:t>temas</w:t>
      </w:r>
      <w:proofErr w:type="spellEnd"/>
      <w:r w:rsidRPr="00501641">
        <w:t xml:space="preserve"> </w:t>
      </w:r>
      <w:proofErr w:type="spellStart"/>
      <w:r w:rsidRPr="00501641">
        <w:t>importantes</w:t>
      </w:r>
      <w:proofErr w:type="spellEnd"/>
      <w:r w:rsidRPr="00501641">
        <w:t xml:space="preserve"> </w:t>
      </w:r>
      <w:proofErr w:type="spellStart"/>
      <w:r w:rsidRPr="00501641">
        <w:t>como</w:t>
      </w:r>
      <w:proofErr w:type="spellEnd"/>
      <w:r w:rsidRPr="00501641">
        <w:t xml:space="preserve"> la </w:t>
      </w:r>
      <w:proofErr w:type="spellStart"/>
      <w:r w:rsidRPr="00501641">
        <w:t>acidificación</w:t>
      </w:r>
      <w:proofErr w:type="spellEnd"/>
      <w:r w:rsidRPr="00501641">
        <w:t xml:space="preserve"> y la </w:t>
      </w:r>
      <w:proofErr w:type="spellStart"/>
      <w:r w:rsidRPr="00501641">
        <w:t>desoxigenación</w:t>
      </w:r>
      <w:proofErr w:type="spellEnd"/>
      <w:r w:rsidRPr="00501641">
        <w:t xml:space="preserve"> del </w:t>
      </w:r>
      <w:proofErr w:type="spellStart"/>
      <w:r w:rsidRPr="00501641">
        <w:t>océano</w:t>
      </w:r>
      <w:proofErr w:type="spellEnd"/>
      <w:r w:rsidRPr="00501641">
        <w:t xml:space="preserve"> y las </w:t>
      </w:r>
      <w:proofErr w:type="spellStart"/>
      <w:r w:rsidRPr="00501641">
        <w:t>repercusiones</w:t>
      </w:r>
      <w:proofErr w:type="spellEnd"/>
      <w:r w:rsidRPr="00501641">
        <w:t xml:space="preserve"> de los </w:t>
      </w:r>
      <w:proofErr w:type="spellStart"/>
      <w:r w:rsidRPr="00501641">
        <w:t>factores</w:t>
      </w:r>
      <w:proofErr w:type="spellEnd"/>
      <w:r w:rsidRPr="00501641">
        <w:t xml:space="preserve"> de </w:t>
      </w:r>
      <w:proofErr w:type="spellStart"/>
      <w:r w:rsidRPr="00501641">
        <w:t>perturbación</w:t>
      </w:r>
      <w:proofErr w:type="spellEnd"/>
      <w:r w:rsidRPr="00501641">
        <w:t xml:space="preserve"> </w:t>
      </w:r>
      <w:proofErr w:type="spellStart"/>
      <w:r w:rsidRPr="00501641">
        <w:t>múltiples</w:t>
      </w:r>
      <w:proofErr w:type="spellEnd"/>
      <w:r w:rsidRPr="00501641">
        <w:t xml:space="preserve"> </w:t>
      </w:r>
      <w:proofErr w:type="spellStart"/>
      <w:r w:rsidRPr="00501641">
        <w:t>en</w:t>
      </w:r>
      <w:proofErr w:type="spellEnd"/>
      <w:r w:rsidRPr="00501641">
        <w:t xml:space="preserve"> la </w:t>
      </w:r>
      <w:proofErr w:type="spellStart"/>
      <w:r w:rsidRPr="00501641">
        <w:t>biodiversidad</w:t>
      </w:r>
      <w:proofErr w:type="spellEnd"/>
      <w:r w:rsidRPr="00501641">
        <w:t xml:space="preserve"> marina, </w:t>
      </w:r>
      <w:proofErr w:type="spellStart"/>
      <w:r w:rsidRPr="00501641">
        <w:t>prosiguiendo</w:t>
      </w:r>
      <w:proofErr w:type="spellEnd"/>
      <w:r w:rsidRPr="00501641">
        <w:t xml:space="preserve"> al </w:t>
      </w:r>
      <w:proofErr w:type="spellStart"/>
      <w:r w:rsidRPr="00501641">
        <w:t>mismo</w:t>
      </w:r>
      <w:proofErr w:type="spellEnd"/>
      <w:r w:rsidRPr="00501641">
        <w:t xml:space="preserve"> </w:t>
      </w:r>
      <w:proofErr w:type="spellStart"/>
      <w:r w:rsidRPr="00501641">
        <w:t>tiempo</w:t>
      </w:r>
      <w:proofErr w:type="spellEnd"/>
      <w:r w:rsidRPr="00501641">
        <w:t xml:space="preserve"> sus </w:t>
      </w:r>
      <w:proofErr w:type="spellStart"/>
      <w:r w:rsidRPr="00501641">
        <w:t>esfuerzos</w:t>
      </w:r>
      <w:proofErr w:type="spellEnd"/>
      <w:r w:rsidRPr="00501641">
        <w:t xml:space="preserve"> para </w:t>
      </w:r>
      <w:proofErr w:type="spellStart"/>
      <w:r w:rsidRPr="00501641">
        <w:t>mantener</w:t>
      </w:r>
      <w:proofErr w:type="spellEnd"/>
      <w:r w:rsidRPr="00501641">
        <w:t xml:space="preserve"> y </w:t>
      </w:r>
      <w:proofErr w:type="spellStart"/>
      <w:r w:rsidRPr="00501641">
        <w:t>aumentar</w:t>
      </w:r>
      <w:proofErr w:type="spellEnd"/>
      <w:r w:rsidRPr="00501641">
        <w:t xml:space="preserve"> las </w:t>
      </w:r>
      <w:proofErr w:type="spellStart"/>
      <w:r w:rsidRPr="00501641">
        <w:t>observaciones</w:t>
      </w:r>
      <w:proofErr w:type="spellEnd"/>
      <w:r w:rsidRPr="00501641">
        <w:t xml:space="preserve"> </w:t>
      </w:r>
      <w:proofErr w:type="spellStart"/>
      <w:r w:rsidRPr="00501641">
        <w:t>mundiales</w:t>
      </w:r>
      <w:proofErr w:type="spellEnd"/>
      <w:r w:rsidRPr="00501641">
        <w:t xml:space="preserve"> y la </w:t>
      </w:r>
      <w:proofErr w:type="spellStart"/>
      <w:r w:rsidRPr="00501641">
        <w:t>recopilación</w:t>
      </w:r>
      <w:proofErr w:type="spellEnd"/>
      <w:r w:rsidRPr="00501641">
        <w:t xml:space="preserve"> de </w:t>
      </w:r>
      <w:proofErr w:type="spellStart"/>
      <w:r w:rsidRPr="00501641">
        <w:t>datos</w:t>
      </w:r>
      <w:proofErr w:type="spellEnd"/>
      <w:r w:rsidRPr="00501641">
        <w:t xml:space="preserve"> </w:t>
      </w:r>
      <w:proofErr w:type="spellStart"/>
      <w:r w:rsidRPr="00501641">
        <w:t>relevantes</w:t>
      </w:r>
      <w:proofErr w:type="spellEnd"/>
      <w:r w:rsidRPr="00501641">
        <w:t xml:space="preserve"> y </w:t>
      </w:r>
      <w:proofErr w:type="spellStart"/>
      <w:r w:rsidRPr="00501641">
        <w:t>necesarios</w:t>
      </w:r>
      <w:proofErr w:type="spellEnd"/>
      <w:r w:rsidRPr="00501641">
        <w:t xml:space="preserve"> para la </w:t>
      </w:r>
      <w:proofErr w:type="spellStart"/>
      <w:r w:rsidRPr="00501641">
        <w:t>sociedad</w:t>
      </w:r>
      <w:proofErr w:type="spellEnd"/>
      <w:r w:rsidRPr="00501641">
        <w:t xml:space="preserve">, </w:t>
      </w:r>
      <w:proofErr w:type="spellStart"/>
      <w:r w:rsidRPr="00501641">
        <w:t>en</w:t>
      </w:r>
      <w:proofErr w:type="spellEnd"/>
      <w:r w:rsidRPr="00501641">
        <w:t xml:space="preserve"> el </w:t>
      </w:r>
      <w:proofErr w:type="spellStart"/>
      <w:r w:rsidRPr="00501641">
        <w:t>marco</w:t>
      </w:r>
      <w:proofErr w:type="spellEnd"/>
      <w:r w:rsidRPr="00501641">
        <w:t xml:space="preserve"> del GOOS. La </w:t>
      </w:r>
      <w:proofErr w:type="spellStart"/>
      <w:r w:rsidRPr="00501641">
        <w:t>conferencia</w:t>
      </w:r>
      <w:proofErr w:type="spellEnd"/>
      <w:r w:rsidRPr="00501641">
        <w:t xml:space="preserve"> </w:t>
      </w:r>
      <w:proofErr w:type="spellStart"/>
      <w:r w:rsidRPr="00501641">
        <w:t>intergubernamental</w:t>
      </w:r>
      <w:proofErr w:type="spellEnd"/>
      <w:r w:rsidRPr="00501641">
        <w:t xml:space="preserve"> </w:t>
      </w:r>
      <w:proofErr w:type="spellStart"/>
      <w:r w:rsidRPr="00501641">
        <w:t>sobre</w:t>
      </w:r>
      <w:proofErr w:type="spellEnd"/>
      <w:r w:rsidRPr="00501641">
        <w:t xml:space="preserve"> un </w:t>
      </w:r>
      <w:proofErr w:type="spellStart"/>
      <w:r w:rsidRPr="00501641">
        <w:t>instrumento</w:t>
      </w:r>
      <w:proofErr w:type="spellEnd"/>
      <w:r w:rsidRPr="00501641">
        <w:t xml:space="preserve"> </w:t>
      </w:r>
      <w:proofErr w:type="spellStart"/>
      <w:r w:rsidRPr="00501641">
        <w:t>internacional</w:t>
      </w:r>
      <w:proofErr w:type="spellEnd"/>
      <w:r w:rsidRPr="00501641">
        <w:t xml:space="preserve"> </w:t>
      </w:r>
      <w:proofErr w:type="spellStart"/>
      <w:r w:rsidRPr="00501641">
        <w:t>jurídicamente</w:t>
      </w:r>
      <w:proofErr w:type="spellEnd"/>
      <w:r w:rsidRPr="00501641">
        <w:t xml:space="preserve"> </w:t>
      </w:r>
      <w:proofErr w:type="spellStart"/>
      <w:r w:rsidRPr="00501641">
        <w:t>vinculante</w:t>
      </w:r>
      <w:proofErr w:type="spellEnd"/>
      <w:r w:rsidRPr="00501641">
        <w:t xml:space="preserve"> </w:t>
      </w:r>
      <w:proofErr w:type="spellStart"/>
      <w:r w:rsidRPr="00501641">
        <w:t>en</w:t>
      </w:r>
      <w:proofErr w:type="spellEnd"/>
      <w:r w:rsidRPr="00501641">
        <w:t xml:space="preserve"> el </w:t>
      </w:r>
      <w:proofErr w:type="spellStart"/>
      <w:r w:rsidRPr="00501641">
        <w:t>marco</w:t>
      </w:r>
      <w:proofErr w:type="spellEnd"/>
      <w:r w:rsidRPr="00501641">
        <w:t xml:space="preserve"> de la </w:t>
      </w:r>
      <w:proofErr w:type="spellStart"/>
      <w:r w:rsidRPr="00501641">
        <w:t>Convención</w:t>
      </w:r>
      <w:proofErr w:type="spellEnd"/>
      <w:r w:rsidRPr="00501641">
        <w:t xml:space="preserve"> de las </w:t>
      </w:r>
      <w:proofErr w:type="spellStart"/>
      <w:r w:rsidRPr="00501641">
        <w:t>Naciones</w:t>
      </w:r>
      <w:proofErr w:type="spellEnd"/>
      <w:r w:rsidRPr="00501641">
        <w:t xml:space="preserve"> </w:t>
      </w:r>
      <w:proofErr w:type="spellStart"/>
      <w:r w:rsidRPr="00501641">
        <w:t>Unidas</w:t>
      </w:r>
      <w:proofErr w:type="spellEnd"/>
      <w:r w:rsidRPr="00501641">
        <w:t xml:space="preserve"> </w:t>
      </w:r>
      <w:proofErr w:type="spellStart"/>
      <w:r w:rsidRPr="00501641">
        <w:t>sobre</w:t>
      </w:r>
      <w:proofErr w:type="spellEnd"/>
      <w:r w:rsidRPr="00501641">
        <w:t xml:space="preserve"> el </w:t>
      </w:r>
      <w:proofErr w:type="spellStart"/>
      <w:r w:rsidRPr="00501641">
        <w:t>Derecho</w:t>
      </w:r>
      <w:proofErr w:type="spellEnd"/>
      <w:r w:rsidRPr="00501641">
        <w:t xml:space="preserve"> del Mar </w:t>
      </w:r>
      <w:proofErr w:type="spellStart"/>
      <w:r w:rsidRPr="00501641">
        <w:t>relativo</w:t>
      </w:r>
      <w:proofErr w:type="spellEnd"/>
      <w:r w:rsidRPr="00501641">
        <w:t xml:space="preserve"> a la </w:t>
      </w:r>
      <w:proofErr w:type="spellStart"/>
      <w:r w:rsidRPr="00501641">
        <w:t>conservación</w:t>
      </w:r>
      <w:proofErr w:type="spellEnd"/>
      <w:r w:rsidRPr="00501641">
        <w:t xml:space="preserve"> y el </w:t>
      </w:r>
      <w:proofErr w:type="spellStart"/>
      <w:r w:rsidRPr="00501641">
        <w:t>uso</w:t>
      </w:r>
      <w:proofErr w:type="spellEnd"/>
      <w:r w:rsidRPr="00501641">
        <w:t xml:space="preserve"> </w:t>
      </w:r>
      <w:proofErr w:type="spellStart"/>
      <w:r w:rsidRPr="00501641">
        <w:t>sostenible</w:t>
      </w:r>
      <w:proofErr w:type="spellEnd"/>
      <w:r w:rsidRPr="00501641">
        <w:t xml:space="preserve"> de la </w:t>
      </w:r>
      <w:proofErr w:type="spellStart"/>
      <w:r w:rsidRPr="00501641">
        <w:t>diversidad</w:t>
      </w:r>
      <w:proofErr w:type="spellEnd"/>
      <w:r w:rsidRPr="00501641">
        <w:t xml:space="preserve"> </w:t>
      </w:r>
      <w:proofErr w:type="spellStart"/>
      <w:r w:rsidRPr="00501641">
        <w:t>biológica</w:t>
      </w:r>
      <w:proofErr w:type="spellEnd"/>
      <w:r w:rsidRPr="00501641">
        <w:t xml:space="preserve"> marina de las zonas </w:t>
      </w:r>
      <w:proofErr w:type="spellStart"/>
      <w:r w:rsidRPr="00501641">
        <w:t>situadas</w:t>
      </w:r>
      <w:proofErr w:type="spellEnd"/>
      <w:r w:rsidRPr="00501641">
        <w:t xml:space="preserve"> </w:t>
      </w:r>
      <w:proofErr w:type="spellStart"/>
      <w:r w:rsidRPr="00501641">
        <w:t>fuera</w:t>
      </w:r>
      <w:proofErr w:type="spellEnd"/>
      <w:r w:rsidRPr="00501641">
        <w:t xml:space="preserve"> de la </w:t>
      </w:r>
      <w:proofErr w:type="spellStart"/>
      <w:r w:rsidRPr="00501641">
        <w:t>jurisdicción</w:t>
      </w:r>
      <w:proofErr w:type="spellEnd"/>
      <w:r w:rsidRPr="00501641">
        <w:t xml:space="preserve"> </w:t>
      </w:r>
      <w:proofErr w:type="spellStart"/>
      <w:r w:rsidRPr="00501641">
        <w:t>nacional</w:t>
      </w:r>
      <w:proofErr w:type="spellEnd"/>
      <w:r w:rsidRPr="00501641">
        <w:t xml:space="preserve"> </w:t>
      </w:r>
      <w:proofErr w:type="spellStart"/>
      <w:r w:rsidRPr="00501641">
        <w:t>está</w:t>
      </w:r>
      <w:proofErr w:type="spellEnd"/>
      <w:r w:rsidRPr="00501641">
        <w:t xml:space="preserve"> </w:t>
      </w:r>
      <w:proofErr w:type="spellStart"/>
      <w:r w:rsidRPr="00501641">
        <w:t>considerando</w:t>
      </w:r>
      <w:proofErr w:type="spellEnd"/>
      <w:r w:rsidRPr="00501641">
        <w:t xml:space="preserve"> la </w:t>
      </w:r>
      <w:proofErr w:type="spellStart"/>
      <w:r w:rsidRPr="00501641">
        <w:t>posibilidad</w:t>
      </w:r>
      <w:proofErr w:type="spellEnd"/>
      <w:r w:rsidRPr="00501641">
        <w:t xml:space="preserve"> de que la </w:t>
      </w:r>
      <w:proofErr w:type="spellStart"/>
      <w:r w:rsidRPr="00501641">
        <w:t>Secretaría</w:t>
      </w:r>
      <w:proofErr w:type="spellEnd"/>
      <w:r w:rsidRPr="00501641">
        <w:t xml:space="preserve"> de la COI </w:t>
      </w:r>
      <w:proofErr w:type="spellStart"/>
      <w:r w:rsidRPr="00501641">
        <w:t>sirva</w:t>
      </w:r>
      <w:proofErr w:type="spellEnd"/>
      <w:r w:rsidRPr="00501641">
        <w:t xml:space="preserve"> de </w:t>
      </w:r>
      <w:proofErr w:type="spellStart"/>
      <w:r w:rsidRPr="00501641">
        <w:t>mecanismo</w:t>
      </w:r>
      <w:proofErr w:type="spellEnd"/>
      <w:r w:rsidRPr="00501641">
        <w:t xml:space="preserve"> para </w:t>
      </w:r>
      <w:proofErr w:type="spellStart"/>
      <w:r w:rsidRPr="00501641">
        <w:t>coordinar</w:t>
      </w:r>
      <w:proofErr w:type="spellEnd"/>
      <w:r w:rsidRPr="00501641">
        <w:t xml:space="preserve"> la </w:t>
      </w:r>
      <w:proofErr w:type="spellStart"/>
      <w:r w:rsidRPr="00501641">
        <w:t>labor</w:t>
      </w:r>
      <w:proofErr w:type="spellEnd"/>
      <w:r w:rsidRPr="00501641">
        <w:t xml:space="preserve"> de </w:t>
      </w:r>
      <w:proofErr w:type="spellStart"/>
      <w:r w:rsidRPr="00501641">
        <w:t>desarrollo</w:t>
      </w:r>
      <w:proofErr w:type="spellEnd"/>
      <w:r w:rsidRPr="00501641">
        <w:t xml:space="preserve"> de </w:t>
      </w:r>
      <w:proofErr w:type="spellStart"/>
      <w:r w:rsidRPr="00501641">
        <w:t>capacidades</w:t>
      </w:r>
      <w:proofErr w:type="spellEnd"/>
      <w:r w:rsidRPr="00501641">
        <w:t xml:space="preserve"> a </w:t>
      </w:r>
      <w:proofErr w:type="spellStart"/>
      <w:r w:rsidRPr="00501641">
        <w:t>este</w:t>
      </w:r>
      <w:proofErr w:type="spellEnd"/>
      <w:r w:rsidRPr="00501641">
        <w:t xml:space="preserve"> </w:t>
      </w:r>
      <w:proofErr w:type="spellStart"/>
      <w:r w:rsidRPr="00501641">
        <w:t>respecto</w:t>
      </w:r>
      <w:proofErr w:type="spellEnd"/>
      <w:r w:rsidRPr="00501641">
        <w:t xml:space="preserve">. </w:t>
      </w:r>
      <w:proofErr w:type="spellStart"/>
      <w:r w:rsidRPr="00501641">
        <w:t>Asimismo</w:t>
      </w:r>
      <w:proofErr w:type="spellEnd"/>
      <w:r w:rsidRPr="00501641">
        <w:t xml:space="preserve">, se </w:t>
      </w:r>
      <w:proofErr w:type="spellStart"/>
      <w:r w:rsidRPr="00501641">
        <w:t>considera</w:t>
      </w:r>
      <w:proofErr w:type="spellEnd"/>
      <w:r w:rsidRPr="00501641">
        <w:t xml:space="preserve"> </w:t>
      </w:r>
      <w:proofErr w:type="spellStart"/>
      <w:r w:rsidRPr="00501641">
        <w:t>cada</w:t>
      </w:r>
      <w:proofErr w:type="spellEnd"/>
      <w:r w:rsidRPr="00501641">
        <w:t xml:space="preserve"> </w:t>
      </w:r>
      <w:proofErr w:type="spellStart"/>
      <w:r w:rsidRPr="00501641">
        <w:t>vez</w:t>
      </w:r>
      <w:proofErr w:type="spellEnd"/>
      <w:r w:rsidRPr="00501641">
        <w:t xml:space="preserve"> </w:t>
      </w:r>
      <w:proofErr w:type="spellStart"/>
      <w:r w:rsidRPr="00501641">
        <w:t>más</w:t>
      </w:r>
      <w:proofErr w:type="spellEnd"/>
      <w:r w:rsidRPr="00501641">
        <w:t xml:space="preserve"> que la COI </w:t>
      </w:r>
      <w:proofErr w:type="spellStart"/>
      <w:r w:rsidRPr="00501641">
        <w:t>constituye</w:t>
      </w:r>
      <w:proofErr w:type="spellEnd"/>
      <w:r w:rsidRPr="00501641">
        <w:t xml:space="preserve"> un </w:t>
      </w:r>
      <w:proofErr w:type="spellStart"/>
      <w:r w:rsidRPr="00501641">
        <w:t>proveedor</w:t>
      </w:r>
      <w:proofErr w:type="spellEnd"/>
      <w:r w:rsidRPr="00501641">
        <w:t xml:space="preserve"> fundamental de </w:t>
      </w:r>
      <w:proofErr w:type="spellStart"/>
      <w:r w:rsidRPr="00501641">
        <w:t>conocimientos</w:t>
      </w:r>
      <w:proofErr w:type="spellEnd"/>
      <w:r w:rsidRPr="00501641">
        <w:t xml:space="preserve"> </w:t>
      </w:r>
      <w:proofErr w:type="spellStart"/>
      <w:r w:rsidRPr="00501641">
        <w:t>sobre</w:t>
      </w:r>
      <w:proofErr w:type="spellEnd"/>
      <w:r w:rsidRPr="00501641">
        <w:t xml:space="preserve"> el </w:t>
      </w:r>
      <w:proofErr w:type="spellStart"/>
      <w:r w:rsidRPr="00501641">
        <w:t>océano</w:t>
      </w:r>
      <w:proofErr w:type="spellEnd"/>
      <w:r w:rsidRPr="00501641">
        <w:t xml:space="preserve"> para la </w:t>
      </w:r>
      <w:proofErr w:type="spellStart"/>
      <w:r w:rsidRPr="00501641">
        <w:t>Convención</w:t>
      </w:r>
      <w:proofErr w:type="spellEnd"/>
      <w:r w:rsidRPr="00501641">
        <w:t xml:space="preserve"> Marco de las </w:t>
      </w:r>
      <w:proofErr w:type="spellStart"/>
      <w:r w:rsidRPr="00501641">
        <w:t>Naciones</w:t>
      </w:r>
      <w:proofErr w:type="spellEnd"/>
      <w:r w:rsidRPr="00501641">
        <w:t xml:space="preserve"> </w:t>
      </w:r>
      <w:proofErr w:type="spellStart"/>
      <w:r w:rsidRPr="00501641">
        <w:t>Unidas</w:t>
      </w:r>
      <w:proofErr w:type="spellEnd"/>
      <w:r w:rsidRPr="00501641">
        <w:t xml:space="preserve"> </w:t>
      </w:r>
      <w:proofErr w:type="spellStart"/>
      <w:r w:rsidRPr="00501641">
        <w:t>sobre</w:t>
      </w:r>
      <w:proofErr w:type="spellEnd"/>
      <w:r w:rsidRPr="00501641">
        <w:t xml:space="preserve"> el Cambio </w:t>
      </w:r>
      <w:proofErr w:type="spellStart"/>
      <w:r w:rsidRPr="00501641">
        <w:t>Climático</w:t>
      </w:r>
      <w:proofErr w:type="spellEnd"/>
      <w:r w:rsidRPr="00501641">
        <w:t xml:space="preserve"> (CMNUCC) y que </w:t>
      </w:r>
      <w:proofErr w:type="spellStart"/>
      <w:r w:rsidRPr="00501641">
        <w:t>contribuye</w:t>
      </w:r>
      <w:proofErr w:type="spellEnd"/>
      <w:r w:rsidRPr="00501641">
        <w:t xml:space="preserve"> al </w:t>
      </w:r>
      <w:proofErr w:type="spellStart"/>
      <w:r w:rsidRPr="00501641">
        <w:t>logro</w:t>
      </w:r>
      <w:proofErr w:type="spellEnd"/>
      <w:r w:rsidRPr="00501641">
        <w:t xml:space="preserve"> de las </w:t>
      </w:r>
      <w:proofErr w:type="spellStart"/>
      <w:r w:rsidRPr="00501641">
        <w:t>metas</w:t>
      </w:r>
      <w:proofErr w:type="spellEnd"/>
      <w:r w:rsidRPr="00501641">
        <w:t xml:space="preserve"> </w:t>
      </w:r>
      <w:proofErr w:type="spellStart"/>
      <w:r w:rsidRPr="00501641">
        <w:t>relativas</w:t>
      </w:r>
      <w:proofErr w:type="spellEnd"/>
      <w:r w:rsidRPr="00501641">
        <w:t xml:space="preserve"> a la </w:t>
      </w:r>
      <w:proofErr w:type="spellStart"/>
      <w:r w:rsidRPr="00501641">
        <w:t>biodiversidad</w:t>
      </w:r>
      <w:proofErr w:type="spellEnd"/>
      <w:r w:rsidRPr="00501641">
        <w:t xml:space="preserve"> marina </w:t>
      </w:r>
      <w:proofErr w:type="spellStart"/>
      <w:r w:rsidRPr="00501641">
        <w:t>en</w:t>
      </w:r>
      <w:proofErr w:type="spellEnd"/>
      <w:r w:rsidRPr="00501641">
        <w:t xml:space="preserve"> el </w:t>
      </w:r>
      <w:proofErr w:type="spellStart"/>
      <w:r w:rsidRPr="00501641">
        <w:t>marco</w:t>
      </w:r>
      <w:proofErr w:type="spellEnd"/>
      <w:r w:rsidRPr="00501641">
        <w:t xml:space="preserve"> del </w:t>
      </w:r>
      <w:proofErr w:type="spellStart"/>
      <w:r w:rsidRPr="00501641">
        <w:t>Convenio</w:t>
      </w:r>
      <w:proofErr w:type="spellEnd"/>
      <w:r w:rsidRPr="00501641">
        <w:t xml:space="preserve"> </w:t>
      </w:r>
      <w:proofErr w:type="spellStart"/>
      <w:r w:rsidRPr="00501641">
        <w:t>sobre</w:t>
      </w:r>
      <w:proofErr w:type="spellEnd"/>
      <w:r w:rsidRPr="00501641">
        <w:t xml:space="preserve"> la </w:t>
      </w:r>
      <w:proofErr w:type="spellStart"/>
      <w:r w:rsidRPr="00501641">
        <w:t>Diversidad</w:t>
      </w:r>
      <w:proofErr w:type="spellEnd"/>
      <w:r w:rsidRPr="00501641">
        <w:t xml:space="preserve"> </w:t>
      </w:r>
      <w:proofErr w:type="spellStart"/>
      <w:r w:rsidRPr="00501641">
        <w:t>Biológica</w:t>
      </w:r>
      <w:proofErr w:type="spellEnd"/>
      <w:r w:rsidRPr="00501641">
        <w:t>.</w:t>
      </w:r>
    </w:p>
    <w:p w14:paraId="27D676A1" w14:textId="0A99F018" w:rsidR="00D56958" w:rsidRPr="00501641" w:rsidRDefault="00BC243D" w:rsidP="00BC243D">
      <w:pPr>
        <w:pStyle w:val="Marge"/>
        <w:tabs>
          <w:tab w:val="clear" w:pos="567"/>
          <w:tab w:val="left" w:pos="1162"/>
        </w:tabs>
        <w:spacing w:line="240" w:lineRule="auto"/>
      </w:pPr>
      <w:r w:rsidRPr="00501641">
        <w:rPr>
          <w:bdr w:val="single" w:sz="4" w:space="0" w:color="auto"/>
        </w:rPr>
        <w:t>03006</w:t>
      </w:r>
      <w:r w:rsidRPr="00501641">
        <w:tab/>
        <w:t xml:space="preserve">La </w:t>
      </w:r>
      <w:proofErr w:type="spellStart"/>
      <w:r w:rsidRPr="00501641">
        <w:t>consecución</w:t>
      </w:r>
      <w:proofErr w:type="spellEnd"/>
      <w:r w:rsidRPr="00501641">
        <w:t xml:space="preserve"> de la Agenda 2030 para el Desarrollo </w:t>
      </w:r>
      <w:proofErr w:type="spellStart"/>
      <w:r w:rsidRPr="00501641">
        <w:t>Sostenible</w:t>
      </w:r>
      <w:proofErr w:type="spellEnd"/>
      <w:r w:rsidRPr="00501641">
        <w:t xml:space="preserve"> </w:t>
      </w:r>
      <w:proofErr w:type="spellStart"/>
      <w:r w:rsidRPr="00501641">
        <w:t>depende</w:t>
      </w:r>
      <w:proofErr w:type="spellEnd"/>
      <w:r w:rsidRPr="00501641">
        <w:t xml:space="preserve"> </w:t>
      </w:r>
      <w:proofErr w:type="spellStart"/>
      <w:r w:rsidRPr="00501641">
        <w:t>en</w:t>
      </w:r>
      <w:proofErr w:type="spellEnd"/>
      <w:r w:rsidRPr="00501641">
        <w:t xml:space="preserve"> gran </w:t>
      </w:r>
      <w:proofErr w:type="spellStart"/>
      <w:r w:rsidRPr="00501641">
        <w:t>medida</w:t>
      </w:r>
      <w:proofErr w:type="spellEnd"/>
      <w:r w:rsidRPr="00501641">
        <w:t xml:space="preserve"> de las </w:t>
      </w:r>
      <w:proofErr w:type="spellStart"/>
      <w:r w:rsidRPr="00501641">
        <w:t>ciencias</w:t>
      </w:r>
      <w:proofErr w:type="spellEnd"/>
      <w:r w:rsidRPr="00501641">
        <w:t xml:space="preserve"> </w:t>
      </w:r>
      <w:proofErr w:type="spellStart"/>
      <w:r w:rsidRPr="00501641">
        <w:t>oceánicas</w:t>
      </w:r>
      <w:proofErr w:type="spellEnd"/>
      <w:r w:rsidRPr="00501641">
        <w:t xml:space="preserve">. El Decenio del </w:t>
      </w:r>
      <w:proofErr w:type="spellStart"/>
      <w:r w:rsidRPr="00501641">
        <w:t>Océano</w:t>
      </w:r>
      <w:proofErr w:type="spellEnd"/>
      <w:r w:rsidRPr="00501641">
        <w:t xml:space="preserve">, </w:t>
      </w:r>
      <w:proofErr w:type="spellStart"/>
      <w:r w:rsidRPr="00501641">
        <w:t>coordinado</w:t>
      </w:r>
      <w:proofErr w:type="spellEnd"/>
      <w:r w:rsidRPr="00501641">
        <w:t xml:space="preserve"> por la COI, </w:t>
      </w:r>
      <w:proofErr w:type="spellStart"/>
      <w:r w:rsidRPr="00501641">
        <w:t>permitirá</w:t>
      </w:r>
      <w:proofErr w:type="spellEnd"/>
      <w:r w:rsidRPr="00501641">
        <w:t xml:space="preserve"> </w:t>
      </w:r>
      <w:proofErr w:type="spellStart"/>
      <w:r w:rsidRPr="00501641">
        <w:t>aprovechar</w:t>
      </w:r>
      <w:proofErr w:type="spellEnd"/>
      <w:r w:rsidRPr="00501641">
        <w:t xml:space="preserve">, </w:t>
      </w:r>
      <w:proofErr w:type="spellStart"/>
      <w:r w:rsidRPr="00501641">
        <w:t>estimular</w:t>
      </w:r>
      <w:proofErr w:type="spellEnd"/>
      <w:r w:rsidRPr="00501641">
        <w:t xml:space="preserve"> y </w:t>
      </w:r>
      <w:proofErr w:type="spellStart"/>
      <w:r w:rsidRPr="00501641">
        <w:t>coordinar</w:t>
      </w:r>
      <w:proofErr w:type="spellEnd"/>
      <w:r w:rsidRPr="00501641">
        <w:t xml:space="preserve"> los </w:t>
      </w:r>
      <w:proofErr w:type="spellStart"/>
      <w:r w:rsidRPr="00501641">
        <w:t>esfuerzos</w:t>
      </w:r>
      <w:proofErr w:type="spellEnd"/>
      <w:r w:rsidRPr="00501641">
        <w:t xml:space="preserve"> de </w:t>
      </w:r>
      <w:proofErr w:type="spellStart"/>
      <w:r w:rsidRPr="00501641">
        <w:t>investigación</w:t>
      </w:r>
      <w:proofErr w:type="spellEnd"/>
      <w:r w:rsidRPr="00501641">
        <w:t xml:space="preserve"> y </w:t>
      </w:r>
      <w:proofErr w:type="spellStart"/>
      <w:r w:rsidRPr="00501641">
        <w:t>generación</w:t>
      </w:r>
      <w:proofErr w:type="spellEnd"/>
      <w:r w:rsidRPr="00501641">
        <w:t xml:space="preserve"> de </w:t>
      </w:r>
      <w:proofErr w:type="spellStart"/>
      <w:r w:rsidRPr="00501641">
        <w:t>conocimientos</w:t>
      </w:r>
      <w:proofErr w:type="spellEnd"/>
      <w:r w:rsidRPr="00501641">
        <w:t xml:space="preserve"> </w:t>
      </w:r>
      <w:proofErr w:type="spellStart"/>
      <w:r w:rsidRPr="00501641">
        <w:t>en</w:t>
      </w:r>
      <w:proofErr w:type="spellEnd"/>
      <w:r w:rsidRPr="00501641">
        <w:t xml:space="preserve"> </w:t>
      </w:r>
      <w:proofErr w:type="spellStart"/>
      <w:r w:rsidRPr="00501641">
        <w:t>todos</w:t>
      </w:r>
      <w:proofErr w:type="spellEnd"/>
      <w:r w:rsidRPr="00501641">
        <w:t xml:space="preserve"> los </w:t>
      </w:r>
      <w:proofErr w:type="spellStart"/>
      <w:r w:rsidRPr="00501641">
        <w:t>niveles</w:t>
      </w:r>
      <w:proofErr w:type="spellEnd"/>
      <w:r w:rsidRPr="00501641">
        <w:t xml:space="preserve"> con </w:t>
      </w:r>
      <w:proofErr w:type="spellStart"/>
      <w:r w:rsidRPr="00501641">
        <w:t>objeto</w:t>
      </w:r>
      <w:proofErr w:type="spellEnd"/>
      <w:r w:rsidRPr="00501641">
        <w:t xml:space="preserve"> de </w:t>
      </w:r>
      <w:proofErr w:type="spellStart"/>
      <w:r w:rsidRPr="00501641">
        <w:t>facilitar</w:t>
      </w:r>
      <w:proofErr w:type="spellEnd"/>
      <w:r w:rsidRPr="00501641">
        <w:t xml:space="preserve"> la </w:t>
      </w:r>
      <w:proofErr w:type="spellStart"/>
      <w:r w:rsidRPr="00501641">
        <w:t>información</w:t>
      </w:r>
      <w:proofErr w:type="spellEnd"/>
      <w:r w:rsidRPr="00501641">
        <w:t xml:space="preserve">, las </w:t>
      </w:r>
      <w:proofErr w:type="spellStart"/>
      <w:r w:rsidRPr="00501641">
        <w:t>medidas</w:t>
      </w:r>
      <w:proofErr w:type="spellEnd"/>
      <w:r w:rsidRPr="00501641">
        <w:t xml:space="preserve"> y las </w:t>
      </w:r>
      <w:proofErr w:type="spellStart"/>
      <w:r w:rsidRPr="00501641">
        <w:t>soluciones</w:t>
      </w:r>
      <w:proofErr w:type="spellEnd"/>
      <w:r w:rsidRPr="00501641">
        <w:t xml:space="preserve"> </w:t>
      </w:r>
      <w:proofErr w:type="spellStart"/>
      <w:r w:rsidRPr="00501641">
        <w:t>necesarias</w:t>
      </w:r>
      <w:proofErr w:type="spellEnd"/>
      <w:r w:rsidRPr="00501641">
        <w:t xml:space="preserve"> para el </w:t>
      </w:r>
      <w:proofErr w:type="spellStart"/>
      <w:r w:rsidRPr="00501641">
        <w:t>logro</w:t>
      </w:r>
      <w:proofErr w:type="spellEnd"/>
      <w:r w:rsidRPr="00501641">
        <w:t xml:space="preserve"> de los </w:t>
      </w:r>
      <w:proofErr w:type="spellStart"/>
      <w:r w:rsidRPr="00501641">
        <w:t>Objetivos</w:t>
      </w:r>
      <w:proofErr w:type="spellEnd"/>
      <w:r w:rsidRPr="00501641">
        <w:t xml:space="preserve"> de Desarrollo </w:t>
      </w:r>
      <w:proofErr w:type="spellStart"/>
      <w:r w:rsidRPr="00501641">
        <w:t>Sostenible</w:t>
      </w:r>
      <w:proofErr w:type="spellEnd"/>
      <w:r w:rsidRPr="00501641">
        <w:t xml:space="preserve"> (ODS). Los </w:t>
      </w:r>
      <w:proofErr w:type="spellStart"/>
      <w:r w:rsidRPr="00501641">
        <w:t>beneficios</w:t>
      </w:r>
      <w:proofErr w:type="spellEnd"/>
      <w:r w:rsidRPr="00501641">
        <w:t xml:space="preserve"> </w:t>
      </w:r>
      <w:proofErr w:type="spellStart"/>
      <w:r w:rsidRPr="00501641">
        <w:t>directos</w:t>
      </w:r>
      <w:proofErr w:type="spellEnd"/>
      <w:r w:rsidRPr="00501641">
        <w:t xml:space="preserve"> e </w:t>
      </w:r>
      <w:proofErr w:type="spellStart"/>
      <w:r w:rsidRPr="00501641">
        <w:t>indirectos</w:t>
      </w:r>
      <w:proofErr w:type="spellEnd"/>
      <w:r w:rsidRPr="00501641">
        <w:t xml:space="preserve"> para la </w:t>
      </w:r>
      <w:proofErr w:type="spellStart"/>
      <w:r w:rsidRPr="00501641">
        <w:t>humanidad</w:t>
      </w:r>
      <w:proofErr w:type="spellEnd"/>
      <w:r w:rsidRPr="00501641">
        <w:t xml:space="preserve"> de un </w:t>
      </w:r>
      <w:proofErr w:type="spellStart"/>
      <w:r w:rsidRPr="00501641">
        <w:t>océano</w:t>
      </w:r>
      <w:proofErr w:type="spellEnd"/>
      <w:r w:rsidRPr="00501641">
        <w:t xml:space="preserve"> </w:t>
      </w:r>
      <w:proofErr w:type="spellStart"/>
      <w:r w:rsidRPr="00501641">
        <w:t>saludable</w:t>
      </w:r>
      <w:proofErr w:type="spellEnd"/>
      <w:r w:rsidRPr="00501641">
        <w:t xml:space="preserve"> y de la </w:t>
      </w:r>
      <w:proofErr w:type="spellStart"/>
      <w:r w:rsidRPr="00501641">
        <w:t>labor</w:t>
      </w:r>
      <w:proofErr w:type="spellEnd"/>
      <w:r w:rsidRPr="00501641">
        <w:t xml:space="preserve"> de la COI </w:t>
      </w:r>
      <w:proofErr w:type="spellStart"/>
      <w:r w:rsidRPr="00501641">
        <w:t>serán</w:t>
      </w:r>
      <w:proofErr w:type="spellEnd"/>
      <w:r w:rsidRPr="00501641">
        <w:t xml:space="preserve"> </w:t>
      </w:r>
      <w:proofErr w:type="spellStart"/>
      <w:r w:rsidRPr="00501641">
        <w:t>numerosos</w:t>
      </w:r>
      <w:proofErr w:type="spellEnd"/>
      <w:r w:rsidRPr="00501641">
        <w:t xml:space="preserve"> </w:t>
      </w:r>
      <w:proofErr w:type="spellStart"/>
      <w:r w:rsidRPr="00501641">
        <w:t>en</w:t>
      </w:r>
      <w:proofErr w:type="spellEnd"/>
      <w:r w:rsidRPr="00501641">
        <w:t xml:space="preserve"> las </w:t>
      </w:r>
      <w:proofErr w:type="spellStart"/>
      <w:r w:rsidRPr="00501641">
        <w:t>diversas</w:t>
      </w:r>
      <w:proofErr w:type="spellEnd"/>
      <w:r w:rsidRPr="00501641">
        <w:t xml:space="preserve"> </w:t>
      </w:r>
      <w:proofErr w:type="spellStart"/>
      <w:r w:rsidRPr="00501641">
        <w:t>facetas</w:t>
      </w:r>
      <w:proofErr w:type="spellEnd"/>
      <w:r w:rsidRPr="00501641">
        <w:t xml:space="preserve"> del </w:t>
      </w:r>
      <w:proofErr w:type="spellStart"/>
      <w:r w:rsidRPr="00501641">
        <w:t>desarrollo</w:t>
      </w:r>
      <w:proofErr w:type="spellEnd"/>
      <w:r w:rsidRPr="00501641">
        <w:t xml:space="preserve"> </w:t>
      </w:r>
      <w:proofErr w:type="spellStart"/>
      <w:r w:rsidRPr="00501641">
        <w:t>sostenible</w:t>
      </w:r>
      <w:proofErr w:type="spellEnd"/>
      <w:r w:rsidRPr="00501641">
        <w:t xml:space="preserve"> (</w:t>
      </w:r>
      <w:proofErr w:type="spellStart"/>
      <w:r w:rsidRPr="00501641">
        <w:t>véase</w:t>
      </w:r>
      <w:proofErr w:type="spellEnd"/>
      <w:r w:rsidRPr="00501641">
        <w:t xml:space="preserve"> el </w:t>
      </w:r>
      <w:proofErr w:type="spellStart"/>
      <w:r w:rsidRPr="00501641">
        <w:t>análisis</w:t>
      </w:r>
      <w:proofErr w:type="spellEnd"/>
      <w:r w:rsidRPr="00501641">
        <w:t xml:space="preserve"> de la </w:t>
      </w:r>
      <w:proofErr w:type="spellStart"/>
      <w:r w:rsidRPr="00501641">
        <w:t>contribución</w:t>
      </w:r>
      <w:proofErr w:type="spellEnd"/>
      <w:r w:rsidRPr="00501641">
        <w:t xml:space="preserve"> de la COI al </w:t>
      </w:r>
      <w:proofErr w:type="spellStart"/>
      <w:r w:rsidRPr="00501641">
        <w:t>logro</w:t>
      </w:r>
      <w:proofErr w:type="spellEnd"/>
      <w:r w:rsidRPr="00501641">
        <w:t xml:space="preserve"> de los ODS y las </w:t>
      </w:r>
      <w:proofErr w:type="spellStart"/>
      <w:r w:rsidRPr="00501641">
        <w:t>metas</w:t>
      </w:r>
      <w:proofErr w:type="spellEnd"/>
      <w:r w:rsidRPr="00501641">
        <w:t xml:space="preserve"> </w:t>
      </w:r>
      <w:proofErr w:type="spellStart"/>
      <w:r w:rsidRPr="00501641">
        <w:t>conexas</w:t>
      </w:r>
      <w:proofErr w:type="spellEnd"/>
      <w:r w:rsidRPr="00501641">
        <w:t xml:space="preserve">). Por </w:t>
      </w:r>
      <w:proofErr w:type="spellStart"/>
      <w:r w:rsidRPr="00501641">
        <w:t>ejemplo</w:t>
      </w:r>
      <w:proofErr w:type="spellEnd"/>
      <w:r w:rsidRPr="00501641">
        <w:t xml:space="preserve">, los </w:t>
      </w:r>
      <w:proofErr w:type="spellStart"/>
      <w:r w:rsidRPr="00501641">
        <w:t>conocimientos</w:t>
      </w:r>
      <w:proofErr w:type="spellEnd"/>
      <w:r w:rsidRPr="00501641">
        <w:t xml:space="preserve"> </w:t>
      </w:r>
      <w:proofErr w:type="spellStart"/>
      <w:r w:rsidRPr="00501641">
        <w:t>cuantitativos</w:t>
      </w:r>
      <w:proofErr w:type="spellEnd"/>
      <w:r w:rsidRPr="00501641">
        <w:t xml:space="preserve"> </w:t>
      </w:r>
      <w:proofErr w:type="spellStart"/>
      <w:r w:rsidRPr="00501641">
        <w:t>sobre</w:t>
      </w:r>
      <w:proofErr w:type="spellEnd"/>
      <w:r w:rsidRPr="00501641">
        <w:t xml:space="preserve"> el </w:t>
      </w:r>
      <w:proofErr w:type="spellStart"/>
      <w:r w:rsidRPr="00501641">
        <w:t>océano</w:t>
      </w:r>
      <w:proofErr w:type="spellEnd"/>
      <w:r w:rsidRPr="00501641">
        <w:t xml:space="preserve"> </w:t>
      </w:r>
      <w:proofErr w:type="spellStart"/>
      <w:r w:rsidRPr="00501641">
        <w:t>pueden</w:t>
      </w:r>
      <w:proofErr w:type="spellEnd"/>
      <w:r w:rsidRPr="00501641">
        <w:t xml:space="preserve"> </w:t>
      </w:r>
      <w:proofErr w:type="spellStart"/>
      <w:r w:rsidRPr="00501641">
        <w:t>permitir</w:t>
      </w:r>
      <w:proofErr w:type="spellEnd"/>
      <w:r w:rsidRPr="00501641">
        <w:t xml:space="preserve"> </w:t>
      </w:r>
      <w:proofErr w:type="spellStart"/>
      <w:r w:rsidRPr="00501641">
        <w:t>reducir</w:t>
      </w:r>
      <w:proofErr w:type="spellEnd"/>
      <w:r w:rsidRPr="00501641">
        <w:t xml:space="preserve"> la </w:t>
      </w:r>
      <w:proofErr w:type="spellStart"/>
      <w:r w:rsidRPr="00501641">
        <w:t>brecha</w:t>
      </w:r>
      <w:proofErr w:type="spellEnd"/>
      <w:r w:rsidRPr="00501641">
        <w:t xml:space="preserve"> de </w:t>
      </w:r>
      <w:proofErr w:type="spellStart"/>
      <w:r w:rsidRPr="00501641">
        <w:t>carbono</w:t>
      </w:r>
      <w:proofErr w:type="spellEnd"/>
      <w:r w:rsidRPr="00501641">
        <w:t xml:space="preserve"> y </w:t>
      </w:r>
      <w:proofErr w:type="spellStart"/>
      <w:r w:rsidRPr="00501641">
        <w:t>cumplir</w:t>
      </w:r>
      <w:proofErr w:type="spellEnd"/>
      <w:r w:rsidRPr="00501641">
        <w:t xml:space="preserve"> los </w:t>
      </w:r>
      <w:proofErr w:type="spellStart"/>
      <w:r w:rsidRPr="00501641">
        <w:t>ambiciosos</w:t>
      </w:r>
      <w:proofErr w:type="spellEnd"/>
      <w:r w:rsidRPr="00501641">
        <w:t xml:space="preserve"> </w:t>
      </w:r>
      <w:proofErr w:type="spellStart"/>
      <w:r w:rsidRPr="00501641">
        <w:t>objetivos</w:t>
      </w:r>
      <w:proofErr w:type="spellEnd"/>
      <w:r w:rsidRPr="00501641">
        <w:t xml:space="preserve"> del </w:t>
      </w:r>
      <w:proofErr w:type="spellStart"/>
      <w:r w:rsidRPr="00501641">
        <w:t>Acuerdo</w:t>
      </w:r>
      <w:proofErr w:type="spellEnd"/>
      <w:r w:rsidRPr="00501641">
        <w:t xml:space="preserve"> de </w:t>
      </w:r>
      <w:proofErr w:type="spellStart"/>
      <w:r w:rsidRPr="00501641">
        <w:t>París</w:t>
      </w:r>
      <w:proofErr w:type="spellEnd"/>
      <w:r w:rsidRPr="00501641">
        <w:t xml:space="preserve"> </w:t>
      </w:r>
      <w:proofErr w:type="spellStart"/>
      <w:r w:rsidRPr="00501641">
        <w:t>relativo</w:t>
      </w:r>
      <w:proofErr w:type="spellEnd"/>
      <w:r w:rsidRPr="00501641">
        <w:t xml:space="preserve"> a la CMNUCC (ODS 13), </w:t>
      </w:r>
      <w:proofErr w:type="spellStart"/>
      <w:r w:rsidRPr="00501641">
        <w:t>producir</w:t>
      </w:r>
      <w:proofErr w:type="spellEnd"/>
      <w:r w:rsidRPr="00501641">
        <w:t xml:space="preserve"> de forma </w:t>
      </w:r>
      <w:proofErr w:type="spellStart"/>
      <w:r w:rsidRPr="00501641">
        <w:t>sostenible</w:t>
      </w:r>
      <w:proofErr w:type="spellEnd"/>
      <w:r w:rsidRPr="00501641">
        <w:t xml:space="preserve"> </w:t>
      </w:r>
      <w:proofErr w:type="spellStart"/>
      <w:r w:rsidRPr="00501641">
        <w:t>más</w:t>
      </w:r>
      <w:proofErr w:type="spellEnd"/>
      <w:r w:rsidRPr="00501641">
        <w:t xml:space="preserve"> </w:t>
      </w:r>
      <w:proofErr w:type="spellStart"/>
      <w:r w:rsidRPr="00501641">
        <w:t>alimentos</w:t>
      </w:r>
      <w:proofErr w:type="spellEnd"/>
      <w:r w:rsidRPr="00501641">
        <w:t xml:space="preserve"> a </w:t>
      </w:r>
      <w:proofErr w:type="spellStart"/>
      <w:r w:rsidRPr="00501641">
        <w:t>partir</w:t>
      </w:r>
      <w:proofErr w:type="spellEnd"/>
      <w:r w:rsidRPr="00501641">
        <w:t xml:space="preserve"> del </w:t>
      </w:r>
      <w:proofErr w:type="spellStart"/>
      <w:r w:rsidRPr="00501641">
        <w:t>océano</w:t>
      </w:r>
      <w:proofErr w:type="spellEnd"/>
      <w:r w:rsidRPr="00501641">
        <w:t xml:space="preserve"> (ODS 2), </w:t>
      </w:r>
      <w:proofErr w:type="spellStart"/>
      <w:r w:rsidRPr="00501641">
        <w:t>generar</w:t>
      </w:r>
      <w:proofErr w:type="spellEnd"/>
      <w:r w:rsidRPr="00501641">
        <w:t xml:space="preserve"> </w:t>
      </w:r>
      <w:proofErr w:type="spellStart"/>
      <w:r w:rsidRPr="00501641">
        <w:t>más</w:t>
      </w:r>
      <w:proofErr w:type="spellEnd"/>
      <w:r w:rsidRPr="00501641">
        <w:t xml:space="preserve"> </w:t>
      </w:r>
      <w:proofErr w:type="spellStart"/>
      <w:r w:rsidRPr="00501641">
        <w:t>energía</w:t>
      </w:r>
      <w:proofErr w:type="spellEnd"/>
      <w:r w:rsidRPr="00501641">
        <w:t xml:space="preserve"> </w:t>
      </w:r>
      <w:proofErr w:type="spellStart"/>
      <w:r w:rsidRPr="00501641">
        <w:t>renovable</w:t>
      </w:r>
      <w:proofErr w:type="spellEnd"/>
      <w:r w:rsidRPr="00501641">
        <w:t xml:space="preserve"> (ODS 7) y </w:t>
      </w:r>
      <w:proofErr w:type="spellStart"/>
      <w:r w:rsidRPr="00501641">
        <w:t>estimular</w:t>
      </w:r>
      <w:proofErr w:type="spellEnd"/>
      <w:r w:rsidRPr="00501641">
        <w:t xml:space="preserve"> </w:t>
      </w:r>
      <w:proofErr w:type="spellStart"/>
      <w:r w:rsidRPr="00501641">
        <w:t>nuevas</w:t>
      </w:r>
      <w:proofErr w:type="spellEnd"/>
      <w:r w:rsidRPr="00501641">
        <w:t xml:space="preserve"> </w:t>
      </w:r>
      <w:proofErr w:type="spellStart"/>
      <w:r w:rsidRPr="00501641">
        <w:t>formas</w:t>
      </w:r>
      <w:proofErr w:type="spellEnd"/>
      <w:r w:rsidRPr="00501641">
        <w:t xml:space="preserve"> de </w:t>
      </w:r>
      <w:proofErr w:type="spellStart"/>
      <w:r w:rsidRPr="00501641">
        <w:t>desarrollo</w:t>
      </w:r>
      <w:proofErr w:type="spellEnd"/>
      <w:r w:rsidRPr="00501641">
        <w:t xml:space="preserve"> </w:t>
      </w:r>
      <w:proofErr w:type="spellStart"/>
      <w:r w:rsidRPr="00501641">
        <w:t>económico</w:t>
      </w:r>
      <w:proofErr w:type="spellEnd"/>
      <w:r w:rsidRPr="00501641">
        <w:t xml:space="preserve"> (ODS 1 y 9). El Decenio del </w:t>
      </w:r>
      <w:proofErr w:type="spellStart"/>
      <w:r w:rsidRPr="00501641">
        <w:t>Océano</w:t>
      </w:r>
      <w:proofErr w:type="spellEnd"/>
      <w:r w:rsidRPr="00501641">
        <w:t xml:space="preserve"> ha </w:t>
      </w:r>
      <w:proofErr w:type="spellStart"/>
      <w:r w:rsidRPr="00501641">
        <w:t>sido</w:t>
      </w:r>
      <w:proofErr w:type="spellEnd"/>
      <w:r w:rsidRPr="00501641">
        <w:t xml:space="preserve"> </w:t>
      </w:r>
      <w:proofErr w:type="spellStart"/>
      <w:r w:rsidRPr="00501641">
        <w:t>diseñado</w:t>
      </w:r>
      <w:proofErr w:type="spellEnd"/>
      <w:r w:rsidRPr="00501641">
        <w:t xml:space="preserve"> para </w:t>
      </w:r>
      <w:proofErr w:type="spellStart"/>
      <w:r w:rsidRPr="00501641">
        <w:t>aprovechar</w:t>
      </w:r>
      <w:proofErr w:type="spellEnd"/>
      <w:r w:rsidRPr="00501641">
        <w:t xml:space="preserve"> al </w:t>
      </w:r>
      <w:proofErr w:type="spellStart"/>
      <w:r w:rsidRPr="00501641">
        <w:t>máximo</w:t>
      </w:r>
      <w:proofErr w:type="spellEnd"/>
      <w:r w:rsidRPr="00501641">
        <w:t xml:space="preserve"> </w:t>
      </w:r>
      <w:proofErr w:type="spellStart"/>
      <w:r w:rsidRPr="00501641">
        <w:t>este</w:t>
      </w:r>
      <w:proofErr w:type="spellEnd"/>
      <w:r w:rsidRPr="00501641">
        <w:t xml:space="preserve"> </w:t>
      </w:r>
      <w:proofErr w:type="spellStart"/>
      <w:r w:rsidRPr="00501641">
        <w:t>potencial</w:t>
      </w:r>
      <w:proofErr w:type="spellEnd"/>
      <w:r w:rsidRPr="00501641">
        <w:t xml:space="preserve"> vital para la </w:t>
      </w:r>
      <w:proofErr w:type="spellStart"/>
      <w:r w:rsidRPr="00501641">
        <w:t>humanidad</w:t>
      </w:r>
      <w:proofErr w:type="spellEnd"/>
      <w:r w:rsidRPr="00501641">
        <w:t xml:space="preserve">. La </w:t>
      </w:r>
      <w:proofErr w:type="spellStart"/>
      <w:r w:rsidRPr="00501641">
        <w:t>labor</w:t>
      </w:r>
      <w:proofErr w:type="spellEnd"/>
      <w:r w:rsidRPr="00501641">
        <w:t xml:space="preserve"> de la COI es </w:t>
      </w:r>
      <w:proofErr w:type="spellStart"/>
      <w:r w:rsidRPr="00501641">
        <w:t>esencial</w:t>
      </w:r>
      <w:proofErr w:type="spellEnd"/>
      <w:r w:rsidRPr="00501641">
        <w:t xml:space="preserve"> para </w:t>
      </w:r>
      <w:proofErr w:type="spellStart"/>
      <w:r w:rsidRPr="00501641">
        <w:t>alcanzar</w:t>
      </w:r>
      <w:proofErr w:type="spellEnd"/>
      <w:r w:rsidRPr="00501641">
        <w:t xml:space="preserve"> el ODS 14 y sus </w:t>
      </w:r>
      <w:proofErr w:type="spellStart"/>
      <w:r w:rsidRPr="00501641">
        <w:t>metas</w:t>
      </w:r>
      <w:proofErr w:type="spellEnd"/>
      <w:r w:rsidRPr="00501641">
        <w:t xml:space="preserve">. La COI </w:t>
      </w:r>
      <w:proofErr w:type="spellStart"/>
      <w:r w:rsidRPr="00501641">
        <w:t>seguirá</w:t>
      </w:r>
      <w:proofErr w:type="spellEnd"/>
      <w:r w:rsidRPr="00501641">
        <w:t xml:space="preserve"> </w:t>
      </w:r>
      <w:proofErr w:type="spellStart"/>
      <w:r w:rsidRPr="00501641">
        <w:t>desempeñando</w:t>
      </w:r>
      <w:proofErr w:type="spellEnd"/>
      <w:r w:rsidRPr="00501641">
        <w:t xml:space="preserve"> la </w:t>
      </w:r>
      <w:proofErr w:type="spellStart"/>
      <w:r w:rsidRPr="00501641">
        <w:t>función</w:t>
      </w:r>
      <w:proofErr w:type="spellEnd"/>
      <w:r w:rsidRPr="00501641">
        <w:t xml:space="preserve"> de </w:t>
      </w:r>
      <w:proofErr w:type="spellStart"/>
      <w:r w:rsidRPr="00501641">
        <w:t>organismo</w:t>
      </w:r>
      <w:proofErr w:type="spellEnd"/>
      <w:r w:rsidRPr="00501641">
        <w:t xml:space="preserve"> </w:t>
      </w:r>
      <w:proofErr w:type="spellStart"/>
      <w:r w:rsidRPr="00501641">
        <w:t>custodio</w:t>
      </w:r>
      <w:proofErr w:type="spellEnd"/>
      <w:r w:rsidRPr="00501641">
        <w:t xml:space="preserve"> de las </w:t>
      </w:r>
      <w:proofErr w:type="spellStart"/>
      <w:r w:rsidRPr="00501641">
        <w:t>Naciones</w:t>
      </w:r>
      <w:proofErr w:type="spellEnd"/>
      <w:r w:rsidRPr="00501641">
        <w:t xml:space="preserve"> </w:t>
      </w:r>
      <w:proofErr w:type="spellStart"/>
      <w:r w:rsidRPr="00501641">
        <w:t>Unidas</w:t>
      </w:r>
      <w:proofErr w:type="spellEnd"/>
      <w:r w:rsidRPr="00501641">
        <w:t xml:space="preserve"> </w:t>
      </w:r>
      <w:proofErr w:type="spellStart"/>
      <w:r w:rsidRPr="00501641">
        <w:t>en</w:t>
      </w:r>
      <w:proofErr w:type="spellEnd"/>
      <w:r w:rsidRPr="00501641">
        <w:t xml:space="preserve"> </w:t>
      </w:r>
      <w:proofErr w:type="spellStart"/>
      <w:r w:rsidRPr="00501641">
        <w:t>cuanto</w:t>
      </w:r>
      <w:proofErr w:type="spellEnd"/>
      <w:r w:rsidRPr="00501641">
        <w:t xml:space="preserve"> a la </w:t>
      </w:r>
      <w:proofErr w:type="spellStart"/>
      <w:r w:rsidRPr="00501641">
        <w:lastRenderedPageBreak/>
        <w:t>presentación</w:t>
      </w:r>
      <w:proofErr w:type="spellEnd"/>
      <w:r w:rsidRPr="00501641">
        <w:t xml:space="preserve"> de </w:t>
      </w:r>
      <w:proofErr w:type="spellStart"/>
      <w:r w:rsidRPr="00501641">
        <w:t>informes</w:t>
      </w:r>
      <w:proofErr w:type="spellEnd"/>
      <w:r w:rsidRPr="00501641">
        <w:t xml:space="preserve"> </w:t>
      </w:r>
      <w:proofErr w:type="spellStart"/>
      <w:r w:rsidRPr="00501641">
        <w:t>sobre</w:t>
      </w:r>
      <w:proofErr w:type="spellEnd"/>
      <w:r w:rsidRPr="00501641">
        <w:t xml:space="preserve"> dos </w:t>
      </w:r>
      <w:proofErr w:type="spellStart"/>
      <w:r w:rsidRPr="00501641">
        <w:t>metas</w:t>
      </w:r>
      <w:proofErr w:type="spellEnd"/>
      <w:r w:rsidRPr="00501641">
        <w:t xml:space="preserve"> de los ODS, la 14.3 y la 14.a, y </w:t>
      </w:r>
      <w:proofErr w:type="spellStart"/>
      <w:r w:rsidRPr="00501641">
        <w:t>apoyando</w:t>
      </w:r>
      <w:proofErr w:type="spellEnd"/>
      <w:r w:rsidRPr="00501641">
        <w:t xml:space="preserve"> al </w:t>
      </w:r>
      <w:proofErr w:type="spellStart"/>
      <w:r w:rsidRPr="00501641">
        <w:t>Programa</w:t>
      </w:r>
      <w:proofErr w:type="spellEnd"/>
      <w:r w:rsidRPr="00501641">
        <w:t xml:space="preserve"> de las </w:t>
      </w:r>
      <w:proofErr w:type="spellStart"/>
      <w:r w:rsidRPr="00501641">
        <w:t>Naciones</w:t>
      </w:r>
      <w:proofErr w:type="spellEnd"/>
      <w:r w:rsidRPr="00501641">
        <w:t xml:space="preserve"> </w:t>
      </w:r>
      <w:proofErr w:type="spellStart"/>
      <w:r w:rsidRPr="00501641">
        <w:t>Unidas</w:t>
      </w:r>
      <w:proofErr w:type="spellEnd"/>
      <w:r w:rsidRPr="00501641">
        <w:t xml:space="preserve"> para el Medio </w:t>
      </w:r>
      <w:proofErr w:type="spellStart"/>
      <w:r w:rsidRPr="00501641">
        <w:t>Ambiente</w:t>
      </w:r>
      <w:proofErr w:type="spellEnd"/>
      <w:r w:rsidRPr="00501641">
        <w:t xml:space="preserve"> (PNUMA) </w:t>
      </w:r>
      <w:proofErr w:type="spellStart"/>
      <w:r w:rsidRPr="00501641">
        <w:t>en</w:t>
      </w:r>
      <w:proofErr w:type="spellEnd"/>
      <w:r w:rsidRPr="00501641">
        <w:t xml:space="preserve"> los </w:t>
      </w:r>
      <w:proofErr w:type="spellStart"/>
      <w:r w:rsidRPr="00501641">
        <w:t>aspectos</w:t>
      </w:r>
      <w:proofErr w:type="spellEnd"/>
      <w:r w:rsidRPr="00501641">
        <w:t xml:space="preserve"> </w:t>
      </w:r>
      <w:proofErr w:type="spellStart"/>
      <w:r w:rsidRPr="00501641">
        <w:t>científicos</w:t>
      </w:r>
      <w:proofErr w:type="spellEnd"/>
      <w:r w:rsidRPr="00501641">
        <w:t xml:space="preserve"> de la </w:t>
      </w:r>
      <w:proofErr w:type="spellStart"/>
      <w:r w:rsidRPr="00501641">
        <w:t>presentación</w:t>
      </w:r>
      <w:proofErr w:type="spellEnd"/>
      <w:r w:rsidRPr="00501641">
        <w:t xml:space="preserve"> de </w:t>
      </w:r>
      <w:proofErr w:type="spellStart"/>
      <w:r w:rsidRPr="00501641">
        <w:t>informes</w:t>
      </w:r>
      <w:proofErr w:type="spellEnd"/>
      <w:r w:rsidRPr="00501641">
        <w:t xml:space="preserve"> </w:t>
      </w:r>
      <w:proofErr w:type="spellStart"/>
      <w:r w:rsidRPr="00501641">
        <w:t>sobre</w:t>
      </w:r>
      <w:proofErr w:type="spellEnd"/>
      <w:r w:rsidRPr="00501641">
        <w:t xml:space="preserve"> las </w:t>
      </w:r>
      <w:proofErr w:type="spellStart"/>
      <w:r w:rsidRPr="00501641">
        <w:t>metas</w:t>
      </w:r>
      <w:proofErr w:type="spellEnd"/>
      <w:r w:rsidRPr="00501641">
        <w:t xml:space="preserve"> 14.1 y 14.2. </w:t>
      </w:r>
      <w:proofErr w:type="spellStart"/>
      <w:r w:rsidRPr="00501641">
        <w:t>Además</w:t>
      </w:r>
      <w:proofErr w:type="spellEnd"/>
      <w:r w:rsidRPr="00501641">
        <w:t xml:space="preserve">, la Comisión </w:t>
      </w:r>
      <w:proofErr w:type="spellStart"/>
      <w:r w:rsidRPr="00501641">
        <w:t>seguirá</w:t>
      </w:r>
      <w:proofErr w:type="spellEnd"/>
      <w:r w:rsidRPr="00501641">
        <w:t xml:space="preserve"> </w:t>
      </w:r>
      <w:proofErr w:type="spellStart"/>
      <w:r w:rsidRPr="00501641">
        <w:t>liderando</w:t>
      </w:r>
      <w:proofErr w:type="spellEnd"/>
      <w:r w:rsidRPr="00501641">
        <w:t xml:space="preserve"> la </w:t>
      </w:r>
      <w:proofErr w:type="spellStart"/>
      <w:r w:rsidRPr="00501641">
        <w:t>coordinación</w:t>
      </w:r>
      <w:proofErr w:type="spellEnd"/>
      <w:r w:rsidRPr="00501641">
        <w:t xml:space="preserve"> </w:t>
      </w:r>
      <w:proofErr w:type="spellStart"/>
      <w:r w:rsidRPr="00501641">
        <w:t>mundial</w:t>
      </w:r>
      <w:proofErr w:type="spellEnd"/>
      <w:r w:rsidRPr="00501641">
        <w:t xml:space="preserve"> de la </w:t>
      </w:r>
      <w:proofErr w:type="spellStart"/>
      <w:r w:rsidRPr="00501641">
        <w:t>investigación</w:t>
      </w:r>
      <w:proofErr w:type="spellEnd"/>
      <w:r w:rsidRPr="00501641">
        <w:t xml:space="preserve"> </w:t>
      </w:r>
      <w:proofErr w:type="spellStart"/>
      <w:r w:rsidRPr="00501641">
        <w:t>sobre</w:t>
      </w:r>
      <w:proofErr w:type="spellEnd"/>
      <w:r w:rsidRPr="00501641">
        <w:t xml:space="preserve"> la </w:t>
      </w:r>
      <w:proofErr w:type="spellStart"/>
      <w:r w:rsidRPr="00501641">
        <w:t>acidificación</w:t>
      </w:r>
      <w:proofErr w:type="spellEnd"/>
      <w:r w:rsidRPr="00501641">
        <w:t xml:space="preserve"> y la </w:t>
      </w:r>
      <w:proofErr w:type="spellStart"/>
      <w:r w:rsidRPr="00501641">
        <w:t>desoxigenación</w:t>
      </w:r>
      <w:proofErr w:type="spellEnd"/>
      <w:r w:rsidRPr="00501641">
        <w:t xml:space="preserve"> del </w:t>
      </w:r>
      <w:proofErr w:type="spellStart"/>
      <w:r w:rsidRPr="00501641">
        <w:t>océano</w:t>
      </w:r>
      <w:proofErr w:type="spellEnd"/>
      <w:r w:rsidRPr="00501641">
        <w:t xml:space="preserve"> e </w:t>
      </w:r>
      <w:proofErr w:type="spellStart"/>
      <w:r w:rsidRPr="00501641">
        <w:t>intensificará</w:t>
      </w:r>
      <w:proofErr w:type="spellEnd"/>
      <w:r w:rsidRPr="00501641">
        <w:t xml:space="preserve"> </w:t>
      </w:r>
      <w:proofErr w:type="spellStart"/>
      <w:r w:rsidRPr="00501641">
        <w:t>su</w:t>
      </w:r>
      <w:proofErr w:type="spellEnd"/>
      <w:r w:rsidRPr="00501641">
        <w:t xml:space="preserve"> </w:t>
      </w:r>
      <w:proofErr w:type="spellStart"/>
      <w:r w:rsidRPr="00501641">
        <w:t>labor</w:t>
      </w:r>
      <w:proofErr w:type="spellEnd"/>
      <w:r w:rsidRPr="00501641">
        <w:t xml:space="preserve"> </w:t>
      </w:r>
      <w:proofErr w:type="spellStart"/>
      <w:r w:rsidRPr="00501641">
        <w:t>pionera</w:t>
      </w:r>
      <w:proofErr w:type="spellEnd"/>
      <w:r w:rsidRPr="00501641">
        <w:t xml:space="preserve"> </w:t>
      </w:r>
      <w:proofErr w:type="spellStart"/>
      <w:r w:rsidRPr="00501641">
        <w:t>sobre</w:t>
      </w:r>
      <w:proofErr w:type="spellEnd"/>
      <w:r w:rsidRPr="00501641">
        <w:t xml:space="preserve"> las </w:t>
      </w:r>
      <w:proofErr w:type="spellStart"/>
      <w:r w:rsidRPr="00501641">
        <w:t>interacciones</w:t>
      </w:r>
      <w:proofErr w:type="spellEnd"/>
      <w:r w:rsidRPr="00501641">
        <w:t xml:space="preserve"> entre los </w:t>
      </w:r>
      <w:proofErr w:type="spellStart"/>
      <w:r w:rsidRPr="00501641">
        <w:t>factores</w:t>
      </w:r>
      <w:proofErr w:type="spellEnd"/>
      <w:r w:rsidRPr="00501641">
        <w:t xml:space="preserve"> de </w:t>
      </w:r>
      <w:proofErr w:type="spellStart"/>
      <w:r w:rsidRPr="00501641">
        <w:t>perturbación</w:t>
      </w:r>
      <w:proofErr w:type="spellEnd"/>
      <w:r w:rsidRPr="00501641">
        <w:t xml:space="preserve"> </w:t>
      </w:r>
      <w:proofErr w:type="spellStart"/>
      <w:r w:rsidRPr="00501641">
        <w:t>múltiples</w:t>
      </w:r>
      <w:proofErr w:type="spellEnd"/>
      <w:r w:rsidRPr="00501641">
        <w:t xml:space="preserve"> del </w:t>
      </w:r>
      <w:proofErr w:type="spellStart"/>
      <w:r w:rsidRPr="00501641">
        <w:t>océano</w:t>
      </w:r>
      <w:proofErr w:type="spellEnd"/>
      <w:r w:rsidRPr="00501641">
        <w:t xml:space="preserve">, </w:t>
      </w:r>
      <w:proofErr w:type="spellStart"/>
      <w:r w:rsidRPr="00501641">
        <w:t>sentando</w:t>
      </w:r>
      <w:proofErr w:type="spellEnd"/>
      <w:r w:rsidRPr="00501641">
        <w:t xml:space="preserve"> las bases para una </w:t>
      </w:r>
      <w:proofErr w:type="spellStart"/>
      <w:r w:rsidRPr="00501641">
        <w:t>gestión</w:t>
      </w:r>
      <w:proofErr w:type="spellEnd"/>
      <w:r w:rsidRPr="00501641">
        <w:t xml:space="preserve"> de los </w:t>
      </w:r>
      <w:proofErr w:type="spellStart"/>
      <w:r w:rsidRPr="00501641">
        <w:t>ecosistemas</w:t>
      </w:r>
      <w:proofErr w:type="spellEnd"/>
      <w:r w:rsidRPr="00501641">
        <w:t xml:space="preserve"> </w:t>
      </w:r>
      <w:proofErr w:type="spellStart"/>
      <w:r w:rsidRPr="00501641">
        <w:t>basada</w:t>
      </w:r>
      <w:proofErr w:type="spellEnd"/>
      <w:r w:rsidRPr="00501641">
        <w:t xml:space="preserve"> </w:t>
      </w:r>
      <w:proofErr w:type="spellStart"/>
      <w:r w:rsidRPr="00501641">
        <w:t>en</w:t>
      </w:r>
      <w:proofErr w:type="spellEnd"/>
      <w:r w:rsidRPr="00501641">
        <w:t xml:space="preserve"> la </w:t>
      </w:r>
      <w:proofErr w:type="spellStart"/>
      <w:r w:rsidRPr="00501641">
        <w:t>ciencia</w:t>
      </w:r>
      <w:proofErr w:type="spellEnd"/>
      <w:r w:rsidRPr="00501641">
        <w:t xml:space="preserve">. La COI es el </w:t>
      </w:r>
      <w:proofErr w:type="spellStart"/>
      <w:r w:rsidRPr="00501641">
        <w:t>buque</w:t>
      </w:r>
      <w:proofErr w:type="spellEnd"/>
      <w:r w:rsidRPr="00501641">
        <w:t xml:space="preserve"> insignia de la </w:t>
      </w:r>
      <w:proofErr w:type="spellStart"/>
      <w:r w:rsidRPr="00501641">
        <w:t>nueva</w:t>
      </w:r>
      <w:proofErr w:type="spellEnd"/>
      <w:r w:rsidRPr="00501641">
        <w:t xml:space="preserve"> </w:t>
      </w:r>
      <w:proofErr w:type="spellStart"/>
      <w:r w:rsidRPr="00501641">
        <w:t>investigación</w:t>
      </w:r>
      <w:proofErr w:type="spellEnd"/>
      <w:r w:rsidRPr="00501641">
        <w:t xml:space="preserve"> </w:t>
      </w:r>
      <w:proofErr w:type="spellStart"/>
      <w:r w:rsidRPr="00501641">
        <w:t>coordinada</w:t>
      </w:r>
      <w:proofErr w:type="spellEnd"/>
      <w:r w:rsidRPr="00501641">
        <w:t xml:space="preserve"> </w:t>
      </w:r>
      <w:proofErr w:type="spellStart"/>
      <w:r w:rsidRPr="00501641">
        <w:t>sobre</w:t>
      </w:r>
      <w:proofErr w:type="spellEnd"/>
      <w:r w:rsidRPr="00501641">
        <w:t xml:space="preserve"> el </w:t>
      </w:r>
      <w:proofErr w:type="spellStart"/>
      <w:r w:rsidRPr="00501641">
        <w:t>futuro</w:t>
      </w:r>
      <w:proofErr w:type="spellEnd"/>
      <w:r w:rsidRPr="00501641">
        <w:t xml:space="preserve"> del </w:t>
      </w:r>
      <w:proofErr w:type="spellStart"/>
      <w:r w:rsidRPr="00501641">
        <w:t>océano</w:t>
      </w:r>
      <w:proofErr w:type="spellEnd"/>
      <w:r w:rsidRPr="00501641">
        <w:t xml:space="preserve"> </w:t>
      </w:r>
      <w:proofErr w:type="spellStart"/>
      <w:r w:rsidRPr="00501641">
        <w:t>como</w:t>
      </w:r>
      <w:proofErr w:type="spellEnd"/>
      <w:r w:rsidRPr="00501641">
        <w:t xml:space="preserve"> </w:t>
      </w:r>
      <w:proofErr w:type="spellStart"/>
      <w:r w:rsidRPr="00501641">
        <w:t>sumidero</w:t>
      </w:r>
      <w:proofErr w:type="spellEnd"/>
      <w:r w:rsidRPr="00501641">
        <w:t xml:space="preserve"> de </w:t>
      </w:r>
      <w:proofErr w:type="spellStart"/>
      <w:r w:rsidRPr="00501641">
        <w:t>carbono</w:t>
      </w:r>
      <w:proofErr w:type="spellEnd"/>
      <w:r w:rsidRPr="00501641">
        <w:t xml:space="preserve"> y un </w:t>
      </w:r>
      <w:proofErr w:type="spellStart"/>
      <w:r w:rsidRPr="00501641">
        <w:t>participante</w:t>
      </w:r>
      <w:proofErr w:type="spellEnd"/>
      <w:r w:rsidRPr="00501641">
        <w:t xml:space="preserve"> </w:t>
      </w:r>
      <w:proofErr w:type="spellStart"/>
      <w:r w:rsidRPr="00501641">
        <w:t>activo</w:t>
      </w:r>
      <w:proofErr w:type="spellEnd"/>
      <w:r w:rsidRPr="00501641">
        <w:t xml:space="preserve"> </w:t>
      </w:r>
      <w:proofErr w:type="spellStart"/>
      <w:r w:rsidRPr="00501641">
        <w:t>en</w:t>
      </w:r>
      <w:proofErr w:type="spellEnd"/>
      <w:r w:rsidRPr="00501641">
        <w:t xml:space="preserve"> la </w:t>
      </w:r>
      <w:proofErr w:type="spellStart"/>
      <w:r w:rsidRPr="00501641">
        <w:t>Iniciativa</w:t>
      </w:r>
      <w:proofErr w:type="spellEnd"/>
      <w:r w:rsidRPr="00501641">
        <w:t xml:space="preserve"> </w:t>
      </w:r>
      <w:proofErr w:type="spellStart"/>
      <w:r w:rsidRPr="00501641">
        <w:t>Carbono</w:t>
      </w:r>
      <w:proofErr w:type="spellEnd"/>
      <w:r w:rsidRPr="00501641">
        <w:t xml:space="preserve"> Azul. La Comisión </w:t>
      </w:r>
      <w:proofErr w:type="spellStart"/>
      <w:r w:rsidRPr="00501641">
        <w:t>seguirá</w:t>
      </w:r>
      <w:proofErr w:type="spellEnd"/>
      <w:r w:rsidRPr="00501641">
        <w:t xml:space="preserve"> </w:t>
      </w:r>
      <w:proofErr w:type="spellStart"/>
      <w:r w:rsidRPr="00501641">
        <w:t>prestando</w:t>
      </w:r>
      <w:proofErr w:type="spellEnd"/>
      <w:r w:rsidRPr="00501641">
        <w:t xml:space="preserve"> </w:t>
      </w:r>
      <w:proofErr w:type="spellStart"/>
      <w:r w:rsidRPr="00501641">
        <w:t>asistencia</w:t>
      </w:r>
      <w:proofErr w:type="spellEnd"/>
      <w:r w:rsidRPr="00501641">
        <w:t xml:space="preserve"> </w:t>
      </w:r>
      <w:proofErr w:type="spellStart"/>
      <w:r w:rsidRPr="00501641">
        <w:t>técnica</w:t>
      </w:r>
      <w:proofErr w:type="spellEnd"/>
      <w:r w:rsidRPr="00501641">
        <w:t xml:space="preserve"> a los </w:t>
      </w:r>
      <w:proofErr w:type="spellStart"/>
      <w:r w:rsidRPr="00501641">
        <w:t>trabajos</w:t>
      </w:r>
      <w:proofErr w:type="spellEnd"/>
      <w:r w:rsidRPr="00501641">
        <w:t xml:space="preserve"> de los </w:t>
      </w:r>
      <w:proofErr w:type="spellStart"/>
      <w:r w:rsidRPr="00501641">
        <w:t>expertos</w:t>
      </w:r>
      <w:proofErr w:type="spellEnd"/>
      <w:r w:rsidRPr="00501641">
        <w:t xml:space="preserve"> </w:t>
      </w:r>
      <w:proofErr w:type="spellStart"/>
      <w:r w:rsidRPr="00501641">
        <w:t>interinstitucionales</w:t>
      </w:r>
      <w:proofErr w:type="spellEnd"/>
      <w:r w:rsidRPr="00501641">
        <w:t xml:space="preserve"> de las </w:t>
      </w:r>
      <w:proofErr w:type="spellStart"/>
      <w:r w:rsidRPr="00501641">
        <w:t>Naciones</w:t>
      </w:r>
      <w:proofErr w:type="spellEnd"/>
      <w:r w:rsidRPr="00501641">
        <w:t xml:space="preserve"> </w:t>
      </w:r>
      <w:proofErr w:type="spellStart"/>
      <w:r w:rsidRPr="00501641">
        <w:t>Unidas</w:t>
      </w:r>
      <w:proofErr w:type="spellEnd"/>
      <w:r w:rsidRPr="00501641">
        <w:t xml:space="preserve"> </w:t>
      </w:r>
      <w:proofErr w:type="spellStart"/>
      <w:r w:rsidRPr="00501641">
        <w:t>sobre</w:t>
      </w:r>
      <w:proofErr w:type="spellEnd"/>
      <w:r w:rsidRPr="00501641">
        <w:t xml:space="preserve"> las </w:t>
      </w:r>
      <w:proofErr w:type="spellStart"/>
      <w:r w:rsidRPr="00501641">
        <w:t>soluciones</w:t>
      </w:r>
      <w:proofErr w:type="spellEnd"/>
      <w:r w:rsidRPr="00501641">
        <w:t xml:space="preserve"> </w:t>
      </w:r>
      <w:proofErr w:type="spellStart"/>
      <w:r w:rsidRPr="00501641">
        <w:t>oceánicas</w:t>
      </w:r>
      <w:proofErr w:type="spellEnd"/>
      <w:r w:rsidRPr="00501641">
        <w:t xml:space="preserve"> para la </w:t>
      </w:r>
      <w:proofErr w:type="spellStart"/>
      <w:r w:rsidRPr="00501641">
        <w:t>mitigación</w:t>
      </w:r>
      <w:proofErr w:type="spellEnd"/>
      <w:r w:rsidRPr="00501641">
        <w:t xml:space="preserve"> del </w:t>
      </w:r>
      <w:proofErr w:type="spellStart"/>
      <w:r w:rsidRPr="00501641">
        <w:t>cambio</w:t>
      </w:r>
      <w:proofErr w:type="spellEnd"/>
      <w:r w:rsidRPr="00501641">
        <w:t xml:space="preserve"> </w:t>
      </w:r>
      <w:proofErr w:type="spellStart"/>
      <w:r w:rsidRPr="00501641">
        <w:t>climático</w:t>
      </w:r>
      <w:proofErr w:type="spellEnd"/>
      <w:r w:rsidRPr="00501641">
        <w:t xml:space="preserve"> </w:t>
      </w:r>
      <w:proofErr w:type="spellStart"/>
      <w:r w:rsidRPr="00501641">
        <w:t>mediante</w:t>
      </w:r>
      <w:proofErr w:type="spellEnd"/>
      <w:r w:rsidRPr="00501641">
        <w:t xml:space="preserve"> el </w:t>
      </w:r>
      <w:proofErr w:type="spellStart"/>
      <w:r w:rsidRPr="00501641">
        <w:t>secuestro</w:t>
      </w:r>
      <w:proofErr w:type="spellEnd"/>
      <w:r w:rsidRPr="00501641">
        <w:t xml:space="preserve"> de </w:t>
      </w:r>
      <w:proofErr w:type="spellStart"/>
      <w:r w:rsidRPr="00501641">
        <w:t>carbono</w:t>
      </w:r>
      <w:proofErr w:type="spellEnd"/>
      <w:r w:rsidRPr="00501641">
        <w:t xml:space="preserve"> y </w:t>
      </w:r>
      <w:proofErr w:type="spellStart"/>
      <w:r w:rsidRPr="00501641">
        <w:t>coordinando</w:t>
      </w:r>
      <w:proofErr w:type="spellEnd"/>
      <w:r w:rsidRPr="00501641">
        <w:t xml:space="preserve"> el Sistema Mundial de </w:t>
      </w:r>
      <w:proofErr w:type="spellStart"/>
      <w:r w:rsidRPr="00501641">
        <w:t>Observación</w:t>
      </w:r>
      <w:proofErr w:type="spellEnd"/>
      <w:r w:rsidRPr="00501641">
        <w:t xml:space="preserve"> del </w:t>
      </w:r>
      <w:proofErr w:type="spellStart"/>
      <w:r w:rsidRPr="00501641">
        <w:t>Océano</w:t>
      </w:r>
      <w:proofErr w:type="spellEnd"/>
      <w:r w:rsidRPr="00501641">
        <w:t xml:space="preserve"> (GOOS) y el </w:t>
      </w:r>
      <w:proofErr w:type="spellStart"/>
      <w:r w:rsidRPr="00501641">
        <w:t>programa</w:t>
      </w:r>
      <w:proofErr w:type="spellEnd"/>
      <w:r w:rsidRPr="00501641">
        <w:t xml:space="preserve"> de </w:t>
      </w:r>
      <w:proofErr w:type="spellStart"/>
      <w:r w:rsidRPr="00501641">
        <w:t>Intercambio</w:t>
      </w:r>
      <w:proofErr w:type="spellEnd"/>
      <w:r w:rsidRPr="00501641">
        <w:t xml:space="preserve"> </w:t>
      </w:r>
      <w:proofErr w:type="spellStart"/>
      <w:r w:rsidRPr="00501641">
        <w:t>Internacional</w:t>
      </w:r>
      <w:proofErr w:type="spellEnd"/>
      <w:r w:rsidRPr="00501641">
        <w:t xml:space="preserve"> de </w:t>
      </w:r>
      <w:proofErr w:type="spellStart"/>
      <w:r w:rsidRPr="00501641">
        <w:t>Datos</w:t>
      </w:r>
      <w:proofErr w:type="spellEnd"/>
      <w:r w:rsidRPr="00501641">
        <w:t xml:space="preserve"> e </w:t>
      </w:r>
      <w:proofErr w:type="spellStart"/>
      <w:r w:rsidRPr="00501641">
        <w:t>Información</w:t>
      </w:r>
      <w:proofErr w:type="spellEnd"/>
      <w:r w:rsidRPr="00501641">
        <w:t xml:space="preserve"> </w:t>
      </w:r>
      <w:proofErr w:type="spellStart"/>
      <w:r w:rsidRPr="00501641">
        <w:t>Oceanográficos</w:t>
      </w:r>
      <w:proofErr w:type="spellEnd"/>
      <w:r w:rsidRPr="00501641">
        <w:t xml:space="preserve"> (IODE), con el </w:t>
      </w:r>
      <w:proofErr w:type="spellStart"/>
      <w:r w:rsidRPr="00501641">
        <w:t>apoyo</w:t>
      </w:r>
      <w:proofErr w:type="spellEnd"/>
      <w:r w:rsidRPr="00501641">
        <w:t xml:space="preserve"> de un </w:t>
      </w:r>
      <w:proofErr w:type="spellStart"/>
      <w:r w:rsidRPr="00501641">
        <w:t>sistema</w:t>
      </w:r>
      <w:proofErr w:type="spellEnd"/>
      <w:r w:rsidRPr="00501641">
        <w:t xml:space="preserve"> </w:t>
      </w:r>
      <w:proofErr w:type="spellStart"/>
      <w:r w:rsidRPr="00501641">
        <w:t>mundial</w:t>
      </w:r>
      <w:proofErr w:type="spellEnd"/>
      <w:r w:rsidRPr="00501641">
        <w:t xml:space="preserve"> de </w:t>
      </w:r>
      <w:proofErr w:type="spellStart"/>
      <w:r w:rsidRPr="00501641">
        <w:t>centros</w:t>
      </w:r>
      <w:proofErr w:type="spellEnd"/>
      <w:r w:rsidRPr="00501641">
        <w:t xml:space="preserve"> y </w:t>
      </w:r>
      <w:proofErr w:type="spellStart"/>
      <w:r w:rsidRPr="00501641">
        <w:t>unidades</w:t>
      </w:r>
      <w:proofErr w:type="spellEnd"/>
      <w:r w:rsidRPr="00501641">
        <w:t xml:space="preserve"> </w:t>
      </w:r>
      <w:proofErr w:type="spellStart"/>
      <w:r w:rsidRPr="00501641">
        <w:t>nacionales</w:t>
      </w:r>
      <w:proofErr w:type="spellEnd"/>
      <w:r w:rsidRPr="00501641">
        <w:t xml:space="preserve"> de </w:t>
      </w:r>
      <w:proofErr w:type="spellStart"/>
      <w:r w:rsidRPr="00501641">
        <w:t>datos</w:t>
      </w:r>
      <w:proofErr w:type="spellEnd"/>
      <w:r w:rsidRPr="00501641">
        <w:t xml:space="preserve"> y de </w:t>
      </w:r>
      <w:proofErr w:type="spellStart"/>
      <w:r w:rsidRPr="00501641">
        <w:t>diversas</w:t>
      </w:r>
      <w:proofErr w:type="spellEnd"/>
      <w:r w:rsidRPr="00501641">
        <w:t xml:space="preserve"> bases de </w:t>
      </w:r>
      <w:proofErr w:type="spellStart"/>
      <w:r w:rsidRPr="00501641">
        <w:t>datos</w:t>
      </w:r>
      <w:proofErr w:type="spellEnd"/>
      <w:r w:rsidRPr="00501641">
        <w:t xml:space="preserve">, </w:t>
      </w:r>
      <w:proofErr w:type="spellStart"/>
      <w:r w:rsidRPr="00501641">
        <w:t>como</w:t>
      </w:r>
      <w:proofErr w:type="spellEnd"/>
      <w:r w:rsidRPr="00501641">
        <w:t xml:space="preserve"> el Sistema de </w:t>
      </w:r>
      <w:proofErr w:type="spellStart"/>
      <w:r w:rsidRPr="00501641">
        <w:t>Información</w:t>
      </w:r>
      <w:proofErr w:type="spellEnd"/>
      <w:r w:rsidRPr="00501641">
        <w:t xml:space="preserve"> </w:t>
      </w:r>
      <w:proofErr w:type="spellStart"/>
      <w:r w:rsidRPr="00501641">
        <w:t>sobre</w:t>
      </w:r>
      <w:proofErr w:type="spellEnd"/>
      <w:r w:rsidRPr="00501641">
        <w:t xml:space="preserve"> la </w:t>
      </w:r>
      <w:proofErr w:type="spellStart"/>
      <w:r w:rsidRPr="00501641">
        <w:t>Biodiversidad</w:t>
      </w:r>
      <w:proofErr w:type="spellEnd"/>
      <w:r w:rsidRPr="00501641">
        <w:t xml:space="preserve"> del </w:t>
      </w:r>
      <w:proofErr w:type="spellStart"/>
      <w:r w:rsidRPr="00501641">
        <w:t>Océano</w:t>
      </w:r>
      <w:proofErr w:type="spellEnd"/>
      <w:r w:rsidRPr="00501641">
        <w:t xml:space="preserve"> (OBIS) y la Base de </w:t>
      </w:r>
      <w:proofErr w:type="spellStart"/>
      <w:r w:rsidRPr="00501641">
        <w:t>Datos</w:t>
      </w:r>
      <w:proofErr w:type="spellEnd"/>
      <w:r w:rsidRPr="00501641">
        <w:t xml:space="preserve"> </w:t>
      </w:r>
      <w:proofErr w:type="spellStart"/>
      <w:r w:rsidRPr="00501641">
        <w:t>Oceánicos</w:t>
      </w:r>
      <w:proofErr w:type="spellEnd"/>
      <w:r w:rsidRPr="00501641">
        <w:t xml:space="preserve"> </w:t>
      </w:r>
      <w:proofErr w:type="spellStart"/>
      <w:r w:rsidRPr="00501641">
        <w:t>Mundiales</w:t>
      </w:r>
      <w:proofErr w:type="spellEnd"/>
      <w:r w:rsidRPr="00501641">
        <w:t xml:space="preserve"> (WOD).</w:t>
      </w:r>
    </w:p>
    <w:p w14:paraId="237B7AEF" w14:textId="2536A3C4" w:rsidR="007B71CA" w:rsidRPr="00501641" w:rsidRDefault="00BC243D" w:rsidP="00BC243D">
      <w:pPr>
        <w:pStyle w:val="Marge"/>
        <w:tabs>
          <w:tab w:val="clear" w:pos="567"/>
          <w:tab w:val="left" w:pos="1162"/>
        </w:tabs>
        <w:spacing w:line="240" w:lineRule="auto"/>
      </w:pPr>
      <w:r w:rsidRPr="00501641">
        <w:rPr>
          <w:bdr w:val="single" w:sz="4" w:space="0" w:color="auto"/>
        </w:rPr>
        <w:t>03007</w:t>
      </w:r>
      <w:r w:rsidRPr="00501641">
        <w:tab/>
        <w:t xml:space="preserve">La COI </w:t>
      </w:r>
      <w:proofErr w:type="spellStart"/>
      <w:r w:rsidRPr="00501641">
        <w:t>seguirá</w:t>
      </w:r>
      <w:proofErr w:type="spellEnd"/>
      <w:r w:rsidRPr="00501641">
        <w:t xml:space="preserve"> </w:t>
      </w:r>
      <w:proofErr w:type="spellStart"/>
      <w:r w:rsidRPr="00501641">
        <w:t>promoviendo</w:t>
      </w:r>
      <w:proofErr w:type="spellEnd"/>
      <w:r w:rsidRPr="00501641">
        <w:t xml:space="preserve"> el </w:t>
      </w:r>
      <w:proofErr w:type="spellStart"/>
      <w:r w:rsidRPr="00501641">
        <w:t>desarrollo</w:t>
      </w:r>
      <w:proofErr w:type="spellEnd"/>
      <w:r w:rsidRPr="00501641">
        <w:t xml:space="preserve"> del Sistema de </w:t>
      </w:r>
      <w:proofErr w:type="spellStart"/>
      <w:r w:rsidRPr="00501641">
        <w:t>Datos</w:t>
      </w:r>
      <w:proofErr w:type="spellEnd"/>
      <w:r w:rsidRPr="00501641">
        <w:t xml:space="preserve"> e </w:t>
      </w:r>
      <w:proofErr w:type="spellStart"/>
      <w:r w:rsidRPr="00501641">
        <w:t>Información</w:t>
      </w:r>
      <w:proofErr w:type="spellEnd"/>
      <w:r w:rsidRPr="00501641">
        <w:t xml:space="preserve"> </w:t>
      </w:r>
      <w:proofErr w:type="spellStart"/>
      <w:r w:rsidRPr="00501641">
        <w:t>Oceanográficos</w:t>
      </w:r>
      <w:proofErr w:type="spellEnd"/>
      <w:r w:rsidRPr="00501641">
        <w:t xml:space="preserve">, de </w:t>
      </w:r>
      <w:proofErr w:type="spellStart"/>
      <w:r w:rsidRPr="00501641">
        <w:t>alcance</w:t>
      </w:r>
      <w:proofErr w:type="spellEnd"/>
      <w:r w:rsidRPr="00501641">
        <w:t xml:space="preserve"> </w:t>
      </w:r>
      <w:proofErr w:type="spellStart"/>
      <w:r w:rsidRPr="00501641">
        <w:t>mundial</w:t>
      </w:r>
      <w:proofErr w:type="spellEnd"/>
      <w:r w:rsidRPr="00501641">
        <w:t xml:space="preserve">, que </w:t>
      </w:r>
      <w:proofErr w:type="spellStart"/>
      <w:r w:rsidRPr="00501641">
        <w:t>facilitará</w:t>
      </w:r>
      <w:proofErr w:type="spellEnd"/>
      <w:r w:rsidRPr="00501641">
        <w:t xml:space="preserve"> </w:t>
      </w:r>
      <w:proofErr w:type="spellStart"/>
      <w:r w:rsidRPr="00501641">
        <w:t>considerablemente</w:t>
      </w:r>
      <w:proofErr w:type="spellEnd"/>
      <w:r w:rsidRPr="00501641">
        <w:t xml:space="preserve"> el </w:t>
      </w:r>
      <w:proofErr w:type="spellStart"/>
      <w:r w:rsidRPr="00501641">
        <w:t>intercambio</w:t>
      </w:r>
      <w:proofErr w:type="spellEnd"/>
      <w:r w:rsidRPr="00501641">
        <w:t xml:space="preserve"> de </w:t>
      </w:r>
      <w:proofErr w:type="spellStart"/>
      <w:r w:rsidRPr="00501641">
        <w:t>datos</w:t>
      </w:r>
      <w:proofErr w:type="spellEnd"/>
      <w:r w:rsidRPr="00501641">
        <w:t xml:space="preserve"> e </w:t>
      </w:r>
      <w:proofErr w:type="spellStart"/>
      <w:r w:rsidRPr="00501641">
        <w:t>información</w:t>
      </w:r>
      <w:proofErr w:type="spellEnd"/>
      <w:r w:rsidRPr="00501641">
        <w:t xml:space="preserve"> </w:t>
      </w:r>
      <w:proofErr w:type="spellStart"/>
      <w:r w:rsidRPr="00501641">
        <w:t>sobre</w:t>
      </w:r>
      <w:proofErr w:type="spellEnd"/>
      <w:r w:rsidRPr="00501641">
        <w:t xml:space="preserve"> el </w:t>
      </w:r>
      <w:proofErr w:type="spellStart"/>
      <w:r w:rsidRPr="00501641">
        <w:t>océano</w:t>
      </w:r>
      <w:proofErr w:type="spellEnd"/>
      <w:r w:rsidRPr="00501641">
        <w:t xml:space="preserve"> con un </w:t>
      </w:r>
      <w:proofErr w:type="spellStart"/>
      <w:r w:rsidRPr="00501641">
        <w:t>amplio</w:t>
      </w:r>
      <w:proofErr w:type="spellEnd"/>
      <w:r w:rsidRPr="00501641">
        <w:t xml:space="preserve"> </w:t>
      </w:r>
      <w:proofErr w:type="spellStart"/>
      <w:r w:rsidRPr="00501641">
        <w:t>espectro</w:t>
      </w:r>
      <w:proofErr w:type="spellEnd"/>
      <w:r w:rsidRPr="00501641">
        <w:t xml:space="preserve"> de </w:t>
      </w:r>
      <w:proofErr w:type="spellStart"/>
      <w:r w:rsidRPr="00501641">
        <w:t>partes</w:t>
      </w:r>
      <w:proofErr w:type="spellEnd"/>
      <w:r w:rsidRPr="00501641">
        <w:t xml:space="preserve"> </w:t>
      </w:r>
      <w:proofErr w:type="spellStart"/>
      <w:r w:rsidRPr="00501641">
        <w:t>interesadas</w:t>
      </w:r>
      <w:proofErr w:type="spellEnd"/>
      <w:r w:rsidRPr="00501641">
        <w:t xml:space="preserve">, </w:t>
      </w:r>
      <w:proofErr w:type="spellStart"/>
      <w:r w:rsidRPr="00501641">
        <w:t>en</w:t>
      </w:r>
      <w:proofErr w:type="spellEnd"/>
      <w:r w:rsidRPr="00501641">
        <w:t xml:space="preserve"> </w:t>
      </w:r>
      <w:proofErr w:type="spellStart"/>
      <w:r w:rsidRPr="00501641">
        <w:t>consonancia</w:t>
      </w:r>
      <w:proofErr w:type="spellEnd"/>
      <w:r w:rsidRPr="00501641">
        <w:t xml:space="preserve"> con los </w:t>
      </w:r>
      <w:proofErr w:type="spellStart"/>
      <w:r w:rsidRPr="00501641">
        <w:t>objetivos</w:t>
      </w:r>
      <w:proofErr w:type="spellEnd"/>
      <w:r w:rsidRPr="00501641">
        <w:t xml:space="preserve"> del Decenio del </w:t>
      </w:r>
      <w:proofErr w:type="spellStart"/>
      <w:r w:rsidRPr="00501641">
        <w:t>Océano</w:t>
      </w:r>
      <w:proofErr w:type="spellEnd"/>
      <w:r w:rsidRPr="00501641">
        <w:t xml:space="preserve">. </w:t>
      </w:r>
      <w:proofErr w:type="spellStart"/>
      <w:r w:rsidRPr="00501641">
        <w:t>Asimismo</w:t>
      </w:r>
      <w:proofErr w:type="spellEnd"/>
      <w:r w:rsidRPr="00501641">
        <w:t xml:space="preserve">, la COI </w:t>
      </w:r>
      <w:proofErr w:type="spellStart"/>
      <w:r w:rsidRPr="00501641">
        <w:t>seguirá</w:t>
      </w:r>
      <w:proofErr w:type="spellEnd"/>
      <w:r w:rsidRPr="00501641">
        <w:t xml:space="preserve"> </w:t>
      </w:r>
      <w:proofErr w:type="spellStart"/>
      <w:r w:rsidRPr="00501641">
        <w:t>aportando</w:t>
      </w:r>
      <w:proofErr w:type="spellEnd"/>
      <w:r w:rsidRPr="00501641">
        <w:t xml:space="preserve"> una </w:t>
      </w:r>
      <w:proofErr w:type="spellStart"/>
      <w:r w:rsidRPr="00501641">
        <w:t>contribución</w:t>
      </w:r>
      <w:proofErr w:type="spellEnd"/>
      <w:r w:rsidRPr="00501641">
        <w:t xml:space="preserve"> </w:t>
      </w:r>
      <w:proofErr w:type="spellStart"/>
      <w:r w:rsidRPr="00501641">
        <w:t>directa</w:t>
      </w:r>
      <w:proofErr w:type="spellEnd"/>
      <w:r w:rsidRPr="00501641">
        <w:t xml:space="preserve"> fundamental para la </w:t>
      </w:r>
      <w:proofErr w:type="spellStart"/>
      <w:r w:rsidRPr="00501641">
        <w:t>aplicación</w:t>
      </w:r>
      <w:proofErr w:type="spellEnd"/>
      <w:r w:rsidRPr="00501641">
        <w:t xml:space="preserve"> del Marco de </w:t>
      </w:r>
      <w:proofErr w:type="spellStart"/>
      <w:r w:rsidRPr="00501641">
        <w:t>Sendái</w:t>
      </w:r>
      <w:proofErr w:type="spellEnd"/>
      <w:r w:rsidRPr="00501641">
        <w:t xml:space="preserve"> para la </w:t>
      </w:r>
      <w:proofErr w:type="spellStart"/>
      <w:r w:rsidRPr="00501641">
        <w:t>Reducción</w:t>
      </w:r>
      <w:proofErr w:type="spellEnd"/>
      <w:r w:rsidRPr="00501641">
        <w:t xml:space="preserve"> del </w:t>
      </w:r>
      <w:proofErr w:type="spellStart"/>
      <w:r w:rsidRPr="00501641">
        <w:t>Riesgo</w:t>
      </w:r>
      <w:proofErr w:type="spellEnd"/>
      <w:r w:rsidRPr="00501641">
        <w:t xml:space="preserve"> de </w:t>
      </w:r>
      <w:proofErr w:type="spellStart"/>
      <w:r w:rsidRPr="00501641">
        <w:t>Desastres</w:t>
      </w:r>
      <w:proofErr w:type="spellEnd"/>
      <w:r w:rsidRPr="00501641">
        <w:t xml:space="preserve">, </w:t>
      </w:r>
      <w:proofErr w:type="spellStart"/>
      <w:r w:rsidRPr="00501641">
        <w:t>mediante</w:t>
      </w:r>
      <w:proofErr w:type="spellEnd"/>
      <w:r w:rsidRPr="00501641">
        <w:t xml:space="preserve"> la </w:t>
      </w:r>
      <w:proofErr w:type="spellStart"/>
      <w:r w:rsidRPr="00501641">
        <w:t>coordinación</w:t>
      </w:r>
      <w:proofErr w:type="spellEnd"/>
      <w:r w:rsidRPr="00501641">
        <w:t xml:space="preserve"> de la red </w:t>
      </w:r>
      <w:proofErr w:type="spellStart"/>
      <w:r w:rsidRPr="00501641">
        <w:t>intergubernamental</w:t>
      </w:r>
      <w:proofErr w:type="spellEnd"/>
      <w:r w:rsidRPr="00501641">
        <w:t xml:space="preserve"> de los </w:t>
      </w:r>
      <w:proofErr w:type="spellStart"/>
      <w:r w:rsidRPr="00501641">
        <w:t>cuatro</w:t>
      </w:r>
      <w:proofErr w:type="spellEnd"/>
      <w:r w:rsidRPr="00501641">
        <w:t xml:space="preserve"> </w:t>
      </w:r>
      <w:proofErr w:type="spellStart"/>
      <w:r w:rsidRPr="00501641">
        <w:t>sistemas</w:t>
      </w:r>
      <w:proofErr w:type="spellEnd"/>
      <w:r w:rsidRPr="00501641">
        <w:t xml:space="preserve"> </w:t>
      </w:r>
      <w:proofErr w:type="spellStart"/>
      <w:r w:rsidRPr="00501641">
        <w:t>regionales</w:t>
      </w:r>
      <w:proofErr w:type="spellEnd"/>
      <w:r w:rsidRPr="00501641">
        <w:t xml:space="preserve"> de </w:t>
      </w:r>
      <w:proofErr w:type="spellStart"/>
      <w:r w:rsidRPr="00501641">
        <w:t>alerta</w:t>
      </w:r>
      <w:proofErr w:type="spellEnd"/>
      <w:r w:rsidRPr="00501641">
        <w:t xml:space="preserve"> contra los tsunamis y </w:t>
      </w:r>
      <w:proofErr w:type="spellStart"/>
      <w:r w:rsidRPr="00501641">
        <w:t>atenuación</w:t>
      </w:r>
      <w:proofErr w:type="spellEnd"/>
      <w:r w:rsidRPr="00501641">
        <w:t xml:space="preserve"> de sus </w:t>
      </w:r>
      <w:proofErr w:type="spellStart"/>
      <w:r w:rsidRPr="00501641">
        <w:t>efectos</w:t>
      </w:r>
      <w:proofErr w:type="spellEnd"/>
      <w:r w:rsidRPr="00501641">
        <w:t xml:space="preserve">, </w:t>
      </w:r>
      <w:proofErr w:type="spellStart"/>
      <w:r w:rsidRPr="00501641">
        <w:t>actuando</w:t>
      </w:r>
      <w:proofErr w:type="spellEnd"/>
      <w:r w:rsidRPr="00501641">
        <w:t xml:space="preserve"> </w:t>
      </w:r>
      <w:proofErr w:type="spellStart"/>
      <w:r w:rsidRPr="00501641">
        <w:t>como</w:t>
      </w:r>
      <w:proofErr w:type="spellEnd"/>
      <w:r w:rsidRPr="00501641">
        <w:t xml:space="preserve"> </w:t>
      </w:r>
      <w:proofErr w:type="spellStart"/>
      <w:r w:rsidRPr="00501641">
        <w:t>organismo</w:t>
      </w:r>
      <w:proofErr w:type="spellEnd"/>
      <w:r w:rsidRPr="00501641">
        <w:t xml:space="preserve"> de </w:t>
      </w:r>
      <w:proofErr w:type="spellStart"/>
      <w:r w:rsidRPr="00501641">
        <w:t>normalización</w:t>
      </w:r>
      <w:proofErr w:type="spellEnd"/>
      <w:r w:rsidRPr="00501641">
        <w:t xml:space="preserve"> </w:t>
      </w:r>
      <w:proofErr w:type="spellStart"/>
      <w:r w:rsidRPr="00501641">
        <w:t>mundial</w:t>
      </w:r>
      <w:proofErr w:type="spellEnd"/>
      <w:r w:rsidRPr="00501641">
        <w:t xml:space="preserve"> </w:t>
      </w:r>
      <w:proofErr w:type="spellStart"/>
      <w:r w:rsidRPr="00501641">
        <w:t>en</w:t>
      </w:r>
      <w:proofErr w:type="spellEnd"/>
      <w:r w:rsidRPr="00501641">
        <w:t xml:space="preserve"> </w:t>
      </w:r>
      <w:proofErr w:type="spellStart"/>
      <w:r w:rsidRPr="00501641">
        <w:t>esta</w:t>
      </w:r>
      <w:proofErr w:type="spellEnd"/>
      <w:r w:rsidRPr="00501641">
        <w:t xml:space="preserve"> </w:t>
      </w:r>
      <w:proofErr w:type="spellStart"/>
      <w:r w:rsidRPr="00501641">
        <w:t>materia</w:t>
      </w:r>
      <w:proofErr w:type="spellEnd"/>
      <w:r w:rsidRPr="00501641">
        <w:t xml:space="preserve"> y </w:t>
      </w:r>
      <w:proofErr w:type="spellStart"/>
      <w:r w:rsidRPr="00501641">
        <w:t>coordinando</w:t>
      </w:r>
      <w:proofErr w:type="spellEnd"/>
      <w:r w:rsidRPr="00501641">
        <w:t xml:space="preserve"> 13 </w:t>
      </w:r>
      <w:proofErr w:type="spellStart"/>
      <w:r w:rsidRPr="00501641">
        <w:t>proveedores</w:t>
      </w:r>
      <w:proofErr w:type="spellEnd"/>
      <w:r w:rsidRPr="00501641">
        <w:t xml:space="preserve"> de </w:t>
      </w:r>
      <w:proofErr w:type="spellStart"/>
      <w:r w:rsidRPr="00501641">
        <w:t>servicios</w:t>
      </w:r>
      <w:proofErr w:type="spellEnd"/>
      <w:r w:rsidRPr="00501641">
        <w:t xml:space="preserve"> </w:t>
      </w:r>
      <w:proofErr w:type="spellStart"/>
      <w:r w:rsidRPr="00501641">
        <w:t>sobre</w:t>
      </w:r>
      <w:proofErr w:type="spellEnd"/>
      <w:r w:rsidRPr="00501641">
        <w:t xml:space="preserve"> tsunamis que </w:t>
      </w:r>
      <w:proofErr w:type="spellStart"/>
      <w:r w:rsidRPr="00501641">
        <w:t>prestan</w:t>
      </w:r>
      <w:proofErr w:type="spellEnd"/>
      <w:r w:rsidRPr="00501641">
        <w:t xml:space="preserve"> </w:t>
      </w:r>
      <w:proofErr w:type="spellStart"/>
      <w:r w:rsidRPr="00501641">
        <w:t>servicios</w:t>
      </w:r>
      <w:proofErr w:type="spellEnd"/>
      <w:r w:rsidRPr="00501641">
        <w:t xml:space="preserve"> </w:t>
      </w:r>
      <w:proofErr w:type="spellStart"/>
      <w:r w:rsidRPr="00501641">
        <w:t>operacionales</w:t>
      </w:r>
      <w:proofErr w:type="spellEnd"/>
      <w:r w:rsidRPr="00501641">
        <w:t xml:space="preserve"> de </w:t>
      </w:r>
      <w:proofErr w:type="spellStart"/>
      <w:r w:rsidRPr="00501641">
        <w:t>manera</w:t>
      </w:r>
      <w:proofErr w:type="spellEnd"/>
      <w:r w:rsidRPr="00501641">
        <w:t xml:space="preserve"> </w:t>
      </w:r>
      <w:proofErr w:type="spellStart"/>
      <w:r w:rsidRPr="00501641">
        <w:t>ininterrumpida</w:t>
      </w:r>
      <w:proofErr w:type="spellEnd"/>
      <w:r w:rsidRPr="00501641">
        <w:t xml:space="preserve">. De </w:t>
      </w:r>
      <w:proofErr w:type="spellStart"/>
      <w:r w:rsidRPr="00501641">
        <w:t>cara</w:t>
      </w:r>
      <w:proofErr w:type="spellEnd"/>
      <w:r w:rsidRPr="00501641">
        <w:t xml:space="preserve"> al </w:t>
      </w:r>
      <w:proofErr w:type="spellStart"/>
      <w:r w:rsidRPr="00501641">
        <w:t>futuro</w:t>
      </w:r>
      <w:proofErr w:type="spellEnd"/>
      <w:r w:rsidRPr="00501641">
        <w:t xml:space="preserve">, la COI </w:t>
      </w:r>
      <w:proofErr w:type="spellStart"/>
      <w:r w:rsidRPr="00501641">
        <w:t>elaborará</w:t>
      </w:r>
      <w:proofErr w:type="spellEnd"/>
      <w:r w:rsidRPr="00501641">
        <w:t xml:space="preserve"> un plan </w:t>
      </w:r>
      <w:proofErr w:type="spellStart"/>
      <w:r w:rsidRPr="00501641">
        <w:t>decenal</w:t>
      </w:r>
      <w:proofErr w:type="spellEnd"/>
      <w:r w:rsidRPr="00501641">
        <w:t xml:space="preserve"> de </w:t>
      </w:r>
      <w:proofErr w:type="spellStart"/>
      <w:r w:rsidRPr="00501641">
        <w:t>investigación</w:t>
      </w:r>
      <w:proofErr w:type="spellEnd"/>
      <w:r w:rsidRPr="00501641">
        <w:t xml:space="preserve"> y </w:t>
      </w:r>
      <w:proofErr w:type="spellStart"/>
      <w:r w:rsidRPr="00501641">
        <w:t>desarrollo</w:t>
      </w:r>
      <w:proofErr w:type="spellEnd"/>
      <w:r w:rsidRPr="00501641">
        <w:t xml:space="preserve"> para un </w:t>
      </w:r>
      <w:proofErr w:type="spellStart"/>
      <w:r w:rsidRPr="00501641">
        <w:t>programa</w:t>
      </w:r>
      <w:proofErr w:type="spellEnd"/>
      <w:r w:rsidRPr="00501641">
        <w:t xml:space="preserve"> </w:t>
      </w:r>
      <w:proofErr w:type="spellStart"/>
      <w:r w:rsidRPr="00501641">
        <w:t>sobre</w:t>
      </w:r>
      <w:proofErr w:type="spellEnd"/>
      <w:r w:rsidRPr="00501641">
        <w:t xml:space="preserve"> los tsunamis </w:t>
      </w:r>
      <w:proofErr w:type="spellStart"/>
      <w:r w:rsidRPr="00501641">
        <w:t>en</w:t>
      </w:r>
      <w:proofErr w:type="spellEnd"/>
      <w:r w:rsidRPr="00501641">
        <w:t xml:space="preserve"> el </w:t>
      </w:r>
      <w:proofErr w:type="spellStart"/>
      <w:r w:rsidRPr="00501641">
        <w:t>contexto</w:t>
      </w:r>
      <w:proofErr w:type="spellEnd"/>
      <w:r w:rsidRPr="00501641">
        <w:t xml:space="preserve"> del Decenio de las </w:t>
      </w:r>
      <w:proofErr w:type="spellStart"/>
      <w:r w:rsidRPr="00501641">
        <w:t>Naciones</w:t>
      </w:r>
      <w:proofErr w:type="spellEnd"/>
      <w:r w:rsidRPr="00501641">
        <w:t xml:space="preserve"> </w:t>
      </w:r>
      <w:proofErr w:type="spellStart"/>
      <w:r w:rsidRPr="00501641">
        <w:t>Unidas</w:t>
      </w:r>
      <w:proofErr w:type="spellEnd"/>
      <w:r w:rsidRPr="00501641">
        <w:t xml:space="preserve">. </w:t>
      </w:r>
      <w:proofErr w:type="spellStart"/>
      <w:r w:rsidRPr="00501641">
        <w:t>Además</w:t>
      </w:r>
      <w:proofErr w:type="spellEnd"/>
      <w:r w:rsidRPr="00501641">
        <w:t xml:space="preserve">, la COI </w:t>
      </w:r>
      <w:proofErr w:type="spellStart"/>
      <w:r w:rsidRPr="00501641">
        <w:t>está</w:t>
      </w:r>
      <w:proofErr w:type="spellEnd"/>
      <w:r w:rsidRPr="00501641">
        <w:t xml:space="preserve"> </w:t>
      </w:r>
      <w:proofErr w:type="spellStart"/>
      <w:r w:rsidRPr="00501641">
        <w:t>poniendo</w:t>
      </w:r>
      <w:proofErr w:type="spellEnd"/>
      <w:r w:rsidRPr="00501641">
        <w:t xml:space="preserve"> </w:t>
      </w:r>
      <w:proofErr w:type="spellStart"/>
      <w:r w:rsidRPr="00501641">
        <w:t>en</w:t>
      </w:r>
      <w:proofErr w:type="spellEnd"/>
      <w:r w:rsidRPr="00501641">
        <w:t xml:space="preserve"> </w:t>
      </w:r>
      <w:proofErr w:type="spellStart"/>
      <w:r w:rsidRPr="00501641">
        <w:t>marcha</w:t>
      </w:r>
      <w:proofErr w:type="spellEnd"/>
      <w:r w:rsidRPr="00501641">
        <w:t xml:space="preserve"> una </w:t>
      </w:r>
      <w:proofErr w:type="spellStart"/>
      <w:r w:rsidRPr="00501641">
        <w:t>serie</w:t>
      </w:r>
      <w:proofErr w:type="spellEnd"/>
      <w:r w:rsidRPr="00501641">
        <w:t xml:space="preserve"> de </w:t>
      </w:r>
      <w:proofErr w:type="spellStart"/>
      <w:r w:rsidRPr="00501641">
        <w:t>nuevos</w:t>
      </w:r>
      <w:proofErr w:type="spellEnd"/>
      <w:r w:rsidRPr="00501641">
        <w:t xml:space="preserve"> </w:t>
      </w:r>
      <w:proofErr w:type="spellStart"/>
      <w:r w:rsidRPr="00501641">
        <w:t>servicios</w:t>
      </w:r>
      <w:proofErr w:type="spellEnd"/>
      <w:r w:rsidRPr="00501641">
        <w:t xml:space="preserve"> </w:t>
      </w:r>
      <w:proofErr w:type="spellStart"/>
      <w:r w:rsidRPr="00501641">
        <w:t>oceánicos</w:t>
      </w:r>
      <w:proofErr w:type="spellEnd"/>
      <w:r w:rsidRPr="00501641">
        <w:t xml:space="preserve">, </w:t>
      </w:r>
      <w:proofErr w:type="spellStart"/>
      <w:r w:rsidRPr="00501641">
        <w:t>como</w:t>
      </w:r>
      <w:proofErr w:type="spellEnd"/>
      <w:r w:rsidRPr="00501641">
        <w:t xml:space="preserve"> las </w:t>
      </w:r>
      <w:proofErr w:type="spellStart"/>
      <w:r w:rsidRPr="00501641">
        <w:t>alertas</w:t>
      </w:r>
      <w:proofErr w:type="spellEnd"/>
      <w:r w:rsidRPr="00501641">
        <w:t xml:space="preserve"> </w:t>
      </w:r>
      <w:proofErr w:type="spellStart"/>
      <w:r w:rsidRPr="00501641">
        <w:t>sobre</w:t>
      </w:r>
      <w:proofErr w:type="spellEnd"/>
      <w:r w:rsidRPr="00501641">
        <w:t xml:space="preserve"> </w:t>
      </w:r>
      <w:proofErr w:type="spellStart"/>
      <w:r w:rsidRPr="00501641">
        <w:t>floraciones</w:t>
      </w:r>
      <w:proofErr w:type="spellEnd"/>
      <w:r w:rsidRPr="00501641">
        <w:t xml:space="preserve"> de </w:t>
      </w:r>
      <w:proofErr w:type="spellStart"/>
      <w:r w:rsidRPr="00501641">
        <w:t>algas</w:t>
      </w:r>
      <w:proofErr w:type="spellEnd"/>
      <w:r w:rsidRPr="00501641">
        <w:t xml:space="preserve"> </w:t>
      </w:r>
      <w:proofErr w:type="spellStart"/>
      <w:r w:rsidRPr="00501641">
        <w:t>nocivas</w:t>
      </w:r>
      <w:proofErr w:type="spellEnd"/>
      <w:r w:rsidRPr="00501641">
        <w:t xml:space="preserve">. </w:t>
      </w:r>
      <w:proofErr w:type="spellStart"/>
      <w:r w:rsidRPr="00501641">
        <w:t>Sobre</w:t>
      </w:r>
      <w:proofErr w:type="spellEnd"/>
      <w:r w:rsidRPr="00501641">
        <w:t xml:space="preserve"> la base de sus </w:t>
      </w:r>
      <w:proofErr w:type="spellStart"/>
      <w:r w:rsidRPr="00501641">
        <w:t>programas</w:t>
      </w:r>
      <w:proofErr w:type="spellEnd"/>
      <w:r w:rsidRPr="00501641">
        <w:t xml:space="preserve"> </w:t>
      </w:r>
      <w:proofErr w:type="spellStart"/>
      <w:r w:rsidRPr="00501641">
        <w:t>relativos</w:t>
      </w:r>
      <w:proofErr w:type="spellEnd"/>
      <w:r w:rsidRPr="00501641">
        <w:t xml:space="preserve"> a la </w:t>
      </w:r>
      <w:proofErr w:type="spellStart"/>
      <w:r w:rsidRPr="00501641">
        <w:t>planificación</w:t>
      </w:r>
      <w:proofErr w:type="spellEnd"/>
      <w:r w:rsidRPr="00501641">
        <w:t xml:space="preserve"> </w:t>
      </w:r>
      <w:proofErr w:type="spellStart"/>
      <w:r w:rsidRPr="00501641">
        <w:t>espacial</w:t>
      </w:r>
      <w:proofErr w:type="spellEnd"/>
      <w:r w:rsidRPr="00501641">
        <w:t xml:space="preserve"> marina y la </w:t>
      </w:r>
      <w:proofErr w:type="spellStart"/>
      <w:r w:rsidRPr="00501641">
        <w:t>gestión</w:t>
      </w:r>
      <w:proofErr w:type="spellEnd"/>
      <w:r w:rsidRPr="00501641">
        <w:t xml:space="preserve"> </w:t>
      </w:r>
      <w:proofErr w:type="spellStart"/>
      <w:r w:rsidRPr="00501641">
        <w:t>integrada</w:t>
      </w:r>
      <w:proofErr w:type="spellEnd"/>
      <w:r w:rsidRPr="00501641">
        <w:t xml:space="preserve"> de las zonas </w:t>
      </w:r>
      <w:proofErr w:type="spellStart"/>
      <w:r w:rsidRPr="00501641">
        <w:t>costeras</w:t>
      </w:r>
      <w:proofErr w:type="spellEnd"/>
      <w:r w:rsidRPr="00501641">
        <w:t xml:space="preserve"> y </w:t>
      </w:r>
      <w:proofErr w:type="spellStart"/>
      <w:r w:rsidRPr="00501641">
        <w:t>aprovechando</w:t>
      </w:r>
      <w:proofErr w:type="spellEnd"/>
      <w:r w:rsidRPr="00501641">
        <w:t xml:space="preserve"> las </w:t>
      </w:r>
      <w:proofErr w:type="spellStart"/>
      <w:r w:rsidRPr="00501641">
        <w:t>alianzas</w:t>
      </w:r>
      <w:proofErr w:type="spellEnd"/>
      <w:r w:rsidRPr="00501641">
        <w:t xml:space="preserve"> </w:t>
      </w:r>
      <w:proofErr w:type="spellStart"/>
      <w:r w:rsidRPr="00501641">
        <w:t>mundiales</w:t>
      </w:r>
      <w:proofErr w:type="spellEnd"/>
      <w:r w:rsidRPr="00501641">
        <w:t xml:space="preserve"> </w:t>
      </w:r>
      <w:proofErr w:type="spellStart"/>
      <w:r w:rsidRPr="00501641">
        <w:t>sobre</w:t>
      </w:r>
      <w:proofErr w:type="spellEnd"/>
      <w:r w:rsidRPr="00501641">
        <w:t xml:space="preserve"> los </w:t>
      </w:r>
      <w:proofErr w:type="spellStart"/>
      <w:r w:rsidRPr="00501641">
        <w:t>grandes</w:t>
      </w:r>
      <w:proofErr w:type="spellEnd"/>
      <w:r w:rsidRPr="00501641">
        <w:t xml:space="preserve"> </w:t>
      </w:r>
      <w:proofErr w:type="spellStart"/>
      <w:r w:rsidRPr="00501641">
        <w:t>ecosistemas</w:t>
      </w:r>
      <w:proofErr w:type="spellEnd"/>
      <w:r w:rsidRPr="00501641">
        <w:t xml:space="preserve"> </w:t>
      </w:r>
      <w:proofErr w:type="spellStart"/>
      <w:r w:rsidRPr="00501641">
        <w:t>marinos</w:t>
      </w:r>
      <w:proofErr w:type="spellEnd"/>
      <w:r w:rsidRPr="00501641">
        <w:t xml:space="preserve">, la COI </w:t>
      </w:r>
      <w:proofErr w:type="spellStart"/>
      <w:r w:rsidRPr="00501641">
        <w:t>seguirá</w:t>
      </w:r>
      <w:proofErr w:type="spellEnd"/>
      <w:r w:rsidRPr="00501641">
        <w:t xml:space="preserve"> </w:t>
      </w:r>
      <w:proofErr w:type="spellStart"/>
      <w:r w:rsidRPr="00501641">
        <w:t>promoviendo</w:t>
      </w:r>
      <w:proofErr w:type="spellEnd"/>
      <w:r w:rsidRPr="00501641">
        <w:t xml:space="preserve"> </w:t>
      </w:r>
      <w:proofErr w:type="spellStart"/>
      <w:r w:rsidRPr="00501641">
        <w:t>formas</w:t>
      </w:r>
      <w:proofErr w:type="spellEnd"/>
      <w:r w:rsidRPr="00501641">
        <w:t xml:space="preserve"> </w:t>
      </w:r>
      <w:proofErr w:type="spellStart"/>
      <w:r w:rsidRPr="00501641">
        <w:t>novedosas</w:t>
      </w:r>
      <w:proofErr w:type="spellEnd"/>
      <w:r w:rsidRPr="00501641">
        <w:t xml:space="preserve"> de </w:t>
      </w:r>
      <w:proofErr w:type="spellStart"/>
      <w:r w:rsidRPr="00501641">
        <w:t>gestión</w:t>
      </w:r>
      <w:proofErr w:type="spellEnd"/>
      <w:r w:rsidRPr="00501641">
        <w:t xml:space="preserve"> del </w:t>
      </w:r>
      <w:proofErr w:type="spellStart"/>
      <w:r w:rsidRPr="00501641">
        <w:t>océano</w:t>
      </w:r>
      <w:proofErr w:type="spellEnd"/>
      <w:r w:rsidRPr="00501641">
        <w:t xml:space="preserve"> que </w:t>
      </w:r>
      <w:proofErr w:type="spellStart"/>
      <w:r w:rsidRPr="00501641">
        <w:t>favorezcan</w:t>
      </w:r>
      <w:proofErr w:type="spellEnd"/>
      <w:r w:rsidRPr="00501641">
        <w:t xml:space="preserve"> el </w:t>
      </w:r>
      <w:proofErr w:type="spellStart"/>
      <w:r w:rsidRPr="00501641">
        <w:t>aumento</w:t>
      </w:r>
      <w:proofErr w:type="spellEnd"/>
      <w:r w:rsidRPr="00501641">
        <w:t xml:space="preserve"> de la </w:t>
      </w:r>
      <w:proofErr w:type="spellStart"/>
      <w:r w:rsidRPr="00501641">
        <w:t>resiliencia</w:t>
      </w:r>
      <w:proofErr w:type="spellEnd"/>
      <w:r w:rsidRPr="00501641">
        <w:t xml:space="preserve"> </w:t>
      </w:r>
      <w:proofErr w:type="spellStart"/>
      <w:r w:rsidRPr="00501641">
        <w:t>comunitaria</w:t>
      </w:r>
      <w:proofErr w:type="spellEnd"/>
      <w:r w:rsidRPr="00501641">
        <w:t xml:space="preserve">, la </w:t>
      </w:r>
      <w:proofErr w:type="spellStart"/>
      <w:r w:rsidRPr="00501641">
        <w:t>aplicación</w:t>
      </w:r>
      <w:proofErr w:type="spellEnd"/>
      <w:r w:rsidRPr="00501641">
        <w:t xml:space="preserve"> de </w:t>
      </w:r>
      <w:proofErr w:type="spellStart"/>
      <w:r w:rsidRPr="00501641">
        <w:t>soluciones</w:t>
      </w:r>
      <w:proofErr w:type="spellEnd"/>
      <w:r w:rsidRPr="00501641">
        <w:t xml:space="preserve"> </w:t>
      </w:r>
      <w:proofErr w:type="spellStart"/>
      <w:r w:rsidRPr="00501641">
        <w:t>basadas</w:t>
      </w:r>
      <w:proofErr w:type="spellEnd"/>
      <w:r w:rsidRPr="00501641">
        <w:t xml:space="preserve"> </w:t>
      </w:r>
      <w:proofErr w:type="spellStart"/>
      <w:r w:rsidRPr="00501641">
        <w:t>en</w:t>
      </w:r>
      <w:proofErr w:type="spellEnd"/>
      <w:r w:rsidRPr="00501641">
        <w:t xml:space="preserve"> la </w:t>
      </w:r>
      <w:proofErr w:type="spellStart"/>
      <w:r w:rsidRPr="00501641">
        <w:t>naturaleza</w:t>
      </w:r>
      <w:proofErr w:type="spellEnd"/>
      <w:r w:rsidRPr="00501641">
        <w:t xml:space="preserve"> para la </w:t>
      </w:r>
      <w:proofErr w:type="spellStart"/>
      <w:r w:rsidRPr="00501641">
        <w:t>adaptación</w:t>
      </w:r>
      <w:proofErr w:type="spellEnd"/>
      <w:r w:rsidRPr="00501641">
        <w:t xml:space="preserve"> al </w:t>
      </w:r>
      <w:proofErr w:type="spellStart"/>
      <w:r w:rsidRPr="00501641">
        <w:t>cambio</w:t>
      </w:r>
      <w:proofErr w:type="spellEnd"/>
      <w:r w:rsidRPr="00501641">
        <w:t xml:space="preserve"> </w:t>
      </w:r>
      <w:proofErr w:type="spellStart"/>
      <w:r w:rsidRPr="00501641">
        <w:t>climático</w:t>
      </w:r>
      <w:proofErr w:type="spellEnd"/>
      <w:r w:rsidRPr="00501641">
        <w:t xml:space="preserve">, la </w:t>
      </w:r>
      <w:proofErr w:type="spellStart"/>
      <w:r w:rsidRPr="00501641">
        <w:t>integración</w:t>
      </w:r>
      <w:proofErr w:type="spellEnd"/>
      <w:r w:rsidRPr="00501641">
        <w:t xml:space="preserve"> de los </w:t>
      </w:r>
      <w:proofErr w:type="spellStart"/>
      <w:r w:rsidRPr="00501641">
        <w:t>servicios</w:t>
      </w:r>
      <w:proofErr w:type="spellEnd"/>
      <w:r w:rsidRPr="00501641">
        <w:t xml:space="preserve"> </w:t>
      </w:r>
      <w:proofErr w:type="spellStart"/>
      <w:r w:rsidRPr="00501641">
        <w:t>proporcionados</w:t>
      </w:r>
      <w:proofErr w:type="spellEnd"/>
      <w:r w:rsidRPr="00501641">
        <w:t xml:space="preserve"> por los </w:t>
      </w:r>
      <w:proofErr w:type="spellStart"/>
      <w:r w:rsidRPr="00501641">
        <w:t>ecosistemas</w:t>
      </w:r>
      <w:proofErr w:type="spellEnd"/>
      <w:r w:rsidRPr="00501641">
        <w:t xml:space="preserve"> </w:t>
      </w:r>
      <w:proofErr w:type="spellStart"/>
      <w:r w:rsidRPr="00501641">
        <w:t>oceánicos</w:t>
      </w:r>
      <w:proofErr w:type="spellEnd"/>
      <w:r w:rsidRPr="00501641">
        <w:t xml:space="preserve"> </w:t>
      </w:r>
      <w:proofErr w:type="spellStart"/>
      <w:r w:rsidRPr="00501641">
        <w:t>en</w:t>
      </w:r>
      <w:proofErr w:type="spellEnd"/>
      <w:r w:rsidRPr="00501641">
        <w:t xml:space="preserve"> los </w:t>
      </w:r>
      <w:proofErr w:type="spellStart"/>
      <w:r w:rsidRPr="00501641">
        <w:t>marcos</w:t>
      </w:r>
      <w:proofErr w:type="spellEnd"/>
      <w:r w:rsidRPr="00501641">
        <w:t xml:space="preserve"> </w:t>
      </w:r>
      <w:proofErr w:type="spellStart"/>
      <w:r w:rsidRPr="00501641">
        <w:t>nacionales</w:t>
      </w:r>
      <w:proofErr w:type="spellEnd"/>
      <w:r w:rsidRPr="00501641">
        <w:t xml:space="preserve"> de </w:t>
      </w:r>
      <w:proofErr w:type="spellStart"/>
      <w:r w:rsidRPr="00501641">
        <w:t>evaluación</w:t>
      </w:r>
      <w:proofErr w:type="spellEnd"/>
      <w:r w:rsidRPr="00501641">
        <w:t xml:space="preserve"> y la </w:t>
      </w:r>
      <w:proofErr w:type="spellStart"/>
      <w:r w:rsidRPr="00501641">
        <w:t>conservación</w:t>
      </w:r>
      <w:proofErr w:type="spellEnd"/>
      <w:r w:rsidRPr="00501641">
        <w:t xml:space="preserve"> de </w:t>
      </w:r>
      <w:proofErr w:type="spellStart"/>
      <w:r w:rsidRPr="00501641">
        <w:t>ecosistemas</w:t>
      </w:r>
      <w:proofErr w:type="spellEnd"/>
      <w:r w:rsidRPr="00501641">
        <w:t xml:space="preserve"> y </w:t>
      </w:r>
      <w:proofErr w:type="spellStart"/>
      <w:r w:rsidRPr="00501641">
        <w:t>recursos</w:t>
      </w:r>
      <w:proofErr w:type="spellEnd"/>
      <w:r w:rsidRPr="00501641">
        <w:t xml:space="preserve"> de vital </w:t>
      </w:r>
      <w:proofErr w:type="spellStart"/>
      <w:r w:rsidRPr="00501641">
        <w:t>importancia</w:t>
      </w:r>
      <w:proofErr w:type="spellEnd"/>
      <w:r w:rsidRPr="00501641">
        <w:t xml:space="preserve"> </w:t>
      </w:r>
      <w:proofErr w:type="spellStart"/>
      <w:r w:rsidRPr="00501641">
        <w:t>mediante</w:t>
      </w:r>
      <w:proofErr w:type="spellEnd"/>
      <w:r w:rsidRPr="00501641">
        <w:t xml:space="preserve"> zonas marinas </w:t>
      </w:r>
      <w:proofErr w:type="spellStart"/>
      <w:r w:rsidRPr="00501641">
        <w:t>protegidas</w:t>
      </w:r>
      <w:proofErr w:type="spellEnd"/>
      <w:r w:rsidRPr="00501641">
        <w:t xml:space="preserve">. </w:t>
      </w:r>
      <w:proofErr w:type="spellStart"/>
      <w:r w:rsidRPr="00501641">
        <w:t>Teniendo</w:t>
      </w:r>
      <w:proofErr w:type="spellEnd"/>
      <w:r w:rsidRPr="00501641">
        <w:t xml:space="preserve"> </w:t>
      </w:r>
      <w:proofErr w:type="spellStart"/>
      <w:r w:rsidRPr="00501641">
        <w:t>en</w:t>
      </w:r>
      <w:proofErr w:type="spellEnd"/>
      <w:r w:rsidRPr="00501641">
        <w:t xml:space="preserve"> </w:t>
      </w:r>
      <w:proofErr w:type="spellStart"/>
      <w:r w:rsidRPr="00501641">
        <w:t>cuenta</w:t>
      </w:r>
      <w:proofErr w:type="spellEnd"/>
      <w:r w:rsidRPr="00501641">
        <w:t xml:space="preserve"> el gran </w:t>
      </w:r>
      <w:proofErr w:type="spellStart"/>
      <w:r w:rsidRPr="00501641">
        <w:t>número</w:t>
      </w:r>
      <w:proofErr w:type="spellEnd"/>
      <w:r w:rsidRPr="00501641">
        <w:t xml:space="preserve"> de sus </w:t>
      </w:r>
      <w:proofErr w:type="spellStart"/>
      <w:r w:rsidRPr="00501641">
        <w:t>actividades</w:t>
      </w:r>
      <w:proofErr w:type="spellEnd"/>
      <w:r w:rsidRPr="00501641">
        <w:t xml:space="preserve"> que </w:t>
      </w:r>
      <w:proofErr w:type="spellStart"/>
      <w:r w:rsidRPr="00501641">
        <w:t>contribuyen</w:t>
      </w:r>
      <w:proofErr w:type="spellEnd"/>
      <w:r w:rsidRPr="00501641">
        <w:t xml:space="preserve"> al Decenio del </w:t>
      </w:r>
      <w:proofErr w:type="spellStart"/>
      <w:r w:rsidRPr="00501641">
        <w:t>Océano</w:t>
      </w:r>
      <w:proofErr w:type="spellEnd"/>
      <w:r w:rsidRPr="00501641">
        <w:t xml:space="preserve">, la COI </w:t>
      </w:r>
      <w:proofErr w:type="spellStart"/>
      <w:r w:rsidRPr="00501641">
        <w:t>estará</w:t>
      </w:r>
      <w:proofErr w:type="spellEnd"/>
      <w:r w:rsidRPr="00501641">
        <w:t xml:space="preserve"> </w:t>
      </w:r>
      <w:proofErr w:type="spellStart"/>
      <w:r w:rsidRPr="00501641">
        <w:t>en</w:t>
      </w:r>
      <w:proofErr w:type="spellEnd"/>
      <w:r w:rsidRPr="00501641">
        <w:t xml:space="preserve"> </w:t>
      </w:r>
      <w:proofErr w:type="spellStart"/>
      <w:r w:rsidRPr="00501641">
        <w:t>condiciones</w:t>
      </w:r>
      <w:proofErr w:type="spellEnd"/>
      <w:r w:rsidRPr="00501641">
        <w:t xml:space="preserve"> de </w:t>
      </w:r>
      <w:proofErr w:type="spellStart"/>
      <w:r w:rsidRPr="00501641">
        <w:t>informar</w:t>
      </w:r>
      <w:proofErr w:type="spellEnd"/>
      <w:r w:rsidRPr="00501641">
        <w:t xml:space="preserve"> a sus </w:t>
      </w:r>
      <w:proofErr w:type="spellStart"/>
      <w:r w:rsidRPr="00501641">
        <w:t>Estados</w:t>
      </w:r>
      <w:proofErr w:type="spellEnd"/>
      <w:r w:rsidRPr="00501641">
        <w:t xml:space="preserve"> </w:t>
      </w:r>
      <w:proofErr w:type="spellStart"/>
      <w:r w:rsidRPr="00501641">
        <w:t>Miembros</w:t>
      </w:r>
      <w:proofErr w:type="spellEnd"/>
      <w:r w:rsidRPr="00501641">
        <w:t xml:space="preserve"> y a </w:t>
      </w:r>
      <w:proofErr w:type="spellStart"/>
      <w:r w:rsidRPr="00501641">
        <w:t>su</w:t>
      </w:r>
      <w:proofErr w:type="spellEnd"/>
      <w:r w:rsidRPr="00501641">
        <w:t xml:space="preserve"> </w:t>
      </w:r>
      <w:proofErr w:type="spellStart"/>
      <w:r w:rsidRPr="00501641">
        <w:t>amplia</w:t>
      </w:r>
      <w:proofErr w:type="spellEnd"/>
      <w:r w:rsidRPr="00501641">
        <w:t xml:space="preserve"> </w:t>
      </w:r>
      <w:proofErr w:type="spellStart"/>
      <w:r w:rsidRPr="00501641">
        <w:t>comunidad</w:t>
      </w:r>
      <w:proofErr w:type="spellEnd"/>
      <w:r w:rsidRPr="00501641">
        <w:t xml:space="preserve"> de </w:t>
      </w:r>
      <w:proofErr w:type="spellStart"/>
      <w:r w:rsidRPr="00501641">
        <w:t>partes</w:t>
      </w:r>
      <w:proofErr w:type="spellEnd"/>
      <w:r w:rsidRPr="00501641">
        <w:t xml:space="preserve"> </w:t>
      </w:r>
      <w:proofErr w:type="spellStart"/>
      <w:r w:rsidRPr="00501641">
        <w:t>interesadas</w:t>
      </w:r>
      <w:proofErr w:type="spellEnd"/>
      <w:r w:rsidRPr="00501641">
        <w:t xml:space="preserve"> </w:t>
      </w:r>
      <w:proofErr w:type="spellStart"/>
      <w:r w:rsidRPr="00501641">
        <w:t>sobre</w:t>
      </w:r>
      <w:proofErr w:type="spellEnd"/>
      <w:r w:rsidRPr="00501641">
        <w:t xml:space="preserve"> el </w:t>
      </w:r>
      <w:proofErr w:type="spellStart"/>
      <w:r w:rsidRPr="00501641">
        <w:t>estado</w:t>
      </w:r>
      <w:proofErr w:type="spellEnd"/>
      <w:r w:rsidRPr="00501641">
        <w:t xml:space="preserve"> del </w:t>
      </w:r>
      <w:proofErr w:type="spellStart"/>
      <w:r w:rsidRPr="00501641">
        <w:t>océano</w:t>
      </w:r>
      <w:proofErr w:type="spellEnd"/>
      <w:r w:rsidRPr="00501641">
        <w:t xml:space="preserve"> y de </w:t>
      </w:r>
      <w:proofErr w:type="spellStart"/>
      <w:r w:rsidRPr="00501641">
        <w:t>supervisar</w:t>
      </w:r>
      <w:proofErr w:type="spellEnd"/>
      <w:r w:rsidRPr="00501641">
        <w:t xml:space="preserve"> los </w:t>
      </w:r>
      <w:proofErr w:type="spellStart"/>
      <w:r w:rsidRPr="00501641">
        <w:t>progresos</w:t>
      </w:r>
      <w:proofErr w:type="spellEnd"/>
      <w:r w:rsidRPr="00501641">
        <w:t xml:space="preserve"> </w:t>
      </w:r>
      <w:proofErr w:type="spellStart"/>
      <w:r w:rsidRPr="00501641">
        <w:t>realizados</w:t>
      </w:r>
      <w:proofErr w:type="spellEnd"/>
      <w:r w:rsidRPr="00501641">
        <w:t xml:space="preserve"> </w:t>
      </w:r>
      <w:proofErr w:type="spellStart"/>
      <w:r w:rsidRPr="00501641">
        <w:t>en</w:t>
      </w:r>
      <w:proofErr w:type="spellEnd"/>
      <w:r w:rsidRPr="00501641">
        <w:t xml:space="preserve"> la </w:t>
      </w:r>
      <w:proofErr w:type="spellStart"/>
      <w:r w:rsidRPr="00501641">
        <w:t>consecución</w:t>
      </w:r>
      <w:proofErr w:type="spellEnd"/>
      <w:r w:rsidRPr="00501641">
        <w:t xml:space="preserve"> de los </w:t>
      </w:r>
      <w:proofErr w:type="spellStart"/>
      <w:r w:rsidRPr="00501641">
        <w:t>objetivos</w:t>
      </w:r>
      <w:proofErr w:type="spellEnd"/>
      <w:r w:rsidRPr="00501641">
        <w:t xml:space="preserve"> del Decenio </w:t>
      </w:r>
      <w:proofErr w:type="spellStart"/>
      <w:r w:rsidRPr="00501641">
        <w:t>mediante</w:t>
      </w:r>
      <w:proofErr w:type="spellEnd"/>
      <w:r w:rsidRPr="00501641">
        <w:t xml:space="preserve"> una </w:t>
      </w:r>
      <w:proofErr w:type="spellStart"/>
      <w:r w:rsidRPr="00501641">
        <w:t>nueva</w:t>
      </w:r>
      <w:proofErr w:type="spellEnd"/>
      <w:r w:rsidRPr="00501641">
        <w:t xml:space="preserve"> </w:t>
      </w:r>
      <w:proofErr w:type="spellStart"/>
      <w:r w:rsidRPr="00501641">
        <w:t>publicación</w:t>
      </w:r>
      <w:proofErr w:type="spellEnd"/>
      <w:r w:rsidRPr="00501641">
        <w:t xml:space="preserve"> </w:t>
      </w:r>
      <w:proofErr w:type="spellStart"/>
      <w:r w:rsidRPr="00501641">
        <w:t>emblemática</w:t>
      </w:r>
      <w:proofErr w:type="spellEnd"/>
      <w:r w:rsidRPr="00501641">
        <w:t>, el “</w:t>
      </w:r>
      <w:proofErr w:type="spellStart"/>
      <w:r w:rsidRPr="00501641">
        <w:t>informe</w:t>
      </w:r>
      <w:proofErr w:type="spellEnd"/>
      <w:r w:rsidRPr="00501641">
        <w:t xml:space="preserve"> </w:t>
      </w:r>
      <w:proofErr w:type="spellStart"/>
      <w:r w:rsidRPr="00501641">
        <w:t>sobre</w:t>
      </w:r>
      <w:proofErr w:type="spellEnd"/>
      <w:r w:rsidRPr="00501641">
        <w:t xml:space="preserve"> el </w:t>
      </w:r>
      <w:proofErr w:type="spellStart"/>
      <w:r w:rsidRPr="00501641">
        <w:t>estado</w:t>
      </w:r>
      <w:proofErr w:type="spellEnd"/>
      <w:r w:rsidRPr="00501641">
        <w:t xml:space="preserve"> del </w:t>
      </w:r>
      <w:proofErr w:type="spellStart"/>
      <w:r w:rsidRPr="00501641">
        <w:t>océano</w:t>
      </w:r>
      <w:proofErr w:type="spellEnd"/>
      <w:r w:rsidRPr="00501641">
        <w:t>”.</w:t>
      </w:r>
    </w:p>
    <w:p w14:paraId="49328546" w14:textId="16AE6C12" w:rsidR="00427F27" w:rsidRPr="00501641" w:rsidRDefault="00427F27" w:rsidP="00427F27">
      <w:pPr>
        <w:pStyle w:val="Marge"/>
        <w:tabs>
          <w:tab w:val="clear" w:pos="567"/>
          <w:tab w:val="left" w:pos="1162"/>
        </w:tabs>
        <w:spacing w:line="240" w:lineRule="auto"/>
      </w:pPr>
      <w:r w:rsidRPr="00501641">
        <w:rPr>
          <w:bdr w:val="single" w:sz="4" w:space="0" w:color="auto"/>
        </w:rPr>
        <w:t>03008</w:t>
      </w:r>
      <w:r w:rsidRPr="00501641">
        <w:tab/>
        <w:t xml:space="preserve">La COI se </w:t>
      </w:r>
      <w:proofErr w:type="spellStart"/>
      <w:r w:rsidRPr="00501641">
        <w:t>esforzará</w:t>
      </w:r>
      <w:proofErr w:type="spellEnd"/>
      <w:r w:rsidRPr="00501641">
        <w:t xml:space="preserve"> </w:t>
      </w:r>
      <w:proofErr w:type="spellStart"/>
      <w:r w:rsidRPr="00501641">
        <w:t>especialmente</w:t>
      </w:r>
      <w:proofErr w:type="spellEnd"/>
      <w:r w:rsidRPr="00501641">
        <w:t xml:space="preserve"> por </w:t>
      </w:r>
      <w:proofErr w:type="spellStart"/>
      <w:r w:rsidRPr="00501641">
        <w:t>intensificar</w:t>
      </w:r>
      <w:proofErr w:type="spellEnd"/>
      <w:r w:rsidRPr="00501641">
        <w:t xml:space="preserve"> sus </w:t>
      </w:r>
      <w:proofErr w:type="spellStart"/>
      <w:r w:rsidRPr="00501641">
        <w:t>repercusiones</w:t>
      </w:r>
      <w:proofErr w:type="spellEnd"/>
      <w:r w:rsidRPr="00501641">
        <w:t xml:space="preserve"> </w:t>
      </w:r>
      <w:proofErr w:type="spellStart"/>
      <w:r w:rsidRPr="00501641">
        <w:t>en</w:t>
      </w:r>
      <w:proofErr w:type="spellEnd"/>
      <w:r w:rsidRPr="00501641">
        <w:t xml:space="preserve"> los </w:t>
      </w:r>
      <w:proofErr w:type="spellStart"/>
      <w:r w:rsidRPr="00501641">
        <w:t>planos</w:t>
      </w:r>
      <w:proofErr w:type="spellEnd"/>
      <w:r w:rsidRPr="00501641">
        <w:t xml:space="preserve"> regional, </w:t>
      </w:r>
      <w:proofErr w:type="spellStart"/>
      <w:r w:rsidRPr="00501641">
        <w:t>nacional</w:t>
      </w:r>
      <w:proofErr w:type="spellEnd"/>
      <w:r w:rsidRPr="00501641">
        <w:t xml:space="preserve"> y local. </w:t>
      </w:r>
      <w:proofErr w:type="spellStart"/>
      <w:r w:rsidRPr="00501641">
        <w:t>En</w:t>
      </w:r>
      <w:proofErr w:type="spellEnd"/>
      <w:r w:rsidRPr="00501641">
        <w:t xml:space="preserve"> el </w:t>
      </w:r>
      <w:proofErr w:type="spellStart"/>
      <w:r w:rsidRPr="00501641">
        <w:t>ámbito</w:t>
      </w:r>
      <w:proofErr w:type="spellEnd"/>
      <w:r w:rsidRPr="00501641">
        <w:t xml:space="preserve"> regional, la COI </w:t>
      </w:r>
      <w:proofErr w:type="spellStart"/>
      <w:r w:rsidRPr="00501641">
        <w:t>seguirá</w:t>
      </w:r>
      <w:proofErr w:type="spellEnd"/>
      <w:r w:rsidRPr="00501641">
        <w:t xml:space="preserve"> </w:t>
      </w:r>
      <w:proofErr w:type="spellStart"/>
      <w:r w:rsidRPr="00501641">
        <w:t>reforzando</w:t>
      </w:r>
      <w:proofErr w:type="spellEnd"/>
      <w:r w:rsidRPr="00501641">
        <w:t xml:space="preserve"> sus </w:t>
      </w:r>
      <w:proofErr w:type="spellStart"/>
      <w:r w:rsidRPr="00501641">
        <w:t>órganos</w:t>
      </w:r>
      <w:proofErr w:type="spellEnd"/>
      <w:r w:rsidRPr="00501641">
        <w:t xml:space="preserve"> </w:t>
      </w:r>
      <w:proofErr w:type="spellStart"/>
      <w:r w:rsidRPr="00501641">
        <w:t>subsidiarios</w:t>
      </w:r>
      <w:proofErr w:type="spellEnd"/>
      <w:r w:rsidRPr="00501641">
        <w:t xml:space="preserve"> </w:t>
      </w:r>
      <w:proofErr w:type="spellStart"/>
      <w:r w:rsidRPr="00501641">
        <w:t>regionales</w:t>
      </w:r>
      <w:proofErr w:type="spellEnd"/>
      <w:r w:rsidRPr="00501641">
        <w:t xml:space="preserve"> y </w:t>
      </w:r>
      <w:proofErr w:type="spellStart"/>
      <w:r w:rsidRPr="00501641">
        <w:t>convirtiéndolos</w:t>
      </w:r>
      <w:proofErr w:type="spellEnd"/>
      <w:r w:rsidRPr="00501641">
        <w:t xml:space="preserve"> </w:t>
      </w:r>
      <w:proofErr w:type="spellStart"/>
      <w:r w:rsidRPr="00501641">
        <w:t>en</w:t>
      </w:r>
      <w:proofErr w:type="spellEnd"/>
      <w:r w:rsidRPr="00501641">
        <w:t xml:space="preserve"> </w:t>
      </w:r>
      <w:proofErr w:type="spellStart"/>
      <w:r w:rsidRPr="00501641">
        <w:t>agentes</w:t>
      </w:r>
      <w:proofErr w:type="spellEnd"/>
      <w:r w:rsidRPr="00501641">
        <w:t xml:space="preserve"> </w:t>
      </w:r>
      <w:proofErr w:type="spellStart"/>
      <w:r w:rsidRPr="00501641">
        <w:t>eficaces</w:t>
      </w:r>
      <w:proofErr w:type="spellEnd"/>
      <w:r w:rsidRPr="00501641">
        <w:t xml:space="preserve"> de </w:t>
      </w:r>
      <w:proofErr w:type="spellStart"/>
      <w:r w:rsidRPr="00501641">
        <w:t>promoción</w:t>
      </w:r>
      <w:proofErr w:type="spellEnd"/>
      <w:r w:rsidRPr="00501641">
        <w:t xml:space="preserve"> de las </w:t>
      </w:r>
      <w:proofErr w:type="spellStart"/>
      <w:r w:rsidRPr="00501641">
        <w:t>ciencias</w:t>
      </w:r>
      <w:proofErr w:type="spellEnd"/>
      <w:r w:rsidRPr="00501641">
        <w:t xml:space="preserve"> </w:t>
      </w:r>
      <w:proofErr w:type="spellStart"/>
      <w:r w:rsidRPr="00501641">
        <w:t>oceánicas</w:t>
      </w:r>
      <w:proofErr w:type="spellEnd"/>
      <w:r w:rsidRPr="00501641">
        <w:t xml:space="preserve"> y </w:t>
      </w:r>
      <w:proofErr w:type="spellStart"/>
      <w:r w:rsidRPr="00501641">
        <w:t>en</w:t>
      </w:r>
      <w:proofErr w:type="spellEnd"/>
      <w:r w:rsidRPr="00501641">
        <w:t xml:space="preserve"> </w:t>
      </w:r>
      <w:proofErr w:type="spellStart"/>
      <w:r w:rsidRPr="00501641">
        <w:t>fuentes</w:t>
      </w:r>
      <w:proofErr w:type="spellEnd"/>
      <w:r w:rsidRPr="00501641">
        <w:t xml:space="preserve"> de </w:t>
      </w:r>
      <w:proofErr w:type="spellStart"/>
      <w:r w:rsidRPr="00501641">
        <w:t>soluciones</w:t>
      </w:r>
      <w:proofErr w:type="spellEnd"/>
      <w:r w:rsidRPr="00501641">
        <w:t xml:space="preserve"> para la </w:t>
      </w:r>
      <w:proofErr w:type="spellStart"/>
      <w:r w:rsidRPr="00501641">
        <w:t>sostenibilidad</w:t>
      </w:r>
      <w:proofErr w:type="spellEnd"/>
      <w:r w:rsidRPr="00501641">
        <w:t xml:space="preserve">. La </w:t>
      </w:r>
      <w:proofErr w:type="spellStart"/>
      <w:r w:rsidRPr="00501641">
        <w:t>colaboración</w:t>
      </w:r>
      <w:proofErr w:type="spellEnd"/>
      <w:r w:rsidRPr="00501641">
        <w:t xml:space="preserve"> con los </w:t>
      </w:r>
      <w:proofErr w:type="spellStart"/>
      <w:r w:rsidRPr="00501641">
        <w:t>asociados</w:t>
      </w:r>
      <w:proofErr w:type="spellEnd"/>
      <w:r w:rsidRPr="00501641">
        <w:t xml:space="preserve"> y a </w:t>
      </w:r>
      <w:proofErr w:type="spellStart"/>
      <w:r w:rsidRPr="00501641">
        <w:t>través</w:t>
      </w:r>
      <w:proofErr w:type="spellEnd"/>
      <w:r w:rsidRPr="00501641">
        <w:t xml:space="preserve"> de </w:t>
      </w:r>
      <w:proofErr w:type="spellStart"/>
      <w:r w:rsidRPr="00501641">
        <w:t>ellos</w:t>
      </w:r>
      <w:proofErr w:type="spellEnd"/>
      <w:r w:rsidRPr="00501641">
        <w:t xml:space="preserve"> </w:t>
      </w:r>
      <w:proofErr w:type="spellStart"/>
      <w:r w:rsidRPr="00501641">
        <w:t>permitirá</w:t>
      </w:r>
      <w:proofErr w:type="spellEnd"/>
      <w:r w:rsidRPr="00501641">
        <w:t xml:space="preserve"> </w:t>
      </w:r>
      <w:proofErr w:type="spellStart"/>
      <w:r w:rsidRPr="00501641">
        <w:t>ampliar</w:t>
      </w:r>
      <w:proofErr w:type="spellEnd"/>
      <w:r w:rsidRPr="00501641">
        <w:t xml:space="preserve"> la </w:t>
      </w:r>
      <w:proofErr w:type="spellStart"/>
      <w:r w:rsidRPr="00501641">
        <w:t>cobertura</w:t>
      </w:r>
      <w:proofErr w:type="spellEnd"/>
      <w:r w:rsidRPr="00501641">
        <w:t xml:space="preserve"> del </w:t>
      </w:r>
      <w:proofErr w:type="spellStart"/>
      <w:r w:rsidRPr="00501641">
        <w:t>trabajo</w:t>
      </w:r>
      <w:proofErr w:type="spellEnd"/>
      <w:r w:rsidRPr="00501641">
        <w:t xml:space="preserve"> regional de la COI a </w:t>
      </w:r>
      <w:proofErr w:type="spellStart"/>
      <w:r w:rsidRPr="00501641">
        <w:t>todas</w:t>
      </w:r>
      <w:proofErr w:type="spellEnd"/>
      <w:r w:rsidRPr="00501641">
        <w:t xml:space="preserve"> las </w:t>
      </w:r>
      <w:proofErr w:type="spellStart"/>
      <w:r w:rsidRPr="00501641">
        <w:t>cuencas</w:t>
      </w:r>
      <w:proofErr w:type="spellEnd"/>
      <w:r w:rsidRPr="00501641">
        <w:t xml:space="preserve"> </w:t>
      </w:r>
      <w:proofErr w:type="spellStart"/>
      <w:r w:rsidRPr="00501641">
        <w:t>oceánicas</w:t>
      </w:r>
      <w:proofErr w:type="spellEnd"/>
      <w:r w:rsidRPr="00501641">
        <w:t xml:space="preserve">. La </w:t>
      </w:r>
      <w:proofErr w:type="spellStart"/>
      <w:r w:rsidRPr="00501641">
        <w:t>colaboración</w:t>
      </w:r>
      <w:proofErr w:type="spellEnd"/>
      <w:r w:rsidRPr="00501641">
        <w:t xml:space="preserve"> </w:t>
      </w:r>
      <w:proofErr w:type="spellStart"/>
      <w:r w:rsidRPr="00501641">
        <w:t>activa</w:t>
      </w:r>
      <w:proofErr w:type="spellEnd"/>
      <w:r w:rsidRPr="00501641">
        <w:t xml:space="preserve"> con las </w:t>
      </w:r>
      <w:proofErr w:type="spellStart"/>
      <w:r w:rsidRPr="00501641">
        <w:t>organizaciones</w:t>
      </w:r>
      <w:proofErr w:type="spellEnd"/>
      <w:r w:rsidRPr="00501641">
        <w:t xml:space="preserve"> </w:t>
      </w:r>
      <w:proofErr w:type="spellStart"/>
      <w:r w:rsidRPr="00501641">
        <w:t>regionales</w:t>
      </w:r>
      <w:proofErr w:type="spellEnd"/>
      <w:r w:rsidRPr="00501641">
        <w:t xml:space="preserve"> y los </w:t>
      </w:r>
      <w:proofErr w:type="spellStart"/>
      <w:r w:rsidRPr="00501641">
        <w:t>órganos</w:t>
      </w:r>
      <w:proofErr w:type="spellEnd"/>
      <w:r w:rsidRPr="00501641">
        <w:t xml:space="preserve"> </w:t>
      </w:r>
      <w:proofErr w:type="spellStart"/>
      <w:r w:rsidRPr="00501641">
        <w:t>subsidiarios</w:t>
      </w:r>
      <w:proofErr w:type="spellEnd"/>
      <w:r w:rsidRPr="00501641">
        <w:t xml:space="preserve"> de las </w:t>
      </w:r>
      <w:proofErr w:type="spellStart"/>
      <w:r w:rsidRPr="00501641">
        <w:t>organizaciones</w:t>
      </w:r>
      <w:proofErr w:type="spellEnd"/>
      <w:r w:rsidRPr="00501641">
        <w:t xml:space="preserve"> </w:t>
      </w:r>
      <w:proofErr w:type="spellStart"/>
      <w:r w:rsidRPr="00501641">
        <w:t>asociadas</w:t>
      </w:r>
      <w:proofErr w:type="spellEnd"/>
      <w:r w:rsidRPr="00501641">
        <w:t xml:space="preserve">, a fin de </w:t>
      </w:r>
      <w:proofErr w:type="spellStart"/>
      <w:r w:rsidRPr="00501641">
        <w:t>lograr</w:t>
      </w:r>
      <w:proofErr w:type="spellEnd"/>
      <w:r w:rsidRPr="00501641">
        <w:t xml:space="preserve"> que los </w:t>
      </w:r>
      <w:proofErr w:type="spellStart"/>
      <w:r w:rsidRPr="00501641">
        <w:t>datos</w:t>
      </w:r>
      <w:proofErr w:type="spellEnd"/>
      <w:r w:rsidRPr="00501641">
        <w:t xml:space="preserve"> y la </w:t>
      </w:r>
      <w:proofErr w:type="spellStart"/>
      <w:r w:rsidRPr="00501641">
        <w:t>información</w:t>
      </w:r>
      <w:proofErr w:type="spellEnd"/>
      <w:r w:rsidRPr="00501641">
        <w:t xml:space="preserve"> </w:t>
      </w:r>
      <w:proofErr w:type="spellStart"/>
      <w:r w:rsidRPr="00501641">
        <w:t>sobre</w:t>
      </w:r>
      <w:proofErr w:type="spellEnd"/>
      <w:r w:rsidRPr="00501641">
        <w:t xml:space="preserve"> el </w:t>
      </w:r>
      <w:proofErr w:type="spellStart"/>
      <w:r w:rsidRPr="00501641">
        <w:t>océano</w:t>
      </w:r>
      <w:proofErr w:type="spellEnd"/>
      <w:r w:rsidRPr="00501641">
        <w:t xml:space="preserve"> </w:t>
      </w:r>
      <w:proofErr w:type="spellStart"/>
      <w:r w:rsidRPr="00501641">
        <w:t>sean</w:t>
      </w:r>
      <w:proofErr w:type="spellEnd"/>
      <w:r w:rsidRPr="00501641">
        <w:t xml:space="preserve"> </w:t>
      </w:r>
      <w:proofErr w:type="spellStart"/>
      <w:r w:rsidRPr="00501641">
        <w:t>más</w:t>
      </w:r>
      <w:proofErr w:type="spellEnd"/>
      <w:r w:rsidRPr="00501641">
        <w:t xml:space="preserve"> </w:t>
      </w:r>
      <w:proofErr w:type="spellStart"/>
      <w:r w:rsidRPr="00501641">
        <w:t>abiertos</w:t>
      </w:r>
      <w:proofErr w:type="spellEnd"/>
      <w:r w:rsidRPr="00501641">
        <w:t xml:space="preserve"> y </w:t>
      </w:r>
      <w:proofErr w:type="spellStart"/>
      <w:r w:rsidRPr="00501641">
        <w:t>accesibles</w:t>
      </w:r>
      <w:proofErr w:type="spellEnd"/>
      <w:r w:rsidRPr="00501641">
        <w:t xml:space="preserve">, </w:t>
      </w:r>
      <w:proofErr w:type="spellStart"/>
      <w:r w:rsidRPr="00501641">
        <w:t>contribuirá</w:t>
      </w:r>
      <w:proofErr w:type="spellEnd"/>
      <w:r w:rsidRPr="00501641">
        <w:t xml:space="preserve"> a </w:t>
      </w:r>
      <w:proofErr w:type="spellStart"/>
      <w:r w:rsidRPr="00501641">
        <w:t>apoyar</w:t>
      </w:r>
      <w:proofErr w:type="spellEnd"/>
      <w:r w:rsidRPr="00501641">
        <w:t xml:space="preserve"> las </w:t>
      </w:r>
      <w:proofErr w:type="spellStart"/>
      <w:r w:rsidRPr="00501641">
        <w:t>necesidades</w:t>
      </w:r>
      <w:proofErr w:type="spellEnd"/>
      <w:r w:rsidRPr="00501641">
        <w:t xml:space="preserve"> de los </w:t>
      </w:r>
      <w:proofErr w:type="spellStart"/>
      <w:r w:rsidRPr="00501641">
        <w:t>países</w:t>
      </w:r>
      <w:proofErr w:type="spellEnd"/>
      <w:r w:rsidRPr="00501641">
        <w:t xml:space="preserve"> y las </w:t>
      </w:r>
      <w:proofErr w:type="spellStart"/>
      <w:r w:rsidRPr="00501641">
        <w:t>comunidades</w:t>
      </w:r>
      <w:proofErr w:type="spellEnd"/>
      <w:r w:rsidRPr="00501641">
        <w:t xml:space="preserve"> locales </w:t>
      </w:r>
      <w:proofErr w:type="spellStart"/>
      <w:r w:rsidRPr="00501641">
        <w:t>en</w:t>
      </w:r>
      <w:proofErr w:type="spellEnd"/>
      <w:r w:rsidRPr="00501641">
        <w:t xml:space="preserve"> </w:t>
      </w:r>
      <w:proofErr w:type="spellStart"/>
      <w:r w:rsidRPr="00501641">
        <w:t>relación</w:t>
      </w:r>
      <w:proofErr w:type="spellEnd"/>
      <w:r w:rsidRPr="00501641">
        <w:t xml:space="preserve"> con el </w:t>
      </w:r>
      <w:proofErr w:type="spellStart"/>
      <w:r w:rsidRPr="00501641">
        <w:t>océano</w:t>
      </w:r>
      <w:proofErr w:type="spellEnd"/>
      <w:r w:rsidRPr="00501641">
        <w:t>.</w:t>
      </w:r>
    </w:p>
    <w:p w14:paraId="398D02AE" w14:textId="4FC0EB21" w:rsidR="00427F27" w:rsidRPr="00501641" w:rsidRDefault="00427F27" w:rsidP="00427F27">
      <w:pPr>
        <w:pStyle w:val="Marge"/>
        <w:tabs>
          <w:tab w:val="clear" w:pos="567"/>
          <w:tab w:val="left" w:pos="1162"/>
        </w:tabs>
        <w:spacing w:line="240" w:lineRule="auto"/>
      </w:pPr>
      <w:r w:rsidRPr="00501641">
        <w:rPr>
          <w:bdr w:val="single" w:sz="4" w:space="0" w:color="auto"/>
        </w:rPr>
        <w:t>03009</w:t>
      </w:r>
      <w:r w:rsidRPr="00501641">
        <w:tab/>
        <w:t xml:space="preserve">El </w:t>
      </w:r>
      <w:proofErr w:type="spellStart"/>
      <w:r w:rsidRPr="00501641">
        <w:t>desarrollo</w:t>
      </w:r>
      <w:proofErr w:type="spellEnd"/>
      <w:r w:rsidRPr="00501641">
        <w:t xml:space="preserve"> de </w:t>
      </w:r>
      <w:proofErr w:type="spellStart"/>
      <w:r w:rsidRPr="00501641">
        <w:t>capacidades</w:t>
      </w:r>
      <w:proofErr w:type="spellEnd"/>
      <w:r w:rsidRPr="00501641">
        <w:t xml:space="preserve"> </w:t>
      </w:r>
      <w:proofErr w:type="spellStart"/>
      <w:r w:rsidRPr="00501641">
        <w:t>seguirá</w:t>
      </w:r>
      <w:proofErr w:type="spellEnd"/>
      <w:r w:rsidRPr="00501641">
        <w:t xml:space="preserve"> </w:t>
      </w:r>
      <w:proofErr w:type="spellStart"/>
      <w:r w:rsidRPr="00501641">
        <w:t>siendo</w:t>
      </w:r>
      <w:proofErr w:type="spellEnd"/>
      <w:r w:rsidRPr="00501641">
        <w:t xml:space="preserve"> una </w:t>
      </w:r>
      <w:proofErr w:type="spellStart"/>
      <w:r w:rsidRPr="00501641">
        <w:t>actividad</w:t>
      </w:r>
      <w:proofErr w:type="spellEnd"/>
      <w:r w:rsidRPr="00501641">
        <w:t xml:space="preserve"> fundamental de la COI. A fin de </w:t>
      </w:r>
      <w:proofErr w:type="spellStart"/>
      <w:r w:rsidRPr="00501641">
        <w:t>crear</w:t>
      </w:r>
      <w:proofErr w:type="spellEnd"/>
      <w:r w:rsidRPr="00501641">
        <w:t xml:space="preserve"> las </w:t>
      </w:r>
      <w:proofErr w:type="spellStart"/>
      <w:r w:rsidRPr="00501641">
        <w:t>condiciones</w:t>
      </w:r>
      <w:proofErr w:type="spellEnd"/>
      <w:r w:rsidRPr="00501641">
        <w:t xml:space="preserve"> para </w:t>
      </w:r>
      <w:proofErr w:type="spellStart"/>
      <w:r w:rsidRPr="00501641">
        <w:t>unas</w:t>
      </w:r>
      <w:proofErr w:type="spellEnd"/>
      <w:r w:rsidRPr="00501641">
        <w:t xml:space="preserve"> </w:t>
      </w:r>
      <w:proofErr w:type="spellStart"/>
      <w:r w:rsidRPr="00501641">
        <w:t>relaciones</w:t>
      </w:r>
      <w:proofErr w:type="spellEnd"/>
      <w:r w:rsidRPr="00501641">
        <w:t xml:space="preserve"> </w:t>
      </w:r>
      <w:proofErr w:type="spellStart"/>
      <w:r w:rsidRPr="00501641">
        <w:t>humanas</w:t>
      </w:r>
      <w:proofErr w:type="spellEnd"/>
      <w:r w:rsidRPr="00501641">
        <w:t xml:space="preserve"> </w:t>
      </w:r>
      <w:proofErr w:type="spellStart"/>
      <w:r w:rsidRPr="00501641">
        <w:t>más</w:t>
      </w:r>
      <w:proofErr w:type="spellEnd"/>
      <w:r w:rsidRPr="00501641">
        <w:t xml:space="preserve"> </w:t>
      </w:r>
      <w:proofErr w:type="spellStart"/>
      <w:r w:rsidRPr="00501641">
        <w:t>armoniosas</w:t>
      </w:r>
      <w:proofErr w:type="spellEnd"/>
      <w:r w:rsidRPr="00501641">
        <w:t xml:space="preserve"> con el </w:t>
      </w:r>
      <w:proofErr w:type="spellStart"/>
      <w:r w:rsidRPr="00501641">
        <w:t>océano</w:t>
      </w:r>
      <w:proofErr w:type="spellEnd"/>
      <w:r w:rsidRPr="00501641">
        <w:t xml:space="preserve">, la COI </w:t>
      </w:r>
      <w:proofErr w:type="spellStart"/>
      <w:r w:rsidRPr="00501641">
        <w:t>seguirá</w:t>
      </w:r>
      <w:proofErr w:type="spellEnd"/>
      <w:r w:rsidRPr="00501641">
        <w:t xml:space="preserve"> </w:t>
      </w:r>
      <w:proofErr w:type="spellStart"/>
      <w:r w:rsidRPr="00501641">
        <w:t>promoviendo</w:t>
      </w:r>
      <w:proofErr w:type="spellEnd"/>
      <w:r w:rsidRPr="00501641">
        <w:t xml:space="preserve"> la </w:t>
      </w:r>
      <w:proofErr w:type="spellStart"/>
      <w:r w:rsidRPr="00501641">
        <w:t>cultura</w:t>
      </w:r>
      <w:proofErr w:type="spellEnd"/>
      <w:r w:rsidRPr="00501641">
        <w:t xml:space="preserve"> </w:t>
      </w:r>
      <w:proofErr w:type="spellStart"/>
      <w:r w:rsidRPr="00501641">
        <w:t>oceánica</w:t>
      </w:r>
      <w:proofErr w:type="spellEnd"/>
      <w:r w:rsidRPr="00501641">
        <w:t xml:space="preserve">, </w:t>
      </w:r>
      <w:proofErr w:type="spellStart"/>
      <w:r w:rsidRPr="00501641">
        <w:t>ampliando</w:t>
      </w:r>
      <w:proofErr w:type="spellEnd"/>
      <w:r w:rsidRPr="00501641">
        <w:t xml:space="preserve"> sus </w:t>
      </w:r>
      <w:proofErr w:type="spellStart"/>
      <w:r w:rsidRPr="00501641">
        <w:t>actividades</w:t>
      </w:r>
      <w:proofErr w:type="spellEnd"/>
      <w:r w:rsidRPr="00501641">
        <w:t xml:space="preserve"> de </w:t>
      </w:r>
      <w:proofErr w:type="spellStart"/>
      <w:r w:rsidRPr="00501641">
        <w:t>comunicación</w:t>
      </w:r>
      <w:proofErr w:type="spellEnd"/>
      <w:r w:rsidRPr="00501641">
        <w:t xml:space="preserve"> </w:t>
      </w:r>
      <w:proofErr w:type="spellStart"/>
      <w:r w:rsidRPr="00501641">
        <w:t>innovadoras</w:t>
      </w:r>
      <w:proofErr w:type="spellEnd"/>
      <w:r w:rsidRPr="00501641">
        <w:t xml:space="preserve"> </w:t>
      </w:r>
      <w:proofErr w:type="spellStart"/>
      <w:r w:rsidRPr="00501641">
        <w:t>dirigidas</w:t>
      </w:r>
      <w:proofErr w:type="spellEnd"/>
      <w:r w:rsidRPr="00501641">
        <w:t xml:space="preserve"> a </w:t>
      </w:r>
      <w:proofErr w:type="spellStart"/>
      <w:r w:rsidRPr="00501641">
        <w:t>amplias</w:t>
      </w:r>
      <w:proofErr w:type="spellEnd"/>
      <w:r w:rsidRPr="00501641">
        <w:t xml:space="preserve"> </w:t>
      </w:r>
      <w:proofErr w:type="spellStart"/>
      <w:r w:rsidRPr="00501641">
        <w:t>categorías</w:t>
      </w:r>
      <w:proofErr w:type="spellEnd"/>
      <w:r w:rsidRPr="00501641">
        <w:t xml:space="preserve"> de </w:t>
      </w:r>
      <w:proofErr w:type="spellStart"/>
      <w:r w:rsidRPr="00501641">
        <w:t>interesados</w:t>
      </w:r>
      <w:proofErr w:type="spellEnd"/>
      <w:r w:rsidRPr="00501641">
        <w:t xml:space="preserve">, </w:t>
      </w:r>
      <w:proofErr w:type="spellStart"/>
      <w:r w:rsidRPr="00501641">
        <w:t>mejorando</w:t>
      </w:r>
      <w:proofErr w:type="spellEnd"/>
      <w:r w:rsidRPr="00501641">
        <w:t xml:space="preserve"> </w:t>
      </w:r>
      <w:proofErr w:type="spellStart"/>
      <w:r w:rsidRPr="00501641">
        <w:t>su</w:t>
      </w:r>
      <w:proofErr w:type="spellEnd"/>
      <w:r w:rsidRPr="00501641">
        <w:t xml:space="preserve"> </w:t>
      </w:r>
      <w:proofErr w:type="spellStart"/>
      <w:r w:rsidRPr="00501641">
        <w:t>diálogo</w:t>
      </w:r>
      <w:proofErr w:type="spellEnd"/>
      <w:r w:rsidRPr="00501641">
        <w:t xml:space="preserve"> con los </w:t>
      </w:r>
      <w:proofErr w:type="spellStart"/>
      <w:r w:rsidRPr="00501641">
        <w:t>depositarios</w:t>
      </w:r>
      <w:proofErr w:type="spellEnd"/>
      <w:r w:rsidRPr="00501641">
        <w:t xml:space="preserve"> de </w:t>
      </w:r>
      <w:proofErr w:type="spellStart"/>
      <w:r w:rsidRPr="00501641">
        <w:t>conocimientos</w:t>
      </w:r>
      <w:proofErr w:type="spellEnd"/>
      <w:r w:rsidRPr="00501641">
        <w:t xml:space="preserve"> </w:t>
      </w:r>
      <w:proofErr w:type="spellStart"/>
      <w:r w:rsidRPr="00501641">
        <w:t>indígenas</w:t>
      </w:r>
      <w:proofErr w:type="spellEnd"/>
      <w:r w:rsidRPr="00501641">
        <w:t xml:space="preserve"> y </w:t>
      </w:r>
      <w:proofErr w:type="spellStart"/>
      <w:r w:rsidRPr="00501641">
        <w:t>reforzando</w:t>
      </w:r>
      <w:proofErr w:type="spellEnd"/>
      <w:r w:rsidRPr="00501641">
        <w:t xml:space="preserve"> el </w:t>
      </w:r>
      <w:proofErr w:type="spellStart"/>
      <w:r w:rsidRPr="00501641">
        <w:t>compromiso</w:t>
      </w:r>
      <w:proofErr w:type="spellEnd"/>
      <w:r w:rsidRPr="00501641">
        <w:t xml:space="preserve"> y la </w:t>
      </w:r>
      <w:proofErr w:type="spellStart"/>
      <w:r w:rsidRPr="00501641">
        <w:t>participación</w:t>
      </w:r>
      <w:proofErr w:type="spellEnd"/>
      <w:r w:rsidRPr="00501641">
        <w:t xml:space="preserve"> de los </w:t>
      </w:r>
      <w:proofErr w:type="spellStart"/>
      <w:r w:rsidRPr="00501641">
        <w:t>jóvenes</w:t>
      </w:r>
      <w:proofErr w:type="spellEnd"/>
      <w:r w:rsidRPr="00501641">
        <w:t>.</w:t>
      </w:r>
    </w:p>
    <w:p w14:paraId="2F24F43E" w14:textId="021E1134" w:rsidR="00427F27" w:rsidRPr="00501641" w:rsidRDefault="00427F27" w:rsidP="00427F27">
      <w:pPr>
        <w:pStyle w:val="Marge"/>
        <w:tabs>
          <w:tab w:val="clear" w:pos="567"/>
          <w:tab w:val="left" w:pos="1162"/>
        </w:tabs>
        <w:spacing w:line="240" w:lineRule="auto"/>
      </w:pPr>
      <w:r w:rsidRPr="00501641">
        <w:rPr>
          <w:bdr w:val="single" w:sz="4" w:space="0" w:color="auto"/>
        </w:rPr>
        <w:lastRenderedPageBreak/>
        <w:t>03010</w:t>
      </w:r>
      <w:r w:rsidRPr="00501641">
        <w:tab/>
        <w:t xml:space="preserve">Se </w:t>
      </w:r>
      <w:proofErr w:type="spellStart"/>
      <w:r w:rsidRPr="00501641">
        <w:t>proseguirá</w:t>
      </w:r>
      <w:proofErr w:type="spellEnd"/>
      <w:r w:rsidRPr="00501641">
        <w:t xml:space="preserve"> y </w:t>
      </w:r>
      <w:proofErr w:type="spellStart"/>
      <w:r w:rsidRPr="00501641">
        <w:t>ampliará</w:t>
      </w:r>
      <w:proofErr w:type="spellEnd"/>
      <w:r w:rsidRPr="00501641">
        <w:t xml:space="preserve"> la </w:t>
      </w:r>
      <w:proofErr w:type="spellStart"/>
      <w:r w:rsidRPr="00501641">
        <w:t>movilización</w:t>
      </w:r>
      <w:proofErr w:type="spellEnd"/>
      <w:r w:rsidRPr="00501641">
        <w:t xml:space="preserve"> </w:t>
      </w:r>
      <w:proofErr w:type="spellStart"/>
      <w:r w:rsidRPr="00501641">
        <w:t>activa</w:t>
      </w:r>
      <w:proofErr w:type="spellEnd"/>
      <w:r w:rsidRPr="00501641">
        <w:t xml:space="preserve"> de </w:t>
      </w:r>
      <w:proofErr w:type="spellStart"/>
      <w:r w:rsidRPr="00501641">
        <w:t>recursos</w:t>
      </w:r>
      <w:proofErr w:type="spellEnd"/>
      <w:r w:rsidRPr="00501641">
        <w:t xml:space="preserve"> </w:t>
      </w:r>
      <w:proofErr w:type="spellStart"/>
      <w:r w:rsidRPr="00501641">
        <w:t>extrapresupuestarios</w:t>
      </w:r>
      <w:proofErr w:type="spellEnd"/>
      <w:r w:rsidRPr="00501641">
        <w:t xml:space="preserve"> (tanto </w:t>
      </w:r>
      <w:proofErr w:type="spellStart"/>
      <w:r w:rsidRPr="00501641">
        <w:t>financieros</w:t>
      </w:r>
      <w:proofErr w:type="spellEnd"/>
      <w:r w:rsidRPr="00501641">
        <w:t xml:space="preserve"> </w:t>
      </w:r>
      <w:proofErr w:type="spellStart"/>
      <w:r w:rsidRPr="00501641">
        <w:t>como</w:t>
      </w:r>
      <w:proofErr w:type="spellEnd"/>
      <w:r w:rsidRPr="00501641">
        <w:t xml:space="preserve"> de personal). La </w:t>
      </w:r>
      <w:proofErr w:type="spellStart"/>
      <w:r w:rsidRPr="00501641">
        <w:t>notoriedad</w:t>
      </w:r>
      <w:proofErr w:type="spellEnd"/>
      <w:r w:rsidRPr="00501641">
        <w:t xml:space="preserve"> y el </w:t>
      </w:r>
      <w:proofErr w:type="spellStart"/>
      <w:r w:rsidRPr="00501641">
        <w:t>liderazgo</w:t>
      </w:r>
      <w:proofErr w:type="spellEnd"/>
      <w:r w:rsidRPr="00501641">
        <w:t xml:space="preserve"> </w:t>
      </w:r>
      <w:proofErr w:type="spellStart"/>
      <w:r w:rsidRPr="00501641">
        <w:t>alcanzados</w:t>
      </w:r>
      <w:proofErr w:type="spellEnd"/>
      <w:r w:rsidRPr="00501641">
        <w:t xml:space="preserve"> por la COI </w:t>
      </w:r>
      <w:proofErr w:type="spellStart"/>
      <w:r w:rsidRPr="00501641">
        <w:t>en</w:t>
      </w:r>
      <w:proofErr w:type="spellEnd"/>
      <w:r w:rsidRPr="00501641">
        <w:t xml:space="preserve"> los </w:t>
      </w:r>
      <w:proofErr w:type="spellStart"/>
      <w:r w:rsidRPr="00501641">
        <w:t>aspectos</w:t>
      </w:r>
      <w:proofErr w:type="spellEnd"/>
      <w:r w:rsidRPr="00501641">
        <w:t xml:space="preserve"> de la agenda de </w:t>
      </w:r>
      <w:proofErr w:type="spellStart"/>
      <w:r w:rsidRPr="00501641">
        <w:t>desarrollo</w:t>
      </w:r>
      <w:proofErr w:type="spellEnd"/>
      <w:r w:rsidRPr="00501641">
        <w:t xml:space="preserve"> </w:t>
      </w:r>
      <w:proofErr w:type="spellStart"/>
      <w:r w:rsidRPr="00501641">
        <w:t>sostenible</w:t>
      </w:r>
      <w:proofErr w:type="spellEnd"/>
      <w:r w:rsidRPr="00501641">
        <w:t xml:space="preserve"> </w:t>
      </w:r>
      <w:proofErr w:type="spellStart"/>
      <w:r w:rsidRPr="00501641">
        <w:t>relacionados</w:t>
      </w:r>
      <w:proofErr w:type="spellEnd"/>
      <w:r w:rsidRPr="00501641">
        <w:t xml:space="preserve"> con las </w:t>
      </w:r>
      <w:proofErr w:type="spellStart"/>
      <w:r w:rsidRPr="00501641">
        <w:t>ciencias</w:t>
      </w:r>
      <w:proofErr w:type="spellEnd"/>
      <w:r w:rsidRPr="00501641">
        <w:t xml:space="preserve"> </w:t>
      </w:r>
      <w:proofErr w:type="spellStart"/>
      <w:r w:rsidRPr="00501641">
        <w:t>oceánicas</w:t>
      </w:r>
      <w:proofErr w:type="spellEnd"/>
      <w:r w:rsidRPr="00501641">
        <w:t xml:space="preserve">, </w:t>
      </w:r>
      <w:proofErr w:type="spellStart"/>
      <w:r w:rsidRPr="00501641">
        <w:t>multiplicados</w:t>
      </w:r>
      <w:proofErr w:type="spellEnd"/>
      <w:r w:rsidRPr="00501641">
        <w:t xml:space="preserve"> por la </w:t>
      </w:r>
      <w:proofErr w:type="spellStart"/>
      <w:r w:rsidRPr="00501641">
        <w:t>profesionalidad</w:t>
      </w:r>
      <w:proofErr w:type="spellEnd"/>
      <w:r w:rsidRPr="00501641">
        <w:t xml:space="preserve"> y la </w:t>
      </w:r>
      <w:proofErr w:type="spellStart"/>
      <w:r w:rsidRPr="00501641">
        <w:t>energía</w:t>
      </w:r>
      <w:proofErr w:type="spellEnd"/>
      <w:r w:rsidRPr="00501641">
        <w:t xml:space="preserve"> de </w:t>
      </w:r>
      <w:proofErr w:type="spellStart"/>
      <w:r w:rsidRPr="00501641">
        <w:t>su</w:t>
      </w:r>
      <w:proofErr w:type="spellEnd"/>
      <w:r w:rsidRPr="00501641">
        <w:t xml:space="preserve"> personal, </w:t>
      </w:r>
      <w:proofErr w:type="spellStart"/>
      <w:r w:rsidRPr="00501641">
        <w:t>ofrecen</w:t>
      </w:r>
      <w:proofErr w:type="spellEnd"/>
      <w:r w:rsidRPr="00501641">
        <w:t xml:space="preserve"> un mayor </w:t>
      </w:r>
      <w:proofErr w:type="spellStart"/>
      <w:r w:rsidRPr="00501641">
        <w:t>potencial</w:t>
      </w:r>
      <w:proofErr w:type="spellEnd"/>
      <w:r w:rsidRPr="00501641">
        <w:t xml:space="preserve"> de </w:t>
      </w:r>
      <w:proofErr w:type="spellStart"/>
      <w:r w:rsidRPr="00501641">
        <w:t>recaudación</w:t>
      </w:r>
      <w:proofErr w:type="spellEnd"/>
      <w:r w:rsidRPr="00501641">
        <w:t xml:space="preserve"> de </w:t>
      </w:r>
      <w:proofErr w:type="spellStart"/>
      <w:r w:rsidRPr="00501641">
        <w:t>fondos</w:t>
      </w:r>
      <w:proofErr w:type="spellEnd"/>
      <w:r w:rsidRPr="00501641">
        <w:t xml:space="preserve">. </w:t>
      </w:r>
      <w:proofErr w:type="spellStart"/>
      <w:r w:rsidRPr="00501641">
        <w:t>Aunque</w:t>
      </w:r>
      <w:proofErr w:type="spellEnd"/>
      <w:r w:rsidRPr="00501641">
        <w:t xml:space="preserve"> se </w:t>
      </w:r>
      <w:proofErr w:type="spellStart"/>
      <w:r w:rsidRPr="00501641">
        <w:t>seguirá</w:t>
      </w:r>
      <w:proofErr w:type="spellEnd"/>
      <w:r w:rsidRPr="00501641">
        <w:t xml:space="preserve"> </w:t>
      </w:r>
      <w:proofErr w:type="spellStart"/>
      <w:r w:rsidRPr="00501641">
        <w:t>haciendo</w:t>
      </w:r>
      <w:proofErr w:type="spellEnd"/>
      <w:r w:rsidRPr="00501641">
        <w:t xml:space="preserve"> </w:t>
      </w:r>
      <w:proofErr w:type="spellStart"/>
      <w:r w:rsidRPr="00501641">
        <w:t>todo</w:t>
      </w:r>
      <w:proofErr w:type="spellEnd"/>
      <w:r w:rsidRPr="00501641">
        <w:t xml:space="preserve"> lo </w:t>
      </w:r>
      <w:proofErr w:type="spellStart"/>
      <w:r w:rsidRPr="00501641">
        <w:t>posible</w:t>
      </w:r>
      <w:proofErr w:type="spellEnd"/>
      <w:r w:rsidRPr="00501641">
        <w:t xml:space="preserve"> para </w:t>
      </w:r>
      <w:proofErr w:type="spellStart"/>
      <w:r w:rsidRPr="00501641">
        <w:t>ampliar</w:t>
      </w:r>
      <w:proofErr w:type="spellEnd"/>
      <w:r w:rsidRPr="00501641">
        <w:t xml:space="preserve"> la </w:t>
      </w:r>
      <w:proofErr w:type="spellStart"/>
      <w:r w:rsidRPr="00501641">
        <w:t>labor</w:t>
      </w:r>
      <w:proofErr w:type="spellEnd"/>
      <w:r w:rsidRPr="00501641">
        <w:t xml:space="preserve"> de </w:t>
      </w:r>
      <w:proofErr w:type="spellStart"/>
      <w:r w:rsidRPr="00501641">
        <w:t>extensión</w:t>
      </w:r>
      <w:proofErr w:type="spellEnd"/>
      <w:r w:rsidRPr="00501641">
        <w:t xml:space="preserve"> y las </w:t>
      </w:r>
      <w:proofErr w:type="spellStart"/>
      <w:r w:rsidRPr="00501641">
        <w:t>alianzas</w:t>
      </w:r>
      <w:proofErr w:type="spellEnd"/>
      <w:r w:rsidRPr="00501641">
        <w:t xml:space="preserve">, el </w:t>
      </w:r>
      <w:proofErr w:type="spellStart"/>
      <w:r w:rsidRPr="00501641">
        <w:t>apoyo</w:t>
      </w:r>
      <w:proofErr w:type="spellEnd"/>
      <w:r w:rsidRPr="00501641">
        <w:t xml:space="preserve"> de los </w:t>
      </w:r>
      <w:proofErr w:type="spellStart"/>
      <w:r w:rsidRPr="00501641">
        <w:t>Estados</w:t>
      </w:r>
      <w:proofErr w:type="spellEnd"/>
      <w:r w:rsidRPr="00501641">
        <w:t xml:space="preserve"> </w:t>
      </w:r>
      <w:proofErr w:type="spellStart"/>
      <w:r w:rsidRPr="00501641">
        <w:t>Miembros</w:t>
      </w:r>
      <w:proofErr w:type="spellEnd"/>
      <w:r w:rsidRPr="00501641">
        <w:t xml:space="preserve"> </w:t>
      </w:r>
      <w:proofErr w:type="spellStart"/>
      <w:r w:rsidRPr="00501641">
        <w:t>seguirá</w:t>
      </w:r>
      <w:proofErr w:type="spellEnd"/>
      <w:r w:rsidRPr="00501641">
        <w:t xml:space="preserve"> </w:t>
      </w:r>
      <w:proofErr w:type="spellStart"/>
      <w:r w:rsidRPr="00501641">
        <w:t>siendo</w:t>
      </w:r>
      <w:proofErr w:type="spellEnd"/>
      <w:r w:rsidRPr="00501641">
        <w:t xml:space="preserve"> fundamental para </w:t>
      </w:r>
      <w:proofErr w:type="spellStart"/>
      <w:r w:rsidRPr="00501641">
        <w:t>garantizar</w:t>
      </w:r>
      <w:proofErr w:type="spellEnd"/>
      <w:r w:rsidRPr="00501641">
        <w:t xml:space="preserve"> los </w:t>
      </w:r>
      <w:proofErr w:type="spellStart"/>
      <w:r w:rsidRPr="00501641">
        <w:t>niveles</w:t>
      </w:r>
      <w:proofErr w:type="spellEnd"/>
      <w:r w:rsidRPr="00501641">
        <w:t xml:space="preserve"> de </w:t>
      </w:r>
      <w:proofErr w:type="spellStart"/>
      <w:r w:rsidRPr="00501641">
        <w:t>recursos</w:t>
      </w:r>
      <w:proofErr w:type="spellEnd"/>
      <w:r w:rsidRPr="00501641">
        <w:t xml:space="preserve"> </w:t>
      </w:r>
      <w:proofErr w:type="spellStart"/>
      <w:r w:rsidRPr="00501641">
        <w:t>necesarios</w:t>
      </w:r>
      <w:proofErr w:type="spellEnd"/>
      <w:r w:rsidRPr="00501641">
        <w:t xml:space="preserve"> para </w:t>
      </w:r>
      <w:proofErr w:type="spellStart"/>
      <w:r w:rsidRPr="00501641">
        <w:t>aportar</w:t>
      </w:r>
      <w:proofErr w:type="spellEnd"/>
      <w:r w:rsidRPr="00501641">
        <w:t xml:space="preserve"> las </w:t>
      </w:r>
      <w:proofErr w:type="spellStart"/>
      <w:r w:rsidRPr="00501641">
        <w:t>soluciones</w:t>
      </w:r>
      <w:proofErr w:type="spellEnd"/>
      <w:r w:rsidRPr="00501641">
        <w:t xml:space="preserve"> </w:t>
      </w:r>
      <w:proofErr w:type="spellStart"/>
      <w:r w:rsidRPr="00501641">
        <w:t>basadas</w:t>
      </w:r>
      <w:proofErr w:type="spellEnd"/>
      <w:r w:rsidRPr="00501641">
        <w:t xml:space="preserve"> </w:t>
      </w:r>
      <w:proofErr w:type="spellStart"/>
      <w:r w:rsidRPr="00501641">
        <w:t>en</w:t>
      </w:r>
      <w:proofErr w:type="spellEnd"/>
      <w:r w:rsidRPr="00501641">
        <w:t xml:space="preserve"> las </w:t>
      </w:r>
      <w:proofErr w:type="spellStart"/>
      <w:r w:rsidRPr="00501641">
        <w:t>ciencias</w:t>
      </w:r>
      <w:proofErr w:type="spellEnd"/>
      <w:r w:rsidRPr="00501641">
        <w:t xml:space="preserve"> </w:t>
      </w:r>
      <w:proofErr w:type="spellStart"/>
      <w:r w:rsidRPr="00501641">
        <w:t>oceánicas</w:t>
      </w:r>
      <w:proofErr w:type="spellEnd"/>
      <w:r w:rsidRPr="00501641">
        <w:t xml:space="preserve"> que se </w:t>
      </w:r>
      <w:proofErr w:type="spellStart"/>
      <w:r w:rsidRPr="00501641">
        <w:t>necesitan</w:t>
      </w:r>
      <w:proofErr w:type="spellEnd"/>
      <w:r w:rsidRPr="00501641">
        <w:t xml:space="preserve"> para el </w:t>
      </w:r>
      <w:proofErr w:type="spellStart"/>
      <w:r w:rsidRPr="00501641">
        <w:t>desarrollo</w:t>
      </w:r>
      <w:proofErr w:type="spellEnd"/>
      <w:r w:rsidRPr="00501641">
        <w:t xml:space="preserve"> </w:t>
      </w:r>
      <w:proofErr w:type="spellStart"/>
      <w:r w:rsidRPr="00501641">
        <w:t>sostenible</w:t>
      </w:r>
      <w:proofErr w:type="spellEnd"/>
      <w:r w:rsidRPr="00501641">
        <w:t xml:space="preserve">. Mediante el </w:t>
      </w:r>
      <w:proofErr w:type="spellStart"/>
      <w:r w:rsidRPr="00501641">
        <w:t>diseño</w:t>
      </w:r>
      <w:proofErr w:type="spellEnd"/>
      <w:r w:rsidRPr="00501641">
        <w:t xml:space="preserve"> conjunto de </w:t>
      </w:r>
      <w:proofErr w:type="spellStart"/>
      <w:r w:rsidRPr="00501641">
        <w:t>distintos</w:t>
      </w:r>
      <w:proofErr w:type="spellEnd"/>
      <w:r w:rsidRPr="00501641">
        <w:t xml:space="preserve"> </w:t>
      </w:r>
      <w:proofErr w:type="spellStart"/>
      <w:r w:rsidRPr="00501641">
        <w:t>tipos</w:t>
      </w:r>
      <w:proofErr w:type="spellEnd"/>
      <w:r w:rsidRPr="00501641">
        <w:t xml:space="preserve"> de </w:t>
      </w:r>
      <w:proofErr w:type="spellStart"/>
      <w:r w:rsidRPr="00501641">
        <w:t>actividades</w:t>
      </w:r>
      <w:proofErr w:type="spellEnd"/>
      <w:r w:rsidRPr="00501641">
        <w:t xml:space="preserve"> de la COI, </w:t>
      </w:r>
      <w:proofErr w:type="spellStart"/>
      <w:r w:rsidRPr="00501641">
        <w:t>centrándose</w:t>
      </w:r>
      <w:proofErr w:type="spellEnd"/>
      <w:r w:rsidRPr="00501641">
        <w:t xml:space="preserve"> </w:t>
      </w:r>
      <w:proofErr w:type="spellStart"/>
      <w:r w:rsidRPr="00501641">
        <w:t>en</w:t>
      </w:r>
      <w:proofErr w:type="spellEnd"/>
      <w:r w:rsidRPr="00501641">
        <w:t xml:space="preserve"> </w:t>
      </w:r>
      <w:proofErr w:type="spellStart"/>
      <w:r w:rsidRPr="00501641">
        <w:t>su</w:t>
      </w:r>
      <w:proofErr w:type="spellEnd"/>
      <w:r w:rsidRPr="00501641">
        <w:t xml:space="preserve"> </w:t>
      </w:r>
      <w:proofErr w:type="spellStart"/>
      <w:r w:rsidRPr="00501641">
        <w:t>repercusión</w:t>
      </w:r>
      <w:proofErr w:type="spellEnd"/>
      <w:r w:rsidRPr="00501641">
        <w:t xml:space="preserve"> </w:t>
      </w:r>
      <w:proofErr w:type="spellStart"/>
      <w:r w:rsidRPr="00501641">
        <w:t>económica</w:t>
      </w:r>
      <w:proofErr w:type="spellEnd"/>
      <w:r w:rsidRPr="00501641">
        <w:t xml:space="preserve"> —lo que </w:t>
      </w:r>
      <w:proofErr w:type="spellStart"/>
      <w:r w:rsidRPr="00501641">
        <w:t>permitirá</w:t>
      </w:r>
      <w:proofErr w:type="spellEnd"/>
      <w:r w:rsidRPr="00501641">
        <w:t xml:space="preserve"> una </w:t>
      </w:r>
      <w:proofErr w:type="spellStart"/>
      <w:r w:rsidRPr="00501641">
        <w:t>valoración</w:t>
      </w:r>
      <w:proofErr w:type="spellEnd"/>
      <w:r w:rsidRPr="00501641">
        <w:t xml:space="preserve"> </w:t>
      </w:r>
      <w:proofErr w:type="spellStart"/>
      <w:r w:rsidRPr="00501641">
        <w:t>más</w:t>
      </w:r>
      <w:proofErr w:type="spellEnd"/>
      <w:r w:rsidRPr="00501641">
        <w:t xml:space="preserve"> </w:t>
      </w:r>
      <w:proofErr w:type="spellStart"/>
      <w:r w:rsidRPr="00501641">
        <w:t>clara</w:t>
      </w:r>
      <w:proofErr w:type="spellEnd"/>
      <w:r w:rsidRPr="00501641">
        <w:t xml:space="preserve"> de la </w:t>
      </w:r>
      <w:proofErr w:type="spellStart"/>
      <w:r w:rsidRPr="00501641">
        <w:t>labor</w:t>
      </w:r>
      <w:proofErr w:type="spellEnd"/>
      <w:r w:rsidRPr="00501641">
        <w:t xml:space="preserve"> de la COI—, la Comisión se </w:t>
      </w:r>
      <w:proofErr w:type="spellStart"/>
      <w:r w:rsidRPr="00501641">
        <w:t>esforzará</w:t>
      </w:r>
      <w:proofErr w:type="spellEnd"/>
      <w:r w:rsidRPr="00501641">
        <w:t xml:space="preserve"> por </w:t>
      </w:r>
      <w:proofErr w:type="spellStart"/>
      <w:r w:rsidRPr="00501641">
        <w:t>crear</w:t>
      </w:r>
      <w:proofErr w:type="spellEnd"/>
      <w:r w:rsidRPr="00501641">
        <w:t xml:space="preserve"> las </w:t>
      </w:r>
      <w:proofErr w:type="spellStart"/>
      <w:r w:rsidRPr="00501641">
        <w:t>condiciones</w:t>
      </w:r>
      <w:proofErr w:type="spellEnd"/>
      <w:r w:rsidRPr="00501641">
        <w:t xml:space="preserve"> </w:t>
      </w:r>
      <w:proofErr w:type="spellStart"/>
      <w:r w:rsidRPr="00501641">
        <w:t>necesarias</w:t>
      </w:r>
      <w:proofErr w:type="spellEnd"/>
      <w:r w:rsidRPr="00501641">
        <w:t xml:space="preserve"> para </w:t>
      </w:r>
      <w:proofErr w:type="spellStart"/>
      <w:r w:rsidRPr="00501641">
        <w:t>seguir</w:t>
      </w:r>
      <w:proofErr w:type="spellEnd"/>
      <w:r w:rsidRPr="00501641">
        <w:t xml:space="preserve"> </w:t>
      </w:r>
      <w:proofErr w:type="spellStart"/>
      <w:r w:rsidRPr="00501641">
        <w:t>reforzando</w:t>
      </w:r>
      <w:proofErr w:type="spellEnd"/>
      <w:r w:rsidRPr="00501641">
        <w:t xml:space="preserve"> y </w:t>
      </w:r>
      <w:proofErr w:type="spellStart"/>
      <w:r w:rsidRPr="00501641">
        <w:t>aumentando</w:t>
      </w:r>
      <w:proofErr w:type="spellEnd"/>
      <w:r w:rsidRPr="00501641">
        <w:t xml:space="preserve"> </w:t>
      </w:r>
      <w:proofErr w:type="spellStart"/>
      <w:r w:rsidRPr="00501641">
        <w:t>su</w:t>
      </w:r>
      <w:proofErr w:type="spellEnd"/>
      <w:r w:rsidRPr="00501641">
        <w:t xml:space="preserve"> </w:t>
      </w:r>
      <w:proofErr w:type="spellStart"/>
      <w:r w:rsidRPr="00501641">
        <w:t>aportación</w:t>
      </w:r>
      <w:proofErr w:type="spellEnd"/>
      <w:r w:rsidRPr="00501641">
        <w:t xml:space="preserve"> a la </w:t>
      </w:r>
      <w:proofErr w:type="spellStart"/>
      <w:r w:rsidRPr="00501641">
        <w:t>sostenibilidad</w:t>
      </w:r>
      <w:proofErr w:type="spellEnd"/>
      <w:r w:rsidRPr="00501641">
        <w:t xml:space="preserve"> </w:t>
      </w:r>
      <w:proofErr w:type="spellStart"/>
      <w:r w:rsidRPr="00501641">
        <w:t>mundial</w:t>
      </w:r>
      <w:proofErr w:type="spellEnd"/>
      <w:r w:rsidRPr="00501641">
        <w:t xml:space="preserve"> […].</w:t>
      </w:r>
    </w:p>
    <w:p w14:paraId="704CC28E" w14:textId="1D57C22C" w:rsidR="00427F27" w:rsidRPr="00501641" w:rsidRDefault="00D56958" w:rsidP="00427F27">
      <w:pPr>
        <w:pStyle w:val="Marge"/>
        <w:tabs>
          <w:tab w:val="clear" w:pos="567"/>
          <w:tab w:val="left" w:pos="1162"/>
        </w:tabs>
        <w:spacing w:line="240" w:lineRule="auto"/>
        <w:rPr>
          <w:b/>
          <w:bCs/>
          <w:i/>
          <w:iCs/>
        </w:rPr>
      </w:pPr>
      <w:proofErr w:type="spellStart"/>
      <w:r w:rsidRPr="00501641">
        <w:rPr>
          <w:b/>
          <w:bCs/>
          <w:i/>
          <w:iCs/>
        </w:rPr>
        <w:t>Prioridad</w:t>
      </w:r>
      <w:proofErr w:type="spellEnd"/>
      <w:r w:rsidRPr="00501641">
        <w:rPr>
          <w:b/>
          <w:bCs/>
          <w:i/>
          <w:iCs/>
        </w:rPr>
        <w:t xml:space="preserve"> global “</w:t>
      </w:r>
      <w:proofErr w:type="spellStart"/>
      <w:r w:rsidRPr="00501641">
        <w:rPr>
          <w:b/>
          <w:bCs/>
          <w:i/>
          <w:iCs/>
        </w:rPr>
        <w:t>África</w:t>
      </w:r>
      <w:proofErr w:type="spellEnd"/>
      <w:r w:rsidRPr="00501641">
        <w:rPr>
          <w:b/>
          <w:bCs/>
          <w:i/>
          <w:iCs/>
        </w:rPr>
        <w:t>”</w:t>
      </w:r>
    </w:p>
    <w:p w14:paraId="0074FF4F" w14:textId="00A8F70D" w:rsidR="00427F27" w:rsidRPr="00501641" w:rsidRDefault="00427F27" w:rsidP="00427F27">
      <w:pPr>
        <w:pStyle w:val="Marge"/>
        <w:tabs>
          <w:tab w:val="clear" w:pos="567"/>
          <w:tab w:val="left" w:pos="1162"/>
        </w:tabs>
        <w:spacing w:line="240" w:lineRule="auto"/>
      </w:pPr>
      <w:r w:rsidRPr="00501641">
        <w:rPr>
          <w:bdr w:val="single" w:sz="4" w:space="0" w:color="auto"/>
        </w:rPr>
        <w:t>03011</w:t>
      </w:r>
      <w:r w:rsidRPr="00501641">
        <w:tab/>
      </w:r>
      <w:proofErr w:type="spellStart"/>
      <w:r w:rsidRPr="00501641">
        <w:t>África</w:t>
      </w:r>
      <w:proofErr w:type="spellEnd"/>
      <w:r w:rsidRPr="00501641">
        <w:t xml:space="preserve"> </w:t>
      </w:r>
      <w:proofErr w:type="spellStart"/>
      <w:r w:rsidRPr="00501641">
        <w:t>tiene</w:t>
      </w:r>
      <w:proofErr w:type="spellEnd"/>
      <w:r w:rsidRPr="00501641">
        <w:t xml:space="preserve"> un gran </w:t>
      </w:r>
      <w:proofErr w:type="spellStart"/>
      <w:r w:rsidRPr="00501641">
        <w:t>interés</w:t>
      </w:r>
      <w:proofErr w:type="spellEnd"/>
      <w:r w:rsidRPr="00501641">
        <w:t xml:space="preserve"> </w:t>
      </w:r>
      <w:proofErr w:type="spellStart"/>
      <w:r w:rsidRPr="00501641">
        <w:t>en</w:t>
      </w:r>
      <w:proofErr w:type="spellEnd"/>
      <w:r w:rsidRPr="00501641">
        <w:t xml:space="preserve"> la </w:t>
      </w:r>
      <w:proofErr w:type="spellStart"/>
      <w:r w:rsidRPr="00501641">
        <w:t>economía</w:t>
      </w:r>
      <w:proofErr w:type="spellEnd"/>
      <w:r w:rsidRPr="00501641">
        <w:t xml:space="preserve"> </w:t>
      </w:r>
      <w:proofErr w:type="spellStart"/>
      <w:r w:rsidRPr="00501641">
        <w:t>oceánica</w:t>
      </w:r>
      <w:proofErr w:type="spellEnd"/>
      <w:r w:rsidRPr="00501641">
        <w:t xml:space="preserve"> </w:t>
      </w:r>
      <w:proofErr w:type="spellStart"/>
      <w:r w:rsidRPr="00501641">
        <w:t>sostenible</w:t>
      </w:r>
      <w:proofErr w:type="spellEnd"/>
      <w:r w:rsidRPr="00501641">
        <w:t xml:space="preserve">. A fin de </w:t>
      </w:r>
      <w:proofErr w:type="spellStart"/>
      <w:r w:rsidRPr="00501641">
        <w:t>posibilitar</w:t>
      </w:r>
      <w:proofErr w:type="spellEnd"/>
      <w:r w:rsidRPr="00501641">
        <w:t xml:space="preserve"> un </w:t>
      </w:r>
      <w:proofErr w:type="spellStart"/>
      <w:r w:rsidRPr="00501641">
        <w:t>rendimiento</w:t>
      </w:r>
      <w:proofErr w:type="spellEnd"/>
      <w:r w:rsidRPr="00501641">
        <w:t xml:space="preserve"> </w:t>
      </w:r>
      <w:proofErr w:type="spellStart"/>
      <w:r w:rsidRPr="00501641">
        <w:t>económico</w:t>
      </w:r>
      <w:proofErr w:type="spellEnd"/>
      <w:r w:rsidRPr="00501641">
        <w:t xml:space="preserve"> </w:t>
      </w:r>
      <w:proofErr w:type="spellStart"/>
      <w:r w:rsidRPr="00501641">
        <w:t>significativo</w:t>
      </w:r>
      <w:proofErr w:type="spellEnd"/>
      <w:r w:rsidRPr="00501641">
        <w:t xml:space="preserve"> </w:t>
      </w:r>
      <w:proofErr w:type="spellStart"/>
      <w:r w:rsidRPr="00501641">
        <w:t>más</w:t>
      </w:r>
      <w:proofErr w:type="spellEnd"/>
      <w:r w:rsidRPr="00501641">
        <w:t xml:space="preserve"> </w:t>
      </w:r>
      <w:proofErr w:type="spellStart"/>
      <w:r w:rsidRPr="00501641">
        <w:t>adelante</w:t>
      </w:r>
      <w:proofErr w:type="spellEnd"/>
      <w:r w:rsidRPr="00501641">
        <w:t xml:space="preserve">, la COI </w:t>
      </w:r>
      <w:proofErr w:type="spellStart"/>
      <w:r w:rsidRPr="00501641">
        <w:t>iniciará</w:t>
      </w:r>
      <w:proofErr w:type="spellEnd"/>
      <w:r w:rsidRPr="00501641">
        <w:t xml:space="preserve"> con </w:t>
      </w:r>
      <w:proofErr w:type="spellStart"/>
      <w:r w:rsidRPr="00501641">
        <w:t>antelación</w:t>
      </w:r>
      <w:proofErr w:type="spellEnd"/>
      <w:r w:rsidRPr="00501641">
        <w:t xml:space="preserve"> una </w:t>
      </w:r>
      <w:proofErr w:type="spellStart"/>
      <w:r w:rsidRPr="00501641">
        <w:t>labor</w:t>
      </w:r>
      <w:proofErr w:type="spellEnd"/>
      <w:r w:rsidRPr="00501641">
        <w:t xml:space="preserve"> </w:t>
      </w:r>
      <w:proofErr w:type="spellStart"/>
      <w:r w:rsidRPr="00501641">
        <w:t>subyacente</w:t>
      </w:r>
      <w:proofErr w:type="spellEnd"/>
      <w:r w:rsidRPr="00501641">
        <w:t xml:space="preserve"> </w:t>
      </w:r>
      <w:proofErr w:type="spellStart"/>
      <w:r w:rsidRPr="00501641">
        <w:t>en</w:t>
      </w:r>
      <w:proofErr w:type="spellEnd"/>
      <w:r w:rsidRPr="00501641">
        <w:t xml:space="preserve"> </w:t>
      </w:r>
      <w:proofErr w:type="spellStart"/>
      <w:r w:rsidRPr="00501641">
        <w:t>favor</w:t>
      </w:r>
      <w:proofErr w:type="spellEnd"/>
      <w:r w:rsidRPr="00501641">
        <w:t xml:space="preserve"> de la </w:t>
      </w:r>
      <w:proofErr w:type="spellStart"/>
      <w:r w:rsidRPr="00501641">
        <w:t>prioridad</w:t>
      </w:r>
      <w:proofErr w:type="spellEnd"/>
      <w:r w:rsidRPr="00501641">
        <w:t xml:space="preserve"> global “</w:t>
      </w:r>
      <w:proofErr w:type="spellStart"/>
      <w:r w:rsidRPr="00501641">
        <w:t>África</w:t>
      </w:r>
      <w:proofErr w:type="spellEnd"/>
      <w:r w:rsidRPr="00501641">
        <w:t xml:space="preserve">”, </w:t>
      </w:r>
      <w:proofErr w:type="spellStart"/>
      <w:r w:rsidRPr="00501641">
        <w:t>mediante</w:t>
      </w:r>
      <w:proofErr w:type="spellEnd"/>
      <w:r w:rsidRPr="00501641">
        <w:t xml:space="preserve"> la </w:t>
      </w:r>
      <w:proofErr w:type="spellStart"/>
      <w:r w:rsidRPr="00501641">
        <w:t>elaboración</w:t>
      </w:r>
      <w:proofErr w:type="spellEnd"/>
      <w:r w:rsidRPr="00501641">
        <w:t xml:space="preserve"> de un </w:t>
      </w:r>
      <w:proofErr w:type="spellStart"/>
      <w:r w:rsidRPr="00501641">
        <w:t>sistema</w:t>
      </w:r>
      <w:proofErr w:type="spellEnd"/>
      <w:r w:rsidRPr="00501641">
        <w:t xml:space="preserve"> </w:t>
      </w:r>
      <w:proofErr w:type="spellStart"/>
      <w:r w:rsidRPr="00501641">
        <w:t>eficaz</w:t>
      </w:r>
      <w:proofErr w:type="spellEnd"/>
      <w:r w:rsidRPr="00501641">
        <w:t xml:space="preserve"> de </w:t>
      </w:r>
      <w:proofErr w:type="spellStart"/>
      <w:r w:rsidRPr="00501641">
        <w:t>observación</w:t>
      </w:r>
      <w:proofErr w:type="spellEnd"/>
      <w:r w:rsidRPr="00501641">
        <w:t xml:space="preserve"> del </w:t>
      </w:r>
      <w:proofErr w:type="spellStart"/>
      <w:r w:rsidRPr="00501641">
        <w:t>océano</w:t>
      </w:r>
      <w:proofErr w:type="spellEnd"/>
      <w:r w:rsidRPr="00501641">
        <w:t xml:space="preserve"> </w:t>
      </w:r>
      <w:proofErr w:type="spellStart"/>
      <w:r w:rsidRPr="00501641">
        <w:t>en</w:t>
      </w:r>
      <w:proofErr w:type="spellEnd"/>
      <w:r w:rsidRPr="00501641">
        <w:t xml:space="preserve"> </w:t>
      </w:r>
      <w:proofErr w:type="spellStart"/>
      <w:r w:rsidRPr="00501641">
        <w:t>África</w:t>
      </w:r>
      <w:proofErr w:type="spellEnd"/>
      <w:r w:rsidRPr="00501641">
        <w:t xml:space="preserve">, la </w:t>
      </w:r>
      <w:proofErr w:type="spellStart"/>
      <w:r w:rsidRPr="00501641">
        <w:t>ampliación</w:t>
      </w:r>
      <w:proofErr w:type="spellEnd"/>
      <w:r w:rsidRPr="00501641">
        <w:t xml:space="preserve"> de las </w:t>
      </w:r>
      <w:proofErr w:type="spellStart"/>
      <w:r w:rsidRPr="00501641">
        <w:t>actividades</w:t>
      </w:r>
      <w:proofErr w:type="spellEnd"/>
      <w:r w:rsidRPr="00501641">
        <w:t xml:space="preserve"> de </w:t>
      </w:r>
      <w:proofErr w:type="spellStart"/>
      <w:r w:rsidRPr="00501641">
        <w:t>formación</w:t>
      </w:r>
      <w:proofErr w:type="spellEnd"/>
      <w:r w:rsidRPr="00501641">
        <w:t xml:space="preserve">, la </w:t>
      </w:r>
      <w:proofErr w:type="spellStart"/>
      <w:r w:rsidRPr="00501641">
        <w:t>facilitación</w:t>
      </w:r>
      <w:proofErr w:type="spellEnd"/>
      <w:r w:rsidRPr="00501641">
        <w:t xml:space="preserve"> de </w:t>
      </w:r>
      <w:proofErr w:type="spellStart"/>
      <w:r w:rsidRPr="00501641">
        <w:t>medios</w:t>
      </w:r>
      <w:proofErr w:type="spellEnd"/>
      <w:r w:rsidRPr="00501641">
        <w:t xml:space="preserve"> </w:t>
      </w:r>
      <w:proofErr w:type="spellStart"/>
      <w:r w:rsidRPr="00501641">
        <w:t>modernos</w:t>
      </w:r>
      <w:proofErr w:type="spellEnd"/>
      <w:r w:rsidRPr="00501641">
        <w:t xml:space="preserve"> de </w:t>
      </w:r>
      <w:proofErr w:type="spellStart"/>
      <w:r w:rsidRPr="00501641">
        <w:t>gestión</w:t>
      </w:r>
      <w:proofErr w:type="spellEnd"/>
      <w:r w:rsidRPr="00501641">
        <w:t xml:space="preserve"> de </w:t>
      </w:r>
      <w:proofErr w:type="spellStart"/>
      <w:r w:rsidRPr="00501641">
        <w:t>datos</w:t>
      </w:r>
      <w:proofErr w:type="spellEnd"/>
      <w:r w:rsidRPr="00501641">
        <w:t xml:space="preserve"> y el </w:t>
      </w:r>
      <w:proofErr w:type="spellStart"/>
      <w:r w:rsidRPr="00501641">
        <w:t>uso</w:t>
      </w:r>
      <w:proofErr w:type="spellEnd"/>
      <w:r w:rsidRPr="00501641">
        <w:t xml:space="preserve"> de </w:t>
      </w:r>
      <w:proofErr w:type="spellStart"/>
      <w:r w:rsidRPr="00501641">
        <w:t>conocimientos</w:t>
      </w:r>
      <w:proofErr w:type="spellEnd"/>
      <w:r w:rsidRPr="00501641">
        <w:t xml:space="preserve"> y </w:t>
      </w:r>
      <w:proofErr w:type="spellStart"/>
      <w:r w:rsidRPr="00501641">
        <w:t>mejores</w:t>
      </w:r>
      <w:proofErr w:type="spellEnd"/>
      <w:r w:rsidRPr="00501641">
        <w:t xml:space="preserve"> </w:t>
      </w:r>
      <w:proofErr w:type="spellStart"/>
      <w:r w:rsidRPr="00501641">
        <w:t>prácticas</w:t>
      </w:r>
      <w:proofErr w:type="spellEnd"/>
      <w:r w:rsidRPr="00501641">
        <w:t xml:space="preserve"> para </w:t>
      </w:r>
      <w:proofErr w:type="spellStart"/>
      <w:r w:rsidRPr="00501641">
        <w:t>impulsar</w:t>
      </w:r>
      <w:proofErr w:type="spellEnd"/>
      <w:r w:rsidRPr="00501641">
        <w:t xml:space="preserve"> la </w:t>
      </w:r>
      <w:proofErr w:type="spellStart"/>
      <w:r w:rsidRPr="00501641">
        <w:t>gestión</w:t>
      </w:r>
      <w:proofErr w:type="spellEnd"/>
      <w:r w:rsidRPr="00501641">
        <w:t xml:space="preserve"> de las zonas </w:t>
      </w:r>
      <w:proofErr w:type="spellStart"/>
      <w:r w:rsidRPr="00501641">
        <w:t>costeras</w:t>
      </w:r>
      <w:proofErr w:type="spellEnd"/>
      <w:r w:rsidRPr="00501641">
        <w:t xml:space="preserve">, la </w:t>
      </w:r>
      <w:proofErr w:type="spellStart"/>
      <w:r w:rsidRPr="00501641">
        <w:t>planificación</w:t>
      </w:r>
      <w:proofErr w:type="spellEnd"/>
      <w:r w:rsidRPr="00501641">
        <w:t xml:space="preserve"> </w:t>
      </w:r>
      <w:proofErr w:type="spellStart"/>
      <w:r w:rsidRPr="00501641">
        <w:t>espacial</w:t>
      </w:r>
      <w:proofErr w:type="spellEnd"/>
      <w:r w:rsidRPr="00501641">
        <w:t xml:space="preserve"> marina y la </w:t>
      </w:r>
      <w:proofErr w:type="spellStart"/>
      <w:r w:rsidRPr="00501641">
        <w:t>gestión</w:t>
      </w:r>
      <w:proofErr w:type="spellEnd"/>
      <w:r w:rsidRPr="00501641">
        <w:t xml:space="preserve"> de los </w:t>
      </w:r>
      <w:proofErr w:type="spellStart"/>
      <w:r w:rsidRPr="00501641">
        <w:t>ecosistemas</w:t>
      </w:r>
      <w:proofErr w:type="spellEnd"/>
      <w:r w:rsidRPr="00501641">
        <w:t xml:space="preserve"> </w:t>
      </w:r>
      <w:proofErr w:type="spellStart"/>
      <w:r w:rsidRPr="00501641">
        <w:t>marinos</w:t>
      </w:r>
      <w:proofErr w:type="spellEnd"/>
      <w:r w:rsidRPr="00501641">
        <w:t xml:space="preserve">, con el fin de </w:t>
      </w:r>
      <w:proofErr w:type="spellStart"/>
      <w:r w:rsidRPr="00501641">
        <w:t>generar</w:t>
      </w:r>
      <w:proofErr w:type="spellEnd"/>
      <w:r w:rsidRPr="00501641">
        <w:t xml:space="preserve"> </w:t>
      </w:r>
      <w:proofErr w:type="spellStart"/>
      <w:r w:rsidRPr="00501641">
        <w:t>más</w:t>
      </w:r>
      <w:proofErr w:type="spellEnd"/>
      <w:r w:rsidRPr="00501641">
        <w:t xml:space="preserve"> </w:t>
      </w:r>
      <w:proofErr w:type="spellStart"/>
      <w:r w:rsidRPr="00501641">
        <w:t>riqueza</w:t>
      </w:r>
      <w:proofErr w:type="spellEnd"/>
      <w:r w:rsidRPr="00501641">
        <w:t xml:space="preserve"> y </w:t>
      </w:r>
      <w:proofErr w:type="spellStart"/>
      <w:r w:rsidRPr="00501641">
        <w:t>ayudar</w:t>
      </w:r>
      <w:proofErr w:type="spellEnd"/>
      <w:r w:rsidRPr="00501641">
        <w:t xml:space="preserve"> a </w:t>
      </w:r>
      <w:proofErr w:type="spellStart"/>
      <w:r w:rsidRPr="00501641">
        <w:t>hacer</w:t>
      </w:r>
      <w:proofErr w:type="spellEnd"/>
      <w:r w:rsidRPr="00501641">
        <w:t xml:space="preserve"> </w:t>
      </w:r>
      <w:proofErr w:type="spellStart"/>
      <w:r w:rsidRPr="00501641">
        <w:t>frente</w:t>
      </w:r>
      <w:proofErr w:type="spellEnd"/>
      <w:r w:rsidRPr="00501641">
        <w:t xml:space="preserve"> a las </w:t>
      </w:r>
      <w:proofErr w:type="spellStart"/>
      <w:r w:rsidRPr="00501641">
        <w:t>diversas</w:t>
      </w:r>
      <w:proofErr w:type="spellEnd"/>
      <w:r w:rsidRPr="00501641">
        <w:t xml:space="preserve"> </w:t>
      </w:r>
      <w:proofErr w:type="spellStart"/>
      <w:r w:rsidRPr="00501641">
        <w:t>manifestaciones</w:t>
      </w:r>
      <w:proofErr w:type="spellEnd"/>
      <w:r w:rsidRPr="00501641">
        <w:t xml:space="preserve"> del </w:t>
      </w:r>
      <w:proofErr w:type="spellStart"/>
      <w:r w:rsidRPr="00501641">
        <w:t>cambio</w:t>
      </w:r>
      <w:proofErr w:type="spellEnd"/>
      <w:r w:rsidRPr="00501641">
        <w:t xml:space="preserve"> </w:t>
      </w:r>
      <w:proofErr w:type="spellStart"/>
      <w:r w:rsidRPr="00501641">
        <w:t>climático</w:t>
      </w:r>
      <w:proofErr w:type="spellEnd"/>
      <w:r w:rsidRPr="00501641">
        <w:t xml:space="preserve">. Para </w:t>
      </w:r>
      <w:proofErr w:type="spellStart"/>
      <w:r w:rsidRPr="00501641">
        <w:t>alcanzar</w:t>
      </w:r>
      <w:proofErr w:type="spellEnd"/>
      <w:r w:rsidRPr="00501641">
        <w:t xml:space="preserve"> </w:t>
      </w:r>
      <w:proofErr w:type="spellStart"/>
      <w:r w:rsidRPr="00501641">
        <w:t>estos</w:t>
      </w:r>
      <w:proofErr w:type="spellEnd"/>
      <w:r w:rsidRPr="00501641">
        <w:t xml:space="preserve"> </w:t>
      </w:r>
      <w:proofErr w:type="spellStart"/>
      <w:r w:rsidRPr="00501641">
        <w:t>ambiciosos</w:t>
      </w:r>
      <w:proofErr w:type="spellEnd"/>
      <w:r w:rsidRPr="00501641">
        <w:t xml:space="preserve"> </w:t>
      </w:r>
      <w:proofErr w:type="spellStart"/>
      <w:r w:rsidRPr="00501641">
        <w:t>objetivos</w:t>
      </w:r>
      <w:proofErr w:type="spellEnd"/>
      <w:r w:rsidRPr="00501641">
        <w:t xml:space="preserve"> </w:t>
      </w:r>
      <w:proofErr w:type="spellStart"/>
      <w:r w:rsidRPr="00501641">
        <w:t>será</w:t>
      </w:r>
      <w:proofErr w:type="spellEnd"/>
      <w:r w:rsidRPr="00501641">
        <w:t xml:space="preserve"> </w:t>
      </w:r>
      <w:proofErr w:type="spellStart"/>
      <w:r w:rsidRPr="00501641">
        <w:t>necesario</w:t>
      </w:r>
      <w:proofErr w:type="spellEnd"/>
      <w:r w:rsidRPr="00501641">
        <w:t xml:space="preserve"> </w:t>
      </w:r>
      <w:proofErr w:type="spellStart"/>
      <w:r w:rsidRPr="00501641">
        <w:t>movilizar</w:t>
      </w:r>
      <w:proofErr w:type="spellEnd"/>
      <w:r w:rsidRPr="00501641">
        <w:t xml:space="preserve"> </w:t>
      </w:r>
      <w:proofErr w:type="spellStart"/>
      <w:r w:rsidRPr="00501641">
        <w:t>recursos</w:t>
      </w:r>
      <w:proofErr w:type="spellEnd"/>
      <w:r w:rsidRPr="00501641">
        <w:t xml:space="preserve"> </w:t>
      </w:r>
      <w:proofErr w:type="spellStart"/>
      <w:r w:rsidRPr="00501641">
        <w:t>sustanciales</w:t>
      </w:r>
      <w:proofErr w:type="spellEnd"/>
      <w:r w:rsidRPr="00501641">
        <w:t xml:space="preserve"> y </w:t>
      </w:r>
      <w:proofErr w:type="spellStart"/>
      <w:r w:rsidRPr="00501641">
        <w:t>coordinar</w:t>
      </w:r>
      <w:proofErr w:type="spellEnd"/>
      <w:r w:rsidRPr="00501641">
        <w:t xml:space="preserve"> los </w:t>
      </w:r>
      <w:proofErr w:type="spellStart"/>
      <w:r w:rsidRPr="00501641">
        <w:t>esfuerzos</w:t>
      </w:r>
      <w:proofErr w:type="spellEnd"/>
      <w:r w:rsidRPr="00501641">
        <w:t xml:space="preserve"> </w:t>
      </w:r>
      <w:proofErr w:type="spellStart"/>
      <w:r w:rsidRPr="00501641">
        <w:t>nacionales</w:t>
      </w:r>
      <w:proofErr w:type="spellEnd"/>
      <w:r w:rsidRPr="00501641">
        <w:t xml:space="preserve">, </w:t>
      </w:r>
      <w:proofErr w:type="spellStart"/>
      <w:r w:rsidRPr="00501641">
        <w:t>bilaterales</w:t>
      </w:r>
      <w:proofErr w:type="spellEnd"/>
      <w:r w:rsidRPr="00501641">
        <w:t xml:space="preserve"> y </w:t>
      </w:r>
      <w:proofErr w:type="spellStart"/>
      <w:r w:rsidRPr="00501641">
        <w:t>multilaterales</w:t>
      </w:r>
      <w:proofErr w:type="spellEnd"/>
      <w:r w:rsidRPr="00501641">
        <w:t xml:space="preserve">. El Decenio del </w:t>
      </w:r>
      <w:proofErr w:type="spellStart"/>
      <w:r w:rsidRPr="00501641">
        <w:t>Océano</w:t>
      </w:r>
      <w:proofErr w:type="spellEnd"/>
      <w:r w:rsidRPr="00501641">
        <w:t xml:space="preserve">, </w:t>
      </w:r>
      <w:proofErr w:type="spellStart"/>
      <w:r w:rsidRPr="00501641">
        <w:t>coordinado</w:t>
      </w:r>
      <w:proofErr w:type="spellEnd"/>
      <w:r w:rsidRPr="00501641">
        <w:t xml:space="preserve"> por la COI, </w:t>
      </w:r>
      <w:proofErr w:type="spellStart"/>
      <w:r w:rsidRPr="00501641">
        <w:t>permitirá</w:t>
      </w:r>
      <w:proofErr w:type="spellEnd"/>
      <w:r w:rsidRPr="00501641">
        <w:t xml:space="preserve"> </w:t>
      </w:r>
      <w:proofErr w:type="spellStart"/>
      <w:r w:rsidRPr="00501641">
        <w:t>dar</w:t>
      </w:r>
      <w:proofErr w:type="spellEnd"/>
      <w:r w:rsidRPr="00501641">
        <w:t xml:space="preserve"> </w:t>
      </w:r>
      <w:proofErr w:type="spellStart"/>
      <w:r w:rsidRPr="00501641">
        <w:t>continuidad</w:t>
      </w:r>
      <w:proofErr w:type="spellEnd"/>
      <w:r w:rsidRPr="00501641">
        <w:t xml:space="preserve"> al </w:t>
      </w:r>
      <w:proofErr w:type="spellStart"/>
      <w:r w:rsidRPr="00501641">
        <w:t>impulso</w:t>
      </w:r>
      <w:proofErr w:type="spellEnd"/>
      <w:r w:rsidRPr="00501641">
        <w:t xml:space="preserve"> del Decenio de los Mares y </w:t>
      </w:r>
      <w:proofErr w:type="spellStart"/>
      <w:r w:rsidRPr="00501641">
        <w:t>Océanos</w:t>
      </w:r>
      <w:proofErr w:type="spellEnd"/>
      <w:r w:rsidRPr="00501641">
        <w:t xml:space="preserve"> </w:t>
      </w:r>
      <w:proofErr w:type="spellStart"/>
      <w:r w:rsidRPr="00501641">
        <w:t>Africanos</w:t>
      </w:r>
      <w:proofErr w:type="spellEnd"/>
      <w:r w:rsidRPr="00501641">
        <w:t xml:space="preserve"> (2015-2025) y </w:t>
      </w:r>
      <w:proofErr w:type="spellStart"/>
      <w:r w:rsidRPr="00501641">
        <w:t>establecer</w:t>
      </w:r>
      <w:proofErr w:type="spellEnd"/>
      <w:r w:rsidRPr="00501641">
        <w:t xml:space="preserve"> </w:t>
      </w:r>
      <w:proofErr w:type="spellStart"/>
      <w:r w:rsidRPr="00501641">
        <w:t>sinergias</w:t>
      </w:r>
      <w:proofErr w:type="spellEnd"/>
      <w:r w:rsidRPr="00501641">
        <w:t xml:space="preserve"> con las </w:t>
      </w:r>
      <w:proofErr w:type="spellStart"/>
      <w:r w:rsidRPr="00501641">
        <w:t>iniciativas</w:t>
      </w:r>
      <w:proofErr w:type="spellEnd"/>
      <w:r w:rsidRPr="00501641">
        <w:t xml:space="preserve"> de la Unión Africana.</w:t>
      </w:r>
    </w:p>
    <w:p w14:paraId="6644DA62" w14:textId="0503B8AE" w:rsidR="00427F27" w:rsidRPr="00501641" w:rsidRDefault="00D56958" w:rsidP="00427F27">
      <w:pPr>
        <w:pStyle w:val="Marge"/>
        <w:tabs>
          <w:tab w:val="clear" w:pos="567"/>
          <w:tab w:val="left" w:pos="1162"/>
        </w:tabs>
        <w:spacing w:line="240" w:lineRule="auto"/>
        <w:rPr>
          <w:b/>
          <w:bCs/>
          <w:i/>
          <w:iCs/>
        </w:rPr>
      </w:pPr>
      <w:proofErr w:type="spellStart"/>
      <w:r w:rsidRPr="00501641">
        <w:rPr>
          <w:b/>
          <w:bCs/>
          <w:i/>
          <w:iCs/>
        </w:rPr>
        <w:t>Prioridad</w:t>
      </w:r>
      <w:proofErr w:type="spellEnd"/>
      <w:r w:rsidRPr="00501641">
        <w:rPr>
          <w:b/>
          <w:bCs/>
          <w:i/>
          <w:iCs/>
        </w:rPr>
        <w:t xml:space="preserve"> global “</w:t>
      </w:r>
      <w:proofErr w:type="spellStart"/>
      <w:r w:rsidRPr="00501641">
        <w:rPr>
          <w:b/>
          <w:bCs/>
          <w:i/>
          <w:iCs/>
        </w:rPr>
        <w:t>Igualdad</w:t>
      </w:r>
      <w:proofErr w:type="spellEnd"/>
      <w:r w:rsidRPr="00501641">
        <w:rPr>
          <w:b/>
          <w:bCs/>
          <w:i/>
          <w:iCs/>
        </w:rPr>
        <w:t xml:space="preserve"> de </w:t>
      </w:r>
      <w:proofErr w:type="spellStart"/>
      <w:r w:rsidRPr="00501641">
        <w:rPr>
          <w:b/>
          <w:bCs/>
          <w:i/>
          <w:iCs/>
        </w:rPr>
        <w:t>género</w:t>
      </w:r>
      <w:proofErr w:type="spellEnd"/>
      <w:r w:rsidRPr="00501641">
        <w:rPr>
          <w:b/>
          <w:bCs/>
          <w:i/>
          <w:iCs/>
        </w:rPr>
        <w:t>”</w:t>
      </w:r>
    </w:p>
    <w:p w14:paraId="52BA811C" w14:textId="0C8C3612" w:rsidR="00427F27" w:rsidRPr="00501641" w:rsidRDefault="00427F27" w:rsidP="00427F27">
      <w:pPr>
        <w:pStyle w:val="Marge"/>
        <w:tabs>
          <w:tab w:val="clear" w:pos="567"/>
          <w:tab w:val="left" w:pos="1162"/>
        </w:tabs>
        <w:spacing w:line="240" w:lineRule="auto"/>
      </w:pPr>
      <w:r w:rsidRPr="00501641">
        <w:rPr>
          <w:bdr w:val="single" w:sz="4" w:space="0" w:color="auto"/>
        </w:rPr>
        <w:t>03012</w:t>
      </w:r>
      <w:r w:rsidRPr="00501641">
        <w:tab/>
        <w:t xml:space="preserve">La </w:t>
      </w:r>
      <w:proofErr w:type="spellStart"/>
      <w:r w:rsidRPr="00501641">
        <w:t>contribución</w:t>
      </w:r>
      <w:proofErr w:type="spellEnd"/>
      <w:r w:rsidRPr="00501641">
        <w:t xml:space="preserve"> de la COI a la </w:t>
      </w:r>
      <w:proofErr w:type="spellStart"/>
      <w:r w:rsidRPr="00501641">
        <w:t>prioridad</w:t>
      </w:r>
      <w:proofErr w:type="spellEnd"/>
      <w:r w:rsidRPr="00501641">
        <w:t xml:space="preserve"> global “</w:t>
      </w:r>
      <w:proofErr w:type="spellStart"/>
      <w:r w:rsidRPr="00501641">
        <w:t>Igualdad</w:t>
      </w:r>
      <w:proofErr w:type="spellEnd"/>
      <w:r w:rsidRPr="00501641">
        <w:t xml:space="preserve"> de </w:t>
      </w:r>
      <w:proofErr w:type="spellStart"/>
      <w:r w:rsidRPr="00501641">
        <w:t>género</w:t>
      </w:r>
      <w:proofErr w:type="spellEnd"/>
      <w:r w:rsidRPr="00501641">
        <w:t xml:space="preserve">” se </w:t>
      </w:r>
      <w:proofErr w:type="spellStart"/>
      <w:r w:rsidRPr="00501641">
        <w:t>concentrará</w:t>
      </w:r>
      <w:proofErr w:type="spellEnd"/>
      <w:r w:rsidRPr="00501641">
        <w:t xml:space="preserve"> </w:t>
      </w:r>
      <w:proofErr w:type="spellStart"/>
      <w:r w:rsidRPr="00501641">
        <w:t>en</w:t>
      </w:r>
      <w:proofErr w:type="spellEnd"/>
      <w:r w:rsidRPr="00501641">
        <w:t xml:space="preserve"> particular </w:t>
      </w:r>
      <w:proofErr w:type="spellStart"/>
      <w:r w:rsidRPr="00501641">
        <w:t>en</w:t>
      </w:r>
      <w:proofErr w:type="spellEnd"/>
      <w:r w:rsidRPr="00501641">
        <w:t xml:space="preserve"> velar por que la </w:t>
      </w:r>
      <w:proofErr w:type="spellStart"/>
      <w:r w:rsidRPr="00501641">
        <w:t>cooperación</w:t>
      </w:r>
      <w:proofErr w:type="spellEnd"/>
      <w:r w:rsidRPr="00501641">
        <w:t xml:space="preserve"> </w:t>
      </w:r>
      <w:proofErr w:type="spellStart"/>
      <w:r w:rsidRPr="00501641">
        <w:t>científica</w:t>
      </w:r>
      <w:proofErr w:type="spellEnd"/>
      <w:r w:rsidRPr="00501641">
        <w:t xml:space="preserve"> </w:t>
      </w:r>
      <w:proofErr w:type="spellStart"/>
      <w:r w:rsidRPr="00501641">
        <w:t>internacional</w:t>
      </w:r>
      <w:proofErr w:type="spellEnd"/>
      <w:r w:rsidRPr="00501641">
        <w:t xml:space="preserve"> </w:t>
      </w:r>
      <w:proofErr w:type="spellStart"/>
      <w:r w:rsidRPr="00501641">
        <w:t>en</w:t>
      </w:r>
      <w:proofErr w:type="spellEnd"/>
      <w:r w:rsidRPr="00501641">
        <w:t xml:space="preserve"> pro de la </w:t>
      </w:r>
      <w:proofErr w:type="spellStart"/>
      <w:r w:rsidRPr="00501641">
        <w:t>paz</w:t>
      </w:r>
      <w:proofErr w:type="spellEnd"/>
      <w:r w:rsidRPr="00501641">
        <w:t xml:space="preserve"> y la </w:t>
      </w:r>
      <w:proofErr w:type="spellStart"/>
      <w:r w:rsidRPr="00501641">
        <w:t>sostenibilidad</w:t>
      </w:r>
      <w:proofErr w:type="spellEnd"/>
      <w:r w:rsidRPr="00501641">
        <w:t xml:space="preserve"> </w:t>
      </w:r>
      <w:proofErr w:type="spellStart"/>
      <w:r w:rsidRPr="00501641">
        <w:t>promueva</w:t>
      </w:r>
      <w:proofErr w:type="spellEnd"/>
      <w:r w:rsidRPr="00501641">
        <w:t xml:space="preserve"> la </w:t>
      </w:r>
      <w:proofErr w:type="spellStart"/>
      <w:r w:rsidRPr="00501641">
        <w:t>igualdad</w:t>
      </w:r>
      <w:proofErr w:type="spellEnd"/>
      <w:r w:rsidRPr="00501641">
        <w:t xml:space="preserve"> de </w:t>
      </w:r>
      <w:proofErr w:type="spellStart"/>
      <w:r w:rsidRPr="00501641">
        <w:t>representación</w:t>
      </w:r>
      <w:proofErr w:type="spellEnd"/>
      <w:r w:rsidRPr="00501641">
        <w:t xml:space="preserve"> y </w:t>
      </w:r>
      <w:proofErr w:type="spellStart"/>
      <w:r w:rsidRPr="00501641">
        <w:t>participación</w:t>
      </w:r>
      <w:proofErr w:type="spellEnd"/>
      <w:r w:rsidRPr="00501641">
        <w:t xml:space="preserve"> de </w:t>
      </w:r>
      <w:proofErr w:type="spellStart"/>
      <w:r w:rsidRPr="00501641">
        <w:t>mujeres</w:t>
      </w:r>
      <w:proofErr w:type="spellEnd"/>
      <w:r w:rsidRPr="00501641">
        <w:t xml:space="preserve"> y hombres, y por que se </w:t>
      </w:r>
      <w:proofErr w:type="spellStart"/>
      <w:r w:rsidRPr="00501641">
        <w:t>favorezcan</w:t>
      </w:r>
      <w:proofErr w:type="spellEnd"/>
      <w:r w:rsidRPr="00501641">
        <w:t xml:space="preserve"> </w:t>
      </w:r>
      <w:proofErr w:type="spellStart"/>
      <w:r w:rsidRPr="00501641">
        <w:t>en</w:t>
      </w:r>
      <w:proofErr w:type="spellEnd"/>
      <w:r w:rsidRPr="00501641">
        <w:t xml:space="preserve"> pie de </w:t>
      </w:r>
      <w:proofErr w:type="spellStart"/>
      <w:r w:rsidRPr="00501641">
        <w:t>igualdad</w:t>
      </w:r>
      <w:proofErr w:type="spellEnd"/>
      <w:r w:rsidRPr="00501641">
        <w:t xml:space="preserve"> las </w:t>
      </w:r>
      <w:proofErr w:type="spellStart"/>
      <w:r w:rsidRPr="00501641">
        <w:t>condiciones</w:t>
      </w:r>
      <w:proofErr w:type="spellEnd"/>
      <w:r w:rsidRPr="00501641">
        <w:t xml:space="preserve"> </w:t>
      </w:r>
      <w:proofErr w:type="spellStart"/>
      <w:r w:rsidRPr="00501641">
        <w:t>necesarias</w:t>
      </w:r>
      <w:proofErr w:type="spellEnd"/>
      <w:r w:rsidRPr="00501641">
        <w:t xml:space="preserve"> para que </w:t>
      </w:r>
      <w:proofErr w:type="spellStart"/>
      <w:r w:rsidRPr="00501641">
        <w:t>mujeres</w:t>
      </w:r>
      <w:proofErr w:type="spellEnd"/>
      <w:r w:rsidRPr="00501641">
        <w:t xml:space="preserve"> y hombres </w:t>
      </w:r>
      <w:proofErr w:type="spellStart"/>
      <w:r w:rsidRPr="00501641">
        <w:t>puedan</w:t>
      </w:r>
      <w:proofErr w:type="spellEnd"/>
      <w:r w:rsidRPr="00501641">
        <w:t xml:space="preserve"> ser </w:t>
      </w:r>
      <w:proofErr w:type="spellStart"/>
      <w:r w:rsidRPr="00501641">
        <w:t>agentes</w:t>
      </w:r>
      <w:proofErr w:type="spellEnd"/>
      <w:r w:rsidRPr="00501641">
        <w:t xml:space="preserve"> de </w:t>
      </w:r>
      <w:proofErr w:type="spellStart"/>
      <w:r w:rsidRPr="00501641">
        <w:t>mitigación</w:t>
      </w:r>
      <w:proofErr w:type="spellEnd"/>
      <w:r w:rsidRPr="00501641">
        <w:t xml:space="preserve">, </w:t>
      </w:r>
      <w:proofErr w:type="spellStart"/>
      <w:r w:rsidRPr="00501641">
        <w:t>adaptación</w:t>
      </w:r>
      <w:proofErr w:type="spellEnd"/>
      <w:r w:rsidRPr="00501641">
        <w:t xml:space="preserve">, </w:t>
      </w:r>
      <w:proofErr w:type="spellStart"/>
      <w:r w:rsidRPr="00501641">
        <w:t>resiliencia</w:t>
      </w:r>
      <w:proofErr w:type="spellEnd"/>
      <w:r w:rsidRPr="00501641">
        <w:t xml:space="preserve"> y </w:t>
      </w:r>
      <w:proofErr w:type="spellStart"/>
      <w:r w:rsidRPr="00501641">
        <w:t>sostenibilidad</w:t>
      </w:r>
      <w:proofErr w:type="spellEnd"/>
      <w:r w:rsidRPr="00501641">
        <w:t xml:space="preserve">. La COI </w:t>
      </w:r>
      <w:proofErr w:type="spellStart"/>
      <w:r w:rsidRPr="00501641">
        <w:t>seguirá</w:t>
      </w:r>
      <w:proofErr w:type="spellEnd"/>
      <w:r w:rsidRPr="00501641">
        <w:t xml:space="preserve"> </w:t>
      </w:r>
      <w:proofErr w:type="spellStart"/>
      <w:r w:rsidRPr="00501641">
        <w:t>examinando</w:t>
      </w:r>
      <w:proofErr w:type="spellEnd"/>
      <w:r w:rsidRPr="00501641">
        <w:t xml:space="preserve"> la </w:t>
      </w:r>
      <w:proofErr w:type="spellStart"/>
      <w:r w:rsidRPr="00501641">
        <w:t>situación</w:t>
      </w:r>
      <w:proofErr w:type="spellEnd"/>
      <w:r w:rsidRPr="00501641">
        <w:t xml:space="preserve"> de la </w:t>
      </w:r>
      <w:proofErr w:type="spellStart"/>
      <w:r w:rsidRPr="00501641">
        <w:t>igualdad</w:t>
      </w:r>
      <w:proofErr w:type="spellEnd"/>
      <w:r w:rsidRPr="00501641">
        <w:t xml:space="preserve"> de </w:t>
      </w:r>
      <w:proofErr w:type="spellStart"/>
      <w:r w:rsidRPr="00501641">
        <w:t>género</w:t>
      </w:r>
      <w:proofErr w:type="spellEnd"/>
      <w:r w:rsidRPr="00501641">
        <w:t xml:space="preserve"> </w:t>
      </w:r>
      <w:proofErr w:type="spellStart"/>
      <w:r w:rsidRPr="00501641">
        <w:t>en</w:t>
      </w:r>
      <w:proofErr w:type="spellEnd"/>
      <w:r w:rsidRPr="00501641">
        <w:t xml:space="preserve"> las </w:t>
      </w:r>
      <w:proofErr w:type="spellStart"/>
      <w:r w:rsidRPr="00501641">
        <w:t>ciencias</w:t>
      </w:r>
      <w:proofErr w:type="spellEnd"/>
      <w:r w:rsidRPr="00501641">
        <w:t xml:space="preserve"> </w:t>
      </w:r>
      <w:proofErr w:type="spellStart"/>
      <w:r w:rsidRPr="00501641">
        <w:t>oceánicas</w:t>
      </w:r>
      <w:proofErr w:type="spellEnd"/>
      <w:r w:rsidRPr="00501641">
        <w:t xml:space="preserve">. </w:t>
      </w:r>
      <w:proofErr w:type="spellStart"/>
      <w:r w:rsidRPr="00501641">
        <w:t>En</w:t>
      </w:r>
      <w:proofErr w:type="spellEnd"/>
      <w:r w:rsidRPr="00501641">
        <w:t xml:space="preserve"> el portal del Informe Mundial </w:t>
      </w:r>
      <w:proofErr w:type="spellStart"/>
      <w:r w:rsidRPr="00501641">
        <w:t>sobre</w:t>
      </w:r>
      <w:proofErr w:type="spellEnd"/>
      <w:r w:rsidRPr="00501641">
        <w:t xml:space="preserve"> las </w:t>
      </w:r>
      <w:proofErr w:type="spellStart"/>
      <w:r w:rsidRPr="00501641">
        <w:t>Ciencias</w:t>
      </w:r>
      <w:proofErr w:type="spellEnd"/>
      <w:r w:rsidRPr="00501641">
        <w:t xml:space="preserve"> </w:t>
      </w:r>
      <w:proofErr w:type="spellStart"/>
      <w:r w:rsidRPr="00501641">
        <w:t>Oceánicas</w:t>
      </w:r>
      <w:proofErr w:type="spellEnd"/>
      <w:r w:rsidRPr="00501641">
        <w:t xml:space="preserve"> se </w:t>
      </w:r>
      <w:proofErr w:type="spellStart"/>
      <w:r w:rsidRPr="00501641">
        <w:t>recibirán</w:t>
      </w:r>
      <w:proofErr w:type="spellEnd"/>
      <w:r w:rsidRPr="00501641">
        <w:t xml:space="preserve"> </w:t>
      </w:r>
      <w:proofErr w:type="spellStart"/>
      <w:r w:rsidRPr="00501641">
        <w:t>datos</w:t>
      </w:r>
      <w:proofErr w:type="spellEnd"/>
      <w:r w:rsidRPr="00501641">
        <w:t xml:space="preserve"> </w:t>
      </w:r>
      <w:proofErr w:type="spellStart"/>
      <w:r w:rsidRPr="00501641">
        <w:t>importantes</w:t>
      </w:r>
      <w:proofErr w:type="spellEnd"/>
      <w:r w:rsidRPr="00501641">
        <w:t xml:space="preserve"> </w:t>
      </w:r>
      <w:proofErr w:type="spellStart"/>
      <w:r w:rsidRPr="00501641">
        <w:t>desglosados</w:t>
      </w:r>
      <w:proofErr w:type="spellEnd"/>
      <w:r w:rsidRPr="00501641">
        <w:t xml:space="preserve"> por </w:t>
      </w:r>
      <w:proofErr w:type="spellStart"/>
      <w:r w:rsidRPr="00501641">
        <w:t>sexo</w:t>
      </w:r>
      <w:proofErr w:type="spellEnd"/>
      <w:r w:rsidRPr="00501641">
        <w:t xml:space="preserve">, que se </w:t>
      </w:r>
      <w:proofErr w:type="spellStart"/>
      <w:r w:rsidRPr="00501641">
        <w:t>pondrán</w:t>
      </w:r>
      <w:proofErr w:type="spellEnd"/>
      <w:r w:rsidRPr="00501641">
        <w:t xml:space="preserve"> a </w:t>
      </w:r>
      <w:proofErr w:type="spellStart"/>
      <w:r w:rsidRPr="00501641">
        <w:t>disposición</w:t>
      </w:r>
      <w:proofErr w:type="spellEnd"/>
      <w:r w:rsidRPr="00501641">
        <w:t xml:space="preserve"> de los </w:t>
      </w:r>
      <w:proofErr w:type="spellStart"/>
      <w:r w:rsidRPr="00501641">
        <w:t>usuarios</w:t>
      </w:r>
      <w:proofErr w:type="spellEnd"/>
      <w:r w:rsidRPr="00501641">
        <w:t xml:space="preserve"> y </w:t>
      </w:r>
      <w:proofErr w:type="spellStart"/>
      <w:r w:rsidRPr="00501641">
        <w:t>orientarán</w:t>
      </w:r>
      <w:proofErr w:type="spellEnd"/>
      <w:r w:rsidRPr="00501641">
        <w:t xml:space="preserve"> las </w:t>
      </w:r>
      <w:proofErr w:type="spellStart"/>
      <w:r w:rsidRPr="00501641">
        <w:t>inversiones</w:t>
      </w:r>
      <w:proofErr w:type="spellEnd"/>
      <w:r w:rsidRPr="00501641">
        <w:t xml:space="preserve"> y las </w:t>
      </w:r>
      <w:proofErr w:type="spellStart"/>
      <w:r w:rsidRPr="00501641">
        <w:t>iniciativas</w:t>
      </w:r>
      <w:proofErr w:type="spellEnd"/>
      <w:r w:rsidRPr="00501641">
        <w:t xml:space="preserve"> de </w:t>
      </w:r>
      <w:proofErr w:type="spellStart"/>
      <w:r w:rsidRPr="00501641">
        <w:t>desarrollo</w:t>
      </w:r>
      <w:proofErr w:type="spellEnd"/>
      <w:r w:rsidRPr="00501641">
        <w:t xml:space="preserve"> de </w:t>
      </w:r>
      <w:proofErr w:type="spellStart"/>
      <w:r w:rsidRPr="00501641">
        <w:t>capacidades</w:t>
      </w:r>
      <w:proofErr w:type="spellEnd"/>
      <w:r w:rsidRPr="00501641">
        <w:t xml:space="preserve">. </w:t>
      </w:r>
      <w:proofErr w:type="spellStart"/>
      <w:r w:rsidRPr="00501641">
        <w:t>Asimismo</w:t>
      </w:r>
      <w:proofErr w:type="spellEnd"/>
      <w:r w:rsidRPr="00501641">
        <w:t xml:space="preserve">, la Comisión </w:t>
      </w:r>
      <w:proofErr w:type="spellStart"/>
      <w:r w:rsidRPr="00501641">
        <w:t>apoyará</w:t>
      </w:r>
      <w:proofErr w:type="spellEnd"/>
      <w:r w:rsidRPr="00501641">
        <w:t xml:space="preserve"> el </w:t>
      </w:r>
      <w:proofErr w:type="spellStart"/>
      <w:r w:rsidRPr="00501641">
        <w:t>establecimiento</w:t>
      </w:r>
      <w:proofErr w:type="spellEnd"/>
      <w:r w:rsidRPr="00501641">
        <w:t xml:space="preserve"> de redes de </w:t>
      </w:r>
      <w:proofErr w:type="spellStart"/>
      <w:r w:rsidRPr="00501641">
        <w:t>jóvenes</w:t>
      </w:r>
      <w:proofErr w:type="spellEnd"/>
      <w:r w:rsidRPr="00501641">
        <w:t xml:space="preserve"> </w:t>
      </w:r>
      <w:proofErr w:type="spellStart"/>
      <w:r w:rsidRPr="00501641">
        <w:t>profesionales</w:t>
      </w:r>
      <w:proofErr w:type="spellEnd"/>
      <w:r w:rsidRPr="00501641">
        <w:t xml:space="preserve"> y </w:t>
      </w:r>
      <w:proofErr w:type="spellStart"/>
      <w:r w:rsidRPr="00501641">
        <w:t>procurará</w:t>
      </w:r>
      <w:proofErr w:type="spellEnd"/>
      <w:r w:rsidRPr="00501641">
        <w:t xml:space="preserve"> </w:t>
      </w:r>
      <w:proofErr w:type="spellStart"/>
      <w:r w:rsidRPr="00501641">
        <w:t>fomentar</w:t>
      </w:r>
      <w:proofErr w:type="spellEnd"/>
      <w:r w:rsidRPr="00501641">
        <w:t xml:space="preserve"> </w:t>
      </w:r>
      <w:proofErr w:type="spellStart"/>
      <w:r w:rsidRPr="00501641">
        <w:t>su</w:t>
      </w:r>
      <w:proofErr w:type="spellEnd"/>
      <w:r w:rsidRPr="00501641">
        <w:t xml:space="preserve"> </w:t>
      </w:r>
      <w:proofErr w:type="spellStart"/>
      <w:r w:rsidRPr="00501641">
        <w:t>desarrollo</w:t>
      </w:r>
      <w:proofErr w:type="spellEnd"/>
      <w:r w:rsidRPr="00501641">
        <w:t xml:space="preserve"> </w:t>
      </w:r>
      <w:proofErr w:type="spellStart"/>
      <w:r w:rsidRPr="00501641">
        <w:t>profesional</w:t>
      </w:r>
      <w:proofErr w:type="spellEnd"/>
      <w:r w:rsidRPr="00501641">
        <w:t xml:space="preserve"> y </w:t>
      </w:r>
      <w:proofErr w:type="spellStart"/>
      <w:r w:rsidRPr="00501641">
        <w:t>su</w:t>
      </w:r>
      <w:proofErr w:type="spellEnd"/>
      <w:r w:rsidRPr="00501641">
        <w:t xml:space="preserve"> </w:t>
      </w:r>
      <w:proofErr w:type="spellStart"/>
      <w:r w:rsidRPr="00501641">
        <w:t>participación</w:t>
      </w:r>
      <w:proofErr w:type="spellEnd"/>
      <w:r w:rsidRPr="00501641">
        <w:t xml:space="preserve"> </w:t>
      </w:r>
      <w:proofErr w:type="spellStart"/>
      <w:r w:rsidRPr="00501641">
        <w:t>equitativa</w:t>
      </w:r>
      <w:proofErr w:type="spellEnd"/>
      <w:r w:rsidRPr="00501641">
        <w:t xml:space="preserve"> y con </w:t>
      </w:r>
      <w:proofErr w:type="spellStart"/>
      <w:r w:rsidRPr="00501641">
        <w:t>equilibrio</w:t>
      </w:r>
      <w:proofErr w:type="spellEnd"/>
      <w:r w:rsidRPr="00501641">
        <w:t xml:space="preserve"> de </w:t>
      </w:r>
      <w:proofErr w:type="spellStart"/>
      <w:r w:rsidRPr="00501641">
        <w:t>género</w:t>
      </w:r>
      <w:proofErr w:type="spellEnd"/>
      <w:r w:rsidRPr="00501641">
        <w:t xml:space="preserve"> </w:t>
      </w:r>
      <w:proofErr w:type="spellStart"/>
      <w:r w:rsidRPr="00501641">
        <w:t>en</w:t>
      </w:r>
      <w:proofErr w:type="spellEnd"/>
      <w:r w:rsidRPr="00501641">
        <w:t xml:space="preserve"> las </w:t>
      </w:r>
      <w:proofErr w:type="spellStart"/>
      <w:r w:rsidRPr="00501641">
        <w:t>cuestiones</w:t>
      </w:r>
      <w:proofErr w:type="spellEnd"/>
      <w:r w:rsidRPr="00501641">
        <w:t xml:space="preserve"> </w:t>
      </w:r>
      <w:proofErr w:type="spellStart"/>
      <w:r w:rsidRPr="00501641">
        <w:t>oceánicas</w:t>
      </w:r>
      <w:proofErr w:type="spellEnd"/>
      <w:r w:rsidRPr="00501641">
        <w:t>.</w:t>
      </w:r>
    </w:p>
    <w:p w14:paraId="5B81B92C" w14:textId="71786E1D" w:rsidR="00427F27" w:rsidRPr="00501641" w:rsidRDefault="00D56958" w:rsidP="00427F27">
      <w:pPr>
        <w:pStyle w:val="Marge"/>
        <w:tabs>
          <w:tab w:val="clear" w:pos="567"/>
          <w:tab w:val="left" w:pos="1162"/>
        </w:tabs>
        <w:spacing w:line="240" w:lineRule="auto"/>
        <w:rPr>
          <w:b/>
          <w:bCs/>
          <w:i/>
          <w:iCs/>
        </w:rPr>
      </w:pPr>
      <w:proofErr w:type="spellStart"/>
      <w:r w:rsidRPr="00501641">
        <w:rPr>
          <w:b/>
          <w:bCs/>
          <w:i/>
          <w:iCs/>
        </w:rPr>
        <w:t>Grupos</w:t>
      </w:r>
      <w:proofErr w:type="spellEnd"/>
      <w:r w:rsidRPr="00501641">
        <w:rPr>
          <w:b/>
          <w:bCs/>
          <w:i/>
          <w:iCs/>
        </w:rPr>
        <w:t xml:space="preserve"> </w:t>
      </w:r>
      <w:proofErr w:type="spellStart"/>
      <w:r w:rsidRPr="00501641">
        <w:rPr>
          <w:b/>
          <w:bCs/>
          <w:i/>
          <w:iCs/>
        </w:rPr>
        <w:t>prioritarios</w:t>
      </w:r>
      <w:proofErr w:type="spellEnd"/>
      <w:r w:rsidRPr="00501641">
        <w:rPr>
          <w:b/>
          <w:bCs/>
          <w:i/>
          <w:iCs/>
        </w:rPr>
        <w:t xml:space="preserve"> </w:t>
      </w:r>
    </w:p>
    <w:p w14:paraId="32EEEAF6" w14:textId="31C39D67" w:rsidR="00427F27" w:rsidRPr="00501641" w:rsidRDefault="00427F27" w:rsidP="00427F27">
      <w:pPr>
        <w:pStyle w:val="Marge"/>
        <w:tabs>
          <w:tab w:val="clear" w:pos="567"/>
          <w:tab w:val="left" w:pos="1162"/>
        </w:tabs>
        <w:spacing w:line="240" w:lineRule="auto"/>
      </w:pPr>
      <w:r w:rsidRPr="00501641">
        <w:rPr>
          <w:bdr w:val="single" w:sz="4" w:space="0" w:color="auto"/>
        </w:rPr>
        <w:t>03013</w:t>
      </w:r>
      <w:r w:rsidRPr="00501641">
        <w:tab/>
        <w:t xml:space="preserve">La COI </w:t>
      </w:r>
      <w:proofErr w:type="spellStart"/>
      <w:r w:rsidRPr="00501641">
        <w:t>actuará</w:t>
      </w:r>
      <w:proofErr w:type="spellEnd"/>
      <w:r w:rsidRPr="00501641">
        <w:t xml:space="preserve"> </w:t>
      </w:r>
      <w:proofErr w:type="spellStart"/>
      <w:r w:rsidRPr="00501641">
        <w:t>como</w:t>
      </w:r>
      <w:proofErr w:type="spellEnd"/>
      <w:r w:rsidRPr="00501641">
        <w:t xml:space="preserve"> un </w:t>
      </w:r>
      <w:proofErr w:type="spellStart"/>
      <w:r w:rsidRPr="00501641">
        <w:t>firme</w:t>
      </w:r>
      <w:proofErr w:type="spellEnd"/>
      <w:r w:rsidRPr="00501641">
        <w:t xml:space="preserve"> </w:t>
      </w:r>
      <w:proofErr w:type="spellStart"/>
      <w:r w:rsidRPr="00501641">
        <w:t>defensor</w:t>
      </w:r>
      <w:proofErr w:type="spellEnd"/>
      <w:r w:rsidRPr="00501641">
        <w:t xml:space="preserve"> de los </w:t>
      </w:r>
      <w:proofErr w:type="spellStart"/>
      <w:r w:rsidRPr="00501641">
        <w:t>pequeños</w:t>
      </w:r>
      <w:proofErr w:type="spellEnd"/>
      <w:r w:rsidRPr="00501641">
        <w:t xml:space="preserve"> </w:t>
      </w:r>
      <w:proofErr w:type="spellStart"/>
      <w:r w:rsidRPr="00501641">
        <w:t>Estados</w:t>
      </w:r>
      <w:proofErr w:type="spellEnd"/>
      <w:r w:rsidRPr="00501641">
        <w:t xml:space="preserve"> </w:t>
      </w:r>
      <w:proofErr w:type="spellStart"/>
      <w:r w:rsidRPr="00501641">
        <w:t>insulares</w:t>
      </w:r>
      <w:proofErr w:type="spellEnd"/>
      <w:r w:rsidRPr="00501641">
        <w:t xml:space="preserve"> </w:t>
      </w:r>
      <w:proofErr w:type="spellStart"/>
      <w:r w:rsidRPr="00501641">
        <w:t>en</w:t>
      </w:r>
      <w:proofErr w:type="spellEnd"/>
      <w:r w:rsidRPr="00501641">
        <w:t xml:space="preserve"> </w:t>
      </w:r>
      <w:proofErr w:type="spellStart"/>
      <w:r w:rsidRPr="00501641">
        <w:t>desarrollo</w:t>
      </w:r>
      <w:proofErr w:type="spellEnd"/>
      <w:r w:rsidRPr="00501641">
        <w:t xml:space="preserve"> (PEID) </w:t>
      </w:r>
      <w:proofErr w:type="spellStart"/>
      <w:r w:rsidRPr="00501641">
        <w:t>guiándose</w:t>
      </w:r>
      <w:proofErr w:type="spellEnd"/>
      <w:r w:rsidRPr="00501641">
        <w:t xml:space="preserve"> por las </w:t>
      </w:r>
      <w:proofErr w:type="spellStart"/>
      <w:r w:rsidRPr="00501641">
        <w:t>Modalidades</w:t>
      </w:r>
      <w:proofErr w:type="spellEnd"/>
      <w:r w:rsidRPr="00501641">
        <w:t xml:space="preserve"> de Acción </w:t>
      </w:r>
      <w:proofErr w:type="spellStart"/>
      <w:r w:rsidRPr="00501641">
        <w:t>Acelerada</w:t>
      </w:r>
      <w:proofErr w:type="spellEnd"/>
      <w:r w:rsidRPr="00501641">
        <w:t xml:space="preserve"> para los </w:t>
      </w:r>
      <w:proofErr w:type="spellStart"/>
      <w:r w:rsidRPr="00501641">
        <w:t>Pequeños</w:t>
      </w:r>
      <w:proofErr w:type="spellEnd"/>
      <w:r w:rsidRPr="00501641">
        <w:t xml:space="preserve"> </w:t>
      </w:r>
      <w:proofErr w:type="spellStart"/>
      <w:r w:rsidRPr="00501641">
        <w:t>Estados</w:t>
      </w:r>
      <w:proofErr w:type="spellEnd"/>
      <w:r w:rsidRPr="00501641">
        <w:t xml:space="preserve"> </w:t>
      </w:r>
      <w:proofErr w:type="spellStart"/>
      <w:r w:rsidRPr="00501641">
        <w:t>Insulares</w:t>
      </w:r>
      <w:proofErr w:type="spellEnd"/>
      <w:r w:rsidRPr="00501641">
        <w:t xml:space="preserve"> </w:t>
      </w:r>
      <w:proofErr w:type="spellStart"/>
      <w:r w:rsidRPr="00501641">
        <w:t>en</w:t>
      </w:r>
      <w:proofErr w:type="spellEnd"/>
      <w:r w:rsidRPr="00501641">
        <w:t xml:space="preserve"> Desarrollo (</w:t>
      </w:r>
      <w:proofErr w:type="spellStart"/>
      <w:r w:rsidRPr="00501641">
        <w:t>Trayectoria</w:t>
      </w:r>
      <w:proofErr w:type="spellEnd"/>
      <w:r w:rsidRPr="00501641">
        <w:t xml:space="preserve"> de Samoa) y por el Plan de Acción de la UNESCO para los PEID, </w:t>
      </w:r>
      <w:proofErr w:type="spellStart"/>
      <w:r w:rsidRPr="00501641">
        <w:t>manteniendo</w:t>
      </w:r>
      <w:proofErr w:type="spellEnd"/>
      <w:r w:rsidRPr="00501641">
        <w:t xml:space="preserve"> un </w:t>
      </w:r>
      <w:proofErr w:type="spellStart"/>
      <w:r w:rsidRPr="00501641">
        <w:t>diálogo</w:t>
      </w:r>
      <w:proofErr w:type="spellEnd"/>
      <w:r w:rsidRPr="00501641">
        <w:t xml:space="preserve"> </w:t>
      </w:r>
      <w:proofErr w:type="spellStart"/>
      <w:r w:rsidRPr="00501641">
        <w:t>cada</w:t>
      </w:r>
      <w:proofErr w:type="spellEnd"/>
      <w:r w:rsidRPr="00501641">
        <w:t xml:space="preserve"> </w:t>
      </w:r>
      <w:proofErr w:type="spellStart"/>
      <w:r w:rsidRPr="00501641">
        <w:t>vez</w:t>
      </w:r>
      <w:proofErr w:type="spellEnd"/>
      <w:r w:rsidRPr="00501641">
        <w:t xml:space="preserve"> </w:t>
      </w:r>
      <w:proofErr w:type="spellStart"/>
      <w:r w:rsidRPr="00501641">
        <w:t>más</w:t>
      </w:r>
      <w:proofErr w:type="spellEnd"/>
      <w:r w:rsidRPr="00501641">
        <w:t xml:space="preserve"> </w:t>
      </w:r>
      <w:proofErr w:type="spellStart"/>
      <w:r w:rsidRPr="00501641">
        <w:t>intenso</w:t>
      </w:r>
      <w:proofErr w:type="spellEnd"/>
      <w:r w:rsidRPr="00501641">
        <w:t xml:space="preserve"> con los PEID y </w:t>
      </w:r>
      <w:proofErr w:type="spellStart"/>
      <w:r w:rsidRPr="00501641">
        <w:t>teniendo</w:t>
      </w:r>
      <w:proofErr w:type="spellEnd"/>
      <w:r w:rsidRPr="00501641">
        <w:t xml:space="preserve"> </w:t>
      </w:r>
      <w:proofErr w:type="spellStart"/>
      <w:r w:rsidRPr="00501641">
        <w:t>en</w:t>
      </w:r>
      <w:proofErr w:type="spellEnd"/>
      <w:r w:rsidRPr="00501641">
        <w:t xml:space="preserve"> </w:t>
      </w:r>
      <w:proofErr w:type="spellStart"/>
      <w:r w:rsidRPr="00501641">
        <w:t>cuenta</w:t>
      </w:r>
      <w:proofErr w:type="spellEnd"/>
      <w:r w:rsidRPr="00501641">
        <w:t xml:space="preserve"> la </w:t>
      </w:r>
      <w:proofErr w:type="spellStart"/>
      <w:r w:rsidRPr="00501641">
        <w:t>reciente</w:t>
      </w:r>
      <w:proofErr w:type="spellEnd"/>
      <w:r w:rsidRPr="00501641">
        <w:t xml:space="preserve"> </w:t>
      </w:r>
      <w:proofErr w:type="spellStart"/>
      <w:r w:rsidRPr="00501641">
        <w:t>encuesta</w:t>
      </w:r>
      <w:proofErr w:type="spellEnd"/>
      <w:r w:rsidRPr="00501641">
        <w:t xml:space="preserve"> de la COI </w:t>
      </w:r>
      <w:proofErr w:type="spellStart"/>
      <w:r w:rsidRPr="00501641">
        <w:t>sobre</w:t>
      </w:r>
      <w:proofErr w:type="spellEnd"/>
      <w:r w:rsidRPr="00501641">
        <w:t xml:space="preserve"> las </w:t>
      </w:r>
      <w:proofErr w:type="spellStart"/>
      <w:r w:rsidRPr="00501641">
        <w:t>necesidades</w:t>
      </w:r>
      <w:proofErr w:type="spellEnd"/>
      <w:r w:rsidRPr="00501641">
        <w:t xml:space="preserve"> </w:t>
      </w:r>
      <w:proofErr w:type="spellStart"/>
      <w:r w:rsidRPr="00501641">
        <w:t>en</w:t>
      </w:r>
      <w:proofErr w:type="spellEnd"/>
      <w:r w:rsidRPr="00501641">
        <w:t xml:space="preserve"> </w:t>
      </w:r>
      <w:proofErr w:type="spellStart"/>
      <w:r w:rsidRPr="00501641">
        <w:t>materia</w:t>
      </w:r>
      <w:proofErr w:type="spellEnd"/>
      <w:r w:rsidRPr="00501641">
        <w:t xml:space="preserve"> de </w:t>
      </w:r>
      <w:proofErr w:type="spellStart"/>
      <w:r w:rsidRPr="00501641">
        <w:t>desarrollo</w:t>
      </w:r>
      <w:proofErr w:type="spellEnd"/>
      <w:r w:rsidRPr="00501641">
        <w:t xml:space="preserve"> de </w:t>
      </w:r>
      <w:proofErr w:type="spellStart"/>
      <w:r w:rsidRPr="00501641">
        <w:t>capacidades</w:t>
      </w:r>
      <w:proofErr w:type="spellEnd"/>
      <w:r w:rsidRPr="00501641">
        <w:t xml:space="preserve">, </w:t>
      </w:r>
      <w:proofErr w:type="spellStart"/>
      <w:r w:rsidRPr="00501641">
        <w:t>en</w:t>
      </w:r>
      <w:proofErr w:type="spellEnd"/>
      <w:r w:rsidRPr="00501641">
        <w:t xml:space="preserve"> la que se </w:t>
      </w:r>
      <w:proofErr w:type="spellStart"/>
      <w:r w:rsidRPr="00501641">
        <w:t>pusieron</w:t>
      </w:r>
      <w:proofErr w:type="spellEnd"/>
      <w:r w:rsidRPr="00501641">
        <w:t xml:space="preserve"> de </w:t>
      </w:r>
      <w:proofErr w:type="spellStart"/>
      <w:r w:rsidRPr="00501641">
        <w:t>manifiesto</w:t>
      </w:r>
      <w:proofErr w:type="spellEnd"/>
      <w:r w:rsidRPr="00501641">
        <w:t xml:space="preserve"> los </w:t>
      </w:r>
      <w:proofErr w:type="spellStart"/>
      <w:r w:rsidRPr="00501641">
        <w:t>intereses</w:t>
      </w:r>
      <w:proofErr w:type="spellEnd"/>
      <w:r w:rsidRPr="00501641">
        <w:t xml:space="preserve"> </w:t>
      </w:r>
      <w:proofErr w:type="spellStart"/>
      <w:r w:rsidRPr="00501641">
        <w:t>específicos</w:t>
      </w:r>
      <w:proofErr w:type="spellEnd"/>
      <w:r w:rsidRPr="00501641">
        <w:t xml:space="preserve"> de los </w:t>
      </w:r>
      <w:proofErr w:type="spellStart"/>
      <w:r w:rsidRPr="00501641">
        <w:t>países</w:t>
      </w:r>
      <w:proofErr w:type="spellEnd"/>
      <w:r w:rsidRPr="00501641">
        <w:t xml:space="preserve"> </w:t>
      </w:r>
      <w:proofErr w:type="spellStart"/>
      <w:r w:rsidRPr="00501641">
        <w:t>insulares</w:t>
      </w:r>
      <w:proofErr w:type="spellEnd"/>
      <w:r w:rsidRPr="00501641">
        <w:t xml:space="preserve">. La Comisión </w:t>
      </w:r>
      <w:proofErr w:type="spellStart"/>
      <w:r w:rsidRPr="00501641">
        <w:t>mantendrá</w:t>
      </w:r>
      <w:proofErr w:type="spellEnd"/>
      <w:r w:rsidRPr="00501641">
        <w:t xml:space="preserve"> sus </w:t>
      </w:r>
      <w:proofErr w:type="spellStart"/>
      <w:r w:rsidRPr="00501641">
        <w:t>servicios</w:t>
      </w:r>
      <w:proofErr w:type="spellEnd"/>
      <w:r w:rsidRPr="00501641">
        <w:t xml:space="preserve"> de </w:t>
      </w:r>
      <w:proofErr w:type="spellStart"/>
      <w:r w:rsidRPr="00501641">
        <w:t>alerta</w:t>
      </w:r>
      <w:proofErr w:type="spellEnd"/>
      <w:r w:rsidRPr="00501641">
        <w:t xml:space="preserve"> contra los tsunamis </w:t>
      </w:r>
      <w:proofErr w:type="spellStart"/>
      <w:r w:rsidRPr="00501641">
        <w:t>centrándose</w:t>
      </w:r>
      <w:proofErr w:type="spellEnd"/>
      <w:r w:rsidRPr="00501641">
        <w:t xml:space="preserve"> </w:t>
      </w:r>
      <w:proofErr w:type="spellStart"/>
      <w:r w:rsidRPr="00501641">
        <w:t>especialmente</w:t>
      </w:r>
      <w:proofErr w:type="spellEnd"/>
      <w:r w:rsidRPr="00501641">
        <w:t xml:space="preserve"> </w:t>
      </w:r>
      <w:proofErr w:type="spellStart"/>
      <w:r w:rsidRPr="00501641">
        <w:t>en</w:t>
      </w:r>
      <w:proofErr w:type="spellEnd"/>
      <w:r w:rsidRPr="00501641">
        <w:t xml:space="preserve"> la </w:t>
      </w:r>
      <w:proofErr w:type="spellStart"/>
      <w:r w:rsidRPr="00501641">
        <w:t>preparación</w:t>
      </w:r>
      <w:proofErr w:type="spellEnd"/>
      <w:r w:rsidRPr="00501641">
        <w:t xml:space="preserve"> de los </w:t>
      </w:r>
      <w:proofErr w:type="spellStart"/>
      <w:r w:rsidRPr="00501641">
        <w:t>países</w:t>
      </w:r>
      <w:proofErr w:type="spellEnd"/>
      <w:r w:rsidRPr="00501641">
        <w:t xml:space="preserve"> a </w:t>
      </w:r>
      <w:proofErr w:type="spellStart"/>
      <w:r w:rsidRPr="00501641">
        <w:t>través</w:t>
      </w:r>
      <w:proofErr w:type="spellEnd"/>
      <w:r w:rsidRPr="00501641">
        <w:t xml:space="preserve"> del </w:t>
      </w:r>
      <w:proofErr w:type="spellStart"/>
      <w:r w:rsidRPr="00501641">
        <w:t>programa</w:t>
      </w:r>
      <w:proofErr w:type="spellEnd"/>
      <w:r w:rsidRPr="00501641">
        <w:t xml:space="preserve"> </w:t>
      </w:r>
      <w:proofErr w:type="spellStart"/>
      <w:r w:rsidRPr="00501641">
        <w:t>piloto</w:t>
      </w:r>
      <w:proofErr w:type="spellEnd"/>
      <w:r w:rsidRPr="00501641">
        <w:t xml:space="preserve"> Tsunami Ready de la COI. El </w:t>
      </w:r>
      <w:proofErr w:type="spellStart"/>
      <w:r w:rsidRPr="00501641">
        <w:t>Programa</w:t>
      </w:r>
      <w:proofErr w:type="spellEnd"/>
      <w:r w:rsidRPr="00501641">
        <w:t xml:space="preserve"> Mundial de </w:t>
      </w:r>
      <w:proofErr w:type="spellStart"/>
      <w:r w:rsidRPr="00501641">
        <w:t>Investigaciones</w:t>
      </w:r>
      <w:proofErr w:type="spellEnd"/>
      <w:r w:rsidRPr="00501641">
        <w:t xml:space="preserve"> </w:t>
      </w:r>
      <w:proofErr w:type="spellStart"/>
      <w:r w:rsidRPr="00501641">
        <w:t>Climáticas</w:t>
      </w:r>
      <w:proofErr w:type="spellEnd"/>
      <w:r w:rsidRPr="00501641">
        <w:t xml:space="preserve">, </w:t>
      </w:r>
      <w:proofErr w:type="spellStart"/>
      <w:r w:rsidRPr="00501641">
        <w:t>copatrocinado</w:t>
      </w:r>
      <w:proofErr w:type="spellEnd"/>
      <w:r w:rsidRPr="00501641">
        <w:t xml:space="preserve"> por la COI, </w:t>
      </w:r>
      <w:proofErr w:type="spellStart"/>
      <w:r w:rsidRPr="00501641">
        <w:t>ayudará</w:t>
      </w:r>
      <w:proofErr w:type="spellEnd"/>
      <w:r w:rsidRPr="00501641">
        <w:t xml:space="preserve"> a los PEID </w:t>
      </w:r>
      <w:proofErr w:type="gramStart"/>
      <w:r w:rsidRPr="00501641">
        <w:t>a</w:t>
      </w:r>
      <w:proofErr w:type="gramEnd"/>
      <w:r w:rsidRPr="00501641">
        <w:t xml:space="preserve"> </w:t>
      </w:r>
      <w:proofErr w:type="spellStart"/>
      <w:r w:rsidRPr="00501641">
        <w:t>afrontar</w:t>
      </w:r>
      <w:proofErr w:type="spellEnd"/>
      <w:r w:rsidRPr="00501641">
        <w:t xml:space="preserve"> las </w:t>
      </w:r>
      <w:proofErr w:type="spellStart"/>
      <w:r w:rsidRPr="00501641">
        <w:t>consecuencias</w:t>
      </w:r>
      <w:proofErr w:type="spellEnd"/>
      <w:r w:rsidRPr="00501641">
        <w:t xml:space="preserve"> del </w:t>
      </w:r>
      <w:proofErr w:type="spellStart"/>
      <w:r w:rsidRPr="00501641">
        <w:t>aumento</w:t>
      </w:r>
      <w:proofErr w:type="spellEnd"/>
      <w:r w:rsidRPr="00501641">
        <w:t xml:space="preserve"> del </w:t>
      </w:r>
      <w:proofErr w:type="spellStart"/>
      <w:r w:rsidRPr="00501641">
        <w:t>nivel</w:t>
      </w:r>
      <w:proofErr w:type="spellEnd"/>
      <w:r w:rsidRPr="00501641">
        <w:t xml:space="preserve"> del mar y sus </w:t>
      </w:r>
      <w:proofErr w:type="spellStart"/>
      <w:r w:rsidRPr="00501641">
        <w:t>variaciones</w:t>
      </w:r>
      <w:proofErr w:type="spellEnd"/>
      <w:r w:rsidRPr="00501641">
        <w:t xml:space="preserve"> </w:t>
      </w:r>
      <w:proofErr w:type="spellStart"/>
      <w:r w:rsidRPr="00501641">
        <w:t>regionales</w:t>
      </w:r>
      <w:proofErr w:type="spellEnd"/>
      <w:r w:rsidRPr="00501641">
        <w:t xml:space="preserve">. La </w:t>
      </w:r>
      <w:proofErr w:type="spellStart"/>
      <w:r w:rsidRPr="00501641">
        <w:t>formación</w:t>
      </w:r>
      <w:proofErr w:type="spellEnd"/>
      <w:r w:rsidRPr="00501641">
        <w:t xml:space="preserve"> </w:t>
      </w:r>
      <w:proofErr w:type="spellStart"/>
      <w:r w:rsidRPr="00501641">
        <w:t>en</w:t>
      </w:r>
      <w:proofErr w:type="spellEnd"/>
      <w:r w:rsidRPr="00501641">
        <w:t xml:space="preserve"> </w:t>
      </w:r>
      <w:proofErr w:type="spellStart"/>
      <w:r w:rsidRPr="00501641">
        <w:t>cuestiones</w:t>
      </w:r>
      <w:proofErr w:type="spellEnd"/>
      <w:r w:rsidRPr="00501641">
        <w:t xml:space="preserve"> </w:t>
      </w:r>
      <w:proofErr w:type="spellStart"/>
      <w:r w:rsidRPr="00501641">
        <w:t>oceánicas</w:t>
      </w:r>
      <w:proofErr w:type="spellEnd"/>
      <w:r w:rsidRPr="00501641">
        <w:t xml:space="preserve"> se </w:t>
      </w:r>
      <w:proofErr w:type="spellStart"/>
      <w:r w:rsidRPr="00501641">
        <w:t>ampliará</w:t>
      </w:r>
      <w:proofErr w:type="spellEnd"/>
      <w:r w:rsidRPr="00501641">
        <w:t xml:space="preserve"> y </w:t>
      </w:r>
      <w:proofErr w:type="spellStart"/>
      <w:r w:rsidRPr="00501641">
        <w:t>comenzará</w:t>
      </w:r>
      <w:proofErr w:type="spellEnd"/>
      <w:r w:rsidRPr="00501641">
        <w:t xml:space="preserve"> por </w:t>
      </w:r>
      <w:proofErr w:type="spellStart"/>
      <w:r w:rsidRPr="00501641">
        <w:t>primera</w:t>
      </w:r>
      <w:proofErr w:type="spellEnd"/>
      <w:r w:rsidRPr="00501641">
        <w:t xml:space="preserve"> </w:t>
      </w:r>
      <w:proofErr w:type="spellStart"/>
      <w:r w:rsidRPr="00501641">
        <w:t>vez</w:t>
      </w:r>
      <w:proofErr w:type="spellEnd"/>
      <w:r w:rsidRPr="00501641">
        <w:t xml:space="preserve"> </w:t>
      </w:r>
      <w:proofErr w:type="spellStart"/>
      <w:r w:rsidRPr="00501641">
        <w:t>en</w:t>
      </w:r>
      <w:proofErr w:type="spellEnd"/>
      <w:r w:rsidRPr="00501641">
        <w:t xml:space="preserve"> el </w:t>
      </w:r>
      <w:proofErr w:type="spellStart"/>
      <w:r w:rsidRPr="00501641">
        <w:t>Pacífico</w:t>
      </w:r>
      <w:proofErr w:type="spellEnd"/>
      <w:r w:rsidRPr="00501641">
        <w:t xml:space="preserve">, </w:t>
      </w:r>
      <w:proofErr w:type="spellStart"/>
      <w:r w:rsidRPr="00501641">
        <w:t>centrándose</w:t>
      </w:r>
      <w:proofErr w:type="spellEnd"/>
      <w:r w:rsidRPr="00501641">
        <w:t xml:space="preserve"> </w:t>
      </w:r>
      <w:proofErr w:type="spellStart"/>
      <w:r w:rsidRPr="00501641">
        <w:t>en</w:t>
      </w:r>
      <w:proofErr w:type="spellEnd"/>
      <w:r w:rsidRPr="00501641">
        <w:t xml:space="preserve"> el </w:t>
      </w:r>
      <w:proofErr w:type="spellStart"/>
      <w:r w:rsidRPr="00501641">
        <w:t>desarrollo</w:t>
      </w:r>
      <w:proofErr w:type="spellEnd"/>
      <w:r w:rsidRPr="00501641">
        <w:t xml:space="preserve"> de la </w:t>
      </w:r>
      <w:proofErr w:type="spellStart"/>
      <w:r w:rsidRPr="00501641">
        <w:t>capacidad</w:t>
      </w:r>
      <w:proofErr w:type="spellEnd"/>
      <w:r w:rsidRPr="00501641">
        <w:t xml:space="preserve"> </w:t>
      </w:r>
      <w:proofErr w:type="spellStart"/>
      <w:r w:rsidRPr="00501641">
        <w:t>científica</w:t>
      </w:r>
      <w:proofErr w:type="spellEnd"/>
      <w:r w:rsidRPr="00501641">
        <w:t xml:space="preserve"> y </w:t>
      </w:r>
      <w:proofErr w:type="spellStart"/>
      <w:r w:rsidRPr="00501641">
        <w:t>tecnológica</w:t>
      </w:r>
      <w:proofErr w:type="spellEnd"/>
      <w:r w:rsidRPr="00501641">
        <w:t xml:space="preserve"> marina de los PEID y </w:t>
      </w:r>
      <w:proofErr w:type="spellStart"/>
      <w:r w:rsidRPr="00501641">
        <w:t>en</w:t>
      </w:r>
      <w:proofErr w:type="spellEnd"/>
      <w:r w:rsidRPr="00501641">
        <w:t xml:space="preserve"> la </w:t>
      </w:r>
      <w:proofErr w:type="spellStart"/>
      <w:r w:rsidRPr="00501641">
        <w:t>mejora</w:t>
      </w:r>
      <w:proofErr w:type="spellEnd"/>
      <w:r w:rsidRPr="00501641">
        <w:t xml:space="preserve"> de la </w:t>
      </w:r>
      <w:proofErr w:type="spellStart"/>
      <w:r w:rsidRPr="00501641">
        <w:t>cooperación</w:t>
      </w:r>
      <w:proofErr w:type="spellEnd"/>
      <w:r w:rsidRPr="00501641">
        <w:t xml:space="preserve"> para </w:t>
      </w:r>
      <w:proofErr w:type="spellStart"/>
      <w:r w:rsidRPr="00501641">
        <w:t>gestionar</w:t>
      </w:r>
      <w:proofErr w:type="spellEnd"/>
      <w:r w:rsidRPr="00501641">
        <w:t xml:space="preserve"> </w:t>
      </w:r>
      <w:proofErr w:type="spellStart"/>
      <w:r w:rsidRPr="00501641">
        <w:t>todos</w:t>
      </w:r>
      <w:proofErr w:type="spellEnd"/>
      <w:r w:rsidRPr="00501641">
        <w:t xml:space="preserve"> los </w:t>
      </w:r>
      <w:proofErr w:type="spellStart"/>
      <w:r w:rsidRPr="00501641">
        <w:t>aspectos</w:t>
      </w:r>
      <w:proofErr w:type="spellEnd"/>
      <w:r w:rsidRPr="00501641">
        <w:t xml:space="preserve"> de la </w:t>
      </w:r>
      <w:proofErr w:type="spellStart"/>
      <w:r w:rsidRPr="00501641">
        <w:t>salud</w:t>
      </w:r>
      <w:proofErr w:type="spellEnd"/>
      <w:r w:rsidRPr="00501641">
        <w:t xml:space="preserve"> del </w:t>
      </w:r>
      <w:proofErr w:type="spellStart"/>
      <w:r w:rsidRPr="00501641">
        <w:t>océano</w:t>
      </w:r>
      <w:proofErr w:type="spellEnd"/>
      <w:r w:rsidRPr="00501641">
        <w:t xml:space="preserve">, </w:t>
      </w:r>
      <w:proofErr w:type="spellStart"/>
      <w:r w:rsidRPr="00501641">
        <w:t>incluidos</w:t>
      </w:r>
      <w:proofErr w:type="spellEnd"/>
      <w:r w:rsidRPr="00501641">
        <w:t xml:space="preserve"> los </w:t>
      </w:r>
      <w:proofErr w:type="spellStart"/>
      <w:r w:rsidRPr="00501641">
        <w:t>impactos</w:t>
      </w:r>
      <w:proofErr w:type="spellEnd"/>
      <w:r w:rsidRPr="00501641">
        <w:t xml:space="preserve"> de la </w:t>
      </w:r>
      <w:proofErr w:type="spellStart"/>
      <w:r w:rsidRPr="00501641">
        <w:t>acidificación</w:t>
      </w:r>
      <w:proofErr w:type="spellEnd"/>
      <w:r w:rsidRPr="00501641">
        <w:t xml:space="preserve"> del </w:t>
      </w:r>
      <w:proofErr w:type="spellStart"/>
      <w:r w:rsidRPr="00501641">
        <w:t>océano</w:t>
      </w:r>
      <w:proofErr w:type="spellEnd"/>
      <w:r w:rsidRPr="00501641">
        <w:t xml:space="preserve"> y las </w:t>
      </w:r>
      <w:proofErr w:type="spellStart"/>
      <w:r w:rsidRPr="00501641">
        <w:t>especies</w:t>
      </w:r>
      <w:proofErr w:type="spellEnd"/>
      <w:r w:rsidRPr="00501641">
        <w:t xml:space="preserve"> </w:t>
      </w:r>
      <w:proofErr w:type="spellStart"/>
      <w:r w:rsidRPr="00501641">
        <w:t>invasoras</w:t>
      </w:r>
      <w:proofErr w:type="spellEnd"/>
      <w:r w:rsidRPr="00501641">
        <w:t xml:space="preserve">. Se </w:t>
      </w:r>
      <w:proofErr w:type="spellStart"/>
      <w:r w:rsidRPr="00501641">
        <w:t>brindará</w:t>
      </w:r>
      <w:proofErr w:type="spellEnd"/>
      <w:r w:rsidRPr="00501641">
        <w:t xml:space="preserve"> </w:t>
      </w:r>
      <w:proofErr w:type="spellStart"/>
      <w:r w:rsidRPr="00501641">
        <w:t>asistencia</w:t>
      </w:r>
      <w:proofErr w:type="spellEnd"/>
      <w:r w:rsidRPr="00501641">
        <w:t xml:space="preserve"> a los PEID del Caribe </w:t>
      </w:r>
      <w:proofErr w:type="spellStart"/>
      <w:r w:rsidRPr="00501641">
        <w:lastRenderedPageBreak/>
        <w:t>mediante</w:t>
      </w:r>
      <w:proofErr w:type="spellEnd"/>
      <w:r w:rsidRPr="00501641">
        <w:t xml:space="preserve"> el </w:t>
      </w:r>
      <w:proofErr w:type="spellStart"/>
      <w:r w:rsidRPr="00501641">
        <w:t>desarrollo</w:t>
      </w:r>
      <w:proofErr w:type="spellEnd"/>
      <w:r w:rsidRPr="00501641">
        <w:t xml:space="preserve"> de los </w:t>
      </w:r>
      <w:proofErr w:type="spellStart"/>
      <w:r w:rsidRPr="00501641">
        <w:t>servicios</w:t>
      </w:r>
      <w:proofErr w:type="spellEnd"/>
      <w:r w:rsidRPr="00501641">
        <w:t xml:space="preserve"> de </w:t>
      </w:r>
      <w:proofErr w:type="spellStart"/>
      <w:r w:rsidRPr="00501641">
        <w:t>vigilancia</w:t>
      </w:r>
      <w:proofErr w:type="spellEnd"/>
      <w:r w:rsidRPr="00501641">
        <w:t xml:space="preserve"> del </w:t>
      </w:r>
      <w:proofErr w:type="spellStart"/>
      <w:r w:rsidRPr="00501641">
        <w:t>sargazo</w:t>
      </w:r>
      <w:proofErr w:type="spellEnd"/>
      <w:r w:rsidRPr="00501641">
        <w:t xml:space="preserve">. </w:t>
      </w:r>
      <w:proofErr w:type="spellStart"/>
      <w:r w:rsidRPr="00501641">
        <w:t>Será</w:t>
      </w:r>
      <w:proofErr w:type="spellEnd"/>
      <w:r w:rsidRPr="00501641">
        <w:t xml:space="preserve"> </w:t>
      </w:r>
      <w:proofErr w:type="spellStart"/>
      <w:r w:rsidRPr="00501641">
        <w:t>necesario</w:t>
      </w:r>
      <w:proofErr w:type="spellEnd"/>
      <w:r w:rsidRPr="00501641">
        <w:t xml:space="preserve"> </w:t>
      </w:r>
      <w:proofErr w:type="spellStart"/>
      <w:r w:rsidRPr="00501641">
        <w:t>prestar</w:t>
      </w:r>
      <w:proofErr w:type="spellEnd"/>
      <w:r w:rsidRPr="00501641">
        <w:t xml:space="preserve"> especial </w:t>
      </w:r>
      <w:proofErr w:type="spellStart"/>
      <w:r w:rsidRPr="00501641">
        <w:t>atención</w:t>
      </w:r>
      <w:proofErr w:type="spellEnd"/>
      <w:r w:rsidRPr="00501641">
        <w:t xml:space="preserve"> a la </w:t>
      </w:r>
      <w:proofErr w:type="spellStart"/>
      <w:r w:rsidRPr="00501641">
        <w:t>determinación</w:t>
      </w:r>
      <w:proofErr w:type="spellEnd"/>
      <w:r w:rsidRPr="00501641">
        <w:t xml:space="preserve"> de una </w:t>
      </w:r>
      <w:proofErr w:type="spellStart"/>
      <w:r w:rsidRPr="00501641">
        <w:t>serie</w:t>
      </w:r>
      <w:proofErr w:type="spellEnd"/>
      <w:r w:rsidRPr="00501641">
        <w:t xml:space="preserve"> de puntos de </w:t>
      </w:r>
      <w:proofErr w:type="spellStart"/>
      <w:r w:rsidRPr="00501641">
        <w:t>contacto</w:t>
      </w:r>
      <w:proofErr w:type="spellEnd"/>
      <w:r w:rsidRPr="00501641">
        <w:t xml:space="preserve"> </w:t>
      </w:r>
      <w:proofErr w:type="spellStart"/>
      <w:r w:rsidRPr="00501641">
        <w:t>en</w:t>
      </w:r>
      <w:proofErr w:type="spellEnd"/>
      <w:r w:rsidRPr="00501641">
        <w:t xml:space="preserve"> los PEID para </w:t>
      </w:r>
      <w:proofErr w:type="spellStart"/>
      <w:r w:rsidRPr="00501641">
        <w:t>posibilitar</w:t>
      </w:r>
      <w:proofErr w:type="spellEnd"/>
      <w:r w:rsidRPr="00501641">
        <w:t xml:space="preserve"> y </w:t>
      </w:r>
      <w:proofErr w:type="spellStart"/>
      <w:r w:rsidRPr="00501641">
        <w:t>facilitar</w:t>
      </w:r>
      <w:proofErr w:type="spellEnd"/>
      <w:r w:rsidRPr="00501641">
        <w:t xml:space="preserve"> </w:t>
      </w:r>
      <w:proofErr w:type="spellStart"/>
      <w:r w:rsidRPr="00501641">
        <w:t>su</w:t>
      </w:r>
      <w:proofErr w:type="spellEnd"/>
      <w:r w:rsidRPr="00501641">
        <w:t xml:space="preserve"> </w:t>
      </w:r>
      <w:proofErr w:type="spellStart"/>
      <w:r w:rsidRPr="00501641">
        <w:t>participación</w:t>
      </w:r>
      <w:proofErr w:type="spellEnd"/>
      <w:r w:rsidRPr="00501641">
        <w:t xml:space="preserve"> </w:t>
      </w:r>
      <w:proofErr w:type="spellStart"/>
      <w:r w:rsidRPr="00501641">
        <w:t>activa</w:t>
      </w:r>
      <w:proofErr w:type="spellEnd"/>
      <w:r w:rsidRPr="00501641">
        <w:t xml:space="preserve"> </w:t>
      </w:r>
      <w:proofErr w:type="spellStart"/>
      <w:r w:rsidRPr="00501641">
        <w:t>en</w:t>
      </w:r>
      <w:proofErr w:type="spellEnd"/>
      <w:r w:rsidRPr="00501641">
        <w:t xml:space="preserve"> el </w:t>
      </w:r>
      <w:proofErr w:type="spellStart"/>
      <w:r w:rsidRPr="00501641">
        <w:t>programa</w:t>
      </w:r>
      <w:proofErr w:type="spellEnd"/>
      <w:r w:rsidRPr="00501641">
        <w:t xml:space="preserve"> de la COI y </w:t>
      </w:r>
      <w:proofErr w:type="spellStart"/>
      <w:r w:rsidRPr="00501641">
        <w:t>en</w:t>
      </w:r>
      <w:proofErr w:type="spellEnd"/>
      <w:r w:rsidRPr="00501641">
        <w:t xml:space="preserve"> sus </w:t>
      </w:r>
      <w:proofErr w:type="spellStart"/>
      <w:r w:rsidRPr="00501641">
        <w:t>actividades</w:t>
      </w:r>
      <w:proofErr w:type="spellEnd"/>
      <w:r w:rsidRPr="00501641">
        <w:t xml:space="preserve"> de </w:t>
      </w:r>
      <w:proofErr w:type="spellStart"/>
      <w:r w:rsidRPr="00501641">
        <w:t>desarrollo</w:t>
      </w:r>
      <w:proofErr w:type="spellEnd"/>
      <w:r w:rsidRPr="00501641">
        <w:t xml:space="preserve"> de </w:t>
      </w:r>
      <w:proofErr w:type="spellStart"/>
      <w:r w:rsidRPr="00501641">
        <w:t>capacidades</w:t>
      </w:r>
      <w:proofErr w:type="spellEnd"/>
      <w:r w:rsidRPr="00501641">
        <w:t xml:space="preserve">. </w:t>
      </w:r>
    </w:p>
    <w:p w14:paraId="70C0F61B" w14:textId="19611318" w:rsidR="00427F27" w:rsidRPr="00501641" w:rsidRDefault="00427F27" w:rsidP="009D0EB6">
      <w:pPr>
        <w:pStyle w:val="Marge"/>
        <w:tabs>
          <w:tab w:val="clear" w:pos="567"/>
          <w:tab w:val="left" w:pos="1162"/>
        </w:tabs>
        <w:spacing w:line="240" w:lineRule="auto"/>
      </w:pPr>
      <w:r w:rsidRPr="00501641">
        <w:rPr>
          <w:bdr w:val="single" w:sz="4" w:space="0" w:color="auto"/>
        </w:rPr>
        <w:t>03014</w:t>
      </w:r>
      <w:r w:rsidRPr="00501641">
        <w:tab/>
        <w:t xml:space="preserve">La Comisión </w:t>
      </w:r>
      <w:proofErr w:type="spellStart"/>
      <w:r w:rsidRPr="00501641">
        <w:t>seguirá</w:t>
      </w:r>
      <w:proofErr w:type="spellEnd"/>
      <w:r w:rsidRPr="00501641">
        <w:t xml:space="preserve"> </w:t>
      </w:r>
      <w:proofErr w:type="spellStart"/>
      <w:r w:rsidRPr="00501641">
        <w:t>fortaleciendo</w:t>
      </w:r>
      <w:proofErr w:type="spellEnd"/>
      <w:r w:rsidRPr="00501641">
        <w:t xml:space="preserve"> </w:t>
      </w:r>
      <w:proofErr w:type="spellStart"/>
      <w:r w:rsidRPr="00501641">
        <w:t>su</w:t>
      </w:r>
      <w:proofErr w:type="spellEnd"/>
      <w:r w:rsidRPr="00501641">
        <w:t xml:space="preserve"> </w:t>
      </w:r>
      <w:proofErr w:type="spellStart"/>
      <w:r w:rsidRPr="00501641">
        <w:t>poder</w:t>
      </w:r>
      <w:proofErr w:type="spellEnd"/>
      <w:r w:rsidRPr="00501641">
        <w:t xml:space="preserve"> de </w:t>
      </w:r>
      <w:proofErr w:type="spellStart"/>
      <w:r w:rsidRPr="00501641">
        <w:t>convocatoria</w:t>
      </w:r>
      <w:proofErr w:type="spellEnd"/>
      <w:r w:rsidRPr="00501641">
        <w:t xml:space="preserve"> </w:t>
      </w:r>
      <w:proofErr w:type="spellStart"/>
      <w:r w:rsidRPr="00501641">
        <w:t>mediante</w:t>
      </w:r>
      <w:proofErr w:type="spellEnd"/>
      <w:r w:rsidRPr="00501641">
        <w:t xml:space="preserve"> la </w:t>
      </w:r>
      <w:proofErr w:type="spellStart"/>
      <w:r w:rsidRPr="00501641">
        <w:t>colaboración</w:t>
      </w:r>
      <w:proofErr w:type="spellEnd"/>
      <w:r w:rsidRPr="00501641">
        <w:t xml:space="preserve"> con un </w:t>
      </w:r>
      <w:proofErr w:type="spellStart"/>
      <w:r w:rsidRPr="00501641">
        <w:t>abanico</w:t>
      </w:r>
      <w:proofErr w:type="spellEnd"/>
      <w:r w:rsidRPr="00501641">
        <w:t xml:space="preserve"> </w:t>
      </w:r>
      <w:proofErr w:type="spellStart"/>
      <w:r w:rsidRPr="00501641">
        <w:t>más</w:t>
      </w:r>
      <w:proofErr w:type="spellEnd"/>
      <w:r w:rsidRPr="00501641">
        <w:t xml:space="preserve"> </w:t>
      </w:r>
      <w:proofErr w:type="spellStart"/>
      <w:r w:rsidRPr="00501641">
        <w:t>amplio</w:t>
      </w:r>
      <w:proofErr w:type="spellEnd"/>
      <w:r w:rsidRPr="00501641">
        <w:t xml:space="preserve"> de </w:t>
      </w:r>
      <w:proofErr w:type="spellStart"/>
      <w:r w:rsidRPr="00501641">
        <w:t>partes</w:t>
      </w:r>
      <w:proofErr w:type="spellEnd"/>
      <w:r w:rsidRPr="00501641">
        <w:t xml:space="preserve"> </w:t>
      </w:r>
      <w:proofErr w:type="spellStart"/>
      <w:r w:rsidRPr="00501641">
        <w:t>interesadas</w:t>
      </w:r>
      <w:proofErr w:type="spellEnd"/>
      <w:r w:rsidRPr="00501641">
        <w:t xml:space="preserve"> </w:t>
      </w:r>
      <w:proofErr w:type="spellStart"/>
      <w:r w:rsidRPr="00501641">
        <w:t>nacionales</w:t>
      </w:r>
      <w:proofErr w:type="spellEnd"/>
      <w:r w:rsidRPr="00501641">
        <w:t xml:space="preserve">, </w:t>
      </w:r>
      <w:proofErr w:type="spellStart"/>
      <w:r w:rsidRPr="00501641">
        <w:t>regionales</w:t>
      </w:r>
      <w:proofErr w:type="spellEnd"/>
      <w:r w:rsidRPr="00501641">
        <w:t xml:space="preserve"> e </w:t>
      </w:r>
      <w:proofErr w:type="spellStart"/>
      <w:r w:rsidRPr="00501641">
        <w:t>internacionales</w:t>
      </w:r>
      <w:proofErr w:type="spellEnd"/>
      <w:r w:rsidRPr="00501641">
        <w:t xml:space="preserve">, que </w:t>
      </w:r>
      <w:proofErr w:type="spellStart"/>
      <w:r w:rsidRPr="00501641">
        <w:t>abarque</w:t>
      </w:r>
      <w:proofErr w:type="spellEnd"/>
      <w:r w:rsidRPr="00501641">
        <w:t xml:space="preserve"> las </w:t>
      </w:r>
      <w:proofErr w:type="spellStart"/>
      <w:r w:rsidRPr="00501641">
        <w:t>diversas</w:t>
      </w:r>
      <w:proofErr w:type="spellEnd"/>
      <w:r w:rsidRPr="00501641">
        <w:t xml:space="preserve"> </w:t>
      </w:r>
      <w:proofErr w:type="spellStart"/>
      <w:r w:rsidRPr="00501641">
        <w:t>comunidades</w:t>
      </w:r>
      <w:proofErr w:type="spellEnd"/>
      <w:r w:rsidRPr="00501641">
        <w:t xml:space="preserve"> </w:t>
      </w:r>
      <w:proofErr w:type="spellStart"/>
      <w:r w:rsidRPr="00501641">
        <w:t>científicas</w:t>
      </w:r>
      <w:proofErr w:type="spellEnd"/>
      <w:r w:rsidRPr="00501641">
        <w:t xml:space="preserve">, los </w:t>
      </w:r>
      <w:proofErr w:type="spellStart"/>
      <w:r w:rsidRPr="00501641">
        <w:t>gobiernos</w:t>
      </w:r>
      <w:proofErr w:type="spellEnd"/>
      <w:r w:rsidRPr="00501641">
        <w:t xml:space="preserve">, las </w:t>
      </w:r>
      <w:proofErr w:type="spellStart"/>
      <w:r w:rsidRPr="00501641">
        <w:t>industrias</w:t>
      </w:r>
      <w:proofErr w:type="spellEnd"/>
      <w:r w:rsidRPr="00501641">
        <w:t xml:space="preserve"> y las </w:t>
      </w:r>
      <w:proofErr w:type="spellStart"/>
      <w:r w:rsidRPr="00501641">
        <w:t>organizaciones</w:t>
      </w:r>
      <w:proofErr w:type="spellEnd"/>
      <w:r w:rsidRPr="00501641">
        <w:t xml:space="preserve"> de la </w:t>
      </w:r>
      <w:proofErr w:type="spellStart"/>
      <w:r w:rsidRPr="00501641">
        <w:t>sociedad</w:t>
      </w:r>
      <w:proofErr w:type="spellEnd"/>
      <w:r w:rsidRPr="00501641">
        <w:t xml:space="preserve"> civil que </w:t>
      </w:r>
      <w:proofErr w:type="spellStart"/>
      <w:r w:rsidRPr="00501641">
        <w:t>trabajan</w:t>
      </w:r>
      <w:proofErr w:type="spellEnd"/>
      <w:r w:rsidRPr="00501641">
        <w:t xml:space="preserve"> </w:t>
      </w:r>
      <w:proofErr w:type="spellStart"/>
      <w:r w:rsidRPr="00501641">
        <w:t>en</w:t>
      </w:r>
      <w:proofErr w:type="spellEnd"/>
      <w:r w:rsidRPr="00501641">
        <w:t xml:space="preserve"> la </w:t>
      </w:r>
      <w:proofErr w:type="spellStart"/>
      <w:r w:rsidRPr="00501641">
        <w:t>investigación</w:t>
      </w:r>
      <w:proofErr w:type="spellEnd"/>
      <w:r w:rsidRPr="00501641">
        <w:t xml:space="preserve"> </w:t>
      </w:r>
      <w:proofErr w:type="spellStart"/>
      <w:r w:rsidRPr="00501641">
        <w:t>oceánica</w:t>
      </w:r>
      <w:proofErr w:type="spellEnd"/>
      <w:r w:rsidRPr="00501641">
        <w:t xml:space="preserve">, los </w:t>
      </w:r>
      <w:proofErr w:type="spellStart"/>
      <w:r w:rsidRPr="00501641">
        <w:t>servicios</w:t>
      </w:r>
      <w:proofErr w:type="spellEnd"/>
      <w:r w:rsidRPr="00501641">
        <w:t xml:space="preserve"> </w:t>
      </w:r>
      <w:proofErr w:type="spellStart"/>
      <w:r w:rsidRPr="00501641">
        <w:t>operacionales</w:t>
      </w:r>
      <w:proofErr w:type="spellEnd"/>
      <w:r w:rsidRPr="00501641">
        <w:t xml:space="preserve">, la </w:t>
      </w:r>
      <w:proofErr w:type="spellStart"/>
      <w:r w:rsidRPr="00501641">
        <w:t>interfaz</w:t>
      </w:r>
      <w:proofErr w:type="spellEnd"/>
      <w:r w:rsidRPr="00501641">
        <w:t xml:space="preserve"> </w:t>
      </w:r>
      <w:proofErr w:type="spellStart"/>
      <w:r w:rsidRPr="00501641">
        <w:t>ciencia-política-sociedad</w:t>
      </w:r>
      <w:proofErr w:type="spellEnd"/>
      <w:r w:rsidRPr="00501641">
        <w:t xml:space="preserve">, la </w:t>
      </w:r>
      <w:proofErr w:type="spellStart"/>
      <w:r w:rsidRPr="00501641">
        <w:t>tecnología</w:t>
      </w:r>
      <w:proofErr w:type="spellEnd"/>
      <w:r w:rsidRPr="00501641">
        <w:t xml:space="preserve"> y la </w:t>
      </w:r>
      <w:proofErr w:type="spellStart"/>
      <w:r w:rsidRPr="00501641">
        <w:t>innovación</w:t>
      </w:r>
      <w:proofErr w:type="spellEnd"/>
      <w:r w:rsidRPr="00501641">
        <w:t xml:space="preserve">, la </w:t>
      </w:r>
      <w:proofErr w:type="spellStart"/>
      <w:r w:rsidRPr="00501641">
        <w:t>educación</w:t>
      </w:r>
      <w:proofErr w:type="spellEnd"/>
      <w:r w:rsidRPr="00501641">
        <w:t xml:space="preserve"> y la </w:t>
      </w:r>
      <w:proofErr w:type="spellStart"/>
      <w:r w:rsidRPr="00501641">
        <w:t>financiación</w:t>
      </w:r>
      <w:proofErr w:type="spellEnd"/>
      <w:r w:rsidRPr="00501641">
        <w:t xml:space="preserve"> de la </w:t>
      </w:r>
      <w:proofErr w:type="spellStart"/>
      <w:r w:rsidRPr="00501641">
        <w:t>ciencia</w:t>
      </w:r>
      <w:proofErr w:type="spellEnd"/>
      <w:r w:rsidRPr="00501641">
        <w:t xml:space="preserve">, con el fin de </w:t>
      </w:r>
      <w:proofErr w:type="spellStart"/>
      <w:r w:rsidRPr="00501641">
        <w:t>seguir</w:t>
      </w:r>
      <w:proofErr w:type="spellEnd"/>
      <w:r w:rsidRPr="00501641">
        <w:t xml:space="preserve"> </w:t>
      </w:r>
      <w:proofErr w:type="spellStart"/>
      <w:r w:rsidRPr="00501641">
        <w:t>promoviendo</w:t>
      </w:r>
      <w:proofErr w:type="spellEnd"/>
      <w:r w:rsidRPr="00501641">
        <w:t xml:space="preserve"> la </w:t>
      </w:r>
      <w:proofErr w:type="spellStart"/>
      <w:r w:rsidRPr="00501641">
        <w:t>generación</w:t>
      </w:r>
      <w:proofErr w:type="spellEnd"/>
      <w:r w:rsidRPr="00501641">
        <w:t xml:space="preserve"> de </w:t>
      </w:r>
      <w:proofErr w:type="spellStart"/>
      <w:r w:rsidRPr="00501641">
        <w:t>conocimientos</w:t>
      </w:r>
      <w:proofErr w:type="spellEnd"/>
      <w:r w:rsidRPr="00501641">
        <w:t xml:space="preserve">, </w:t>
      </w:r>
      <w:proofErr w:type="spellStart"/>
      <w:r w:rsidRPr="00501641">
        <w:t>datos</w:t>
      </w:r>
      <w:proofErr w:type="spellEnd"/>
      <w:r w:rsidRPr="00501641">
        <w:t xml:space="preserve"> e </w:t>
      </w:r>
      <w:proofErr w:type="spellStart"/>
      <w:r w:rsidRPr="00501641">
        <w:t>información</w:t>
      </w:r>
      <w:proofErr w:type="spellEnd"/>
      <w:r w:rsidRPr="00501641">
        <w:t xml:space="preserve"> que </w:t>
      </w:r>
      <w:proofErr w:type="spellStart"/>
      <w:r w:rsidRPr="00501641">
        <w:t>contribuyan</w:t>
      </w:r>
      <w:proofErr w:type="spellEnd"/>
      <w:r w:rsidRPr="00501641">
        <w:t xml:space="preserve"> a la </w:t>
      </w:r>
      <w:proofErr w:type="spellStart"/>
      <w:r w:rsidRPr="00501641">
        <w:t>formulación</w:t>
      </w:r>
      <w:proofErr w:type="spellEnd"/>
      <w:r w:rsidRPr="00501641">
        <w:t xml:space="preserve"> de </w:t>
      </w:r>
      <w:proofErr w:type="spellStart"/>
      <w:r w:rsidRPr="00501641">
        <w:t>medidas</w:t>
      </w:r>
      <w:proofErr w:type="spellEnd"/>
      <w:r w:rsidRPr="00501641">
        <w:t xml:space="preserve"> </w:t>
      </w:r>
      <w:proofErr w:type="spellStart"/>
      <w:r w:rsidRPr="00501641">
        <w:t>eficaces</w:t>
      </w:r>
      <w:proofErr w:type="spellEnd"/>
      <w:r w:rsidRPr="00501641">
        <w:t xml:space="preserve">. El Decenio </w:t>
      </w:r>
      <w:proofErr w:type="spellStart"/>
      <w:r w:rsidRPr="00501641">
        <w:t>proporcionará</w:t>
      </w:r>
      <w:proofErr w:type="spellEnd"/>
      <w:r w:rsidRPr="00501641">
        <w:t xml:space="preserve"> una </w:t>
      </w:r>
      <w:proofErr w:type="spellStart"/>
      <w:r w:rsidRPr="00501641">
        <w:t>palanca</w:t>
      </w:r>
      <w:proofErr w:type="spellEnd"/>
      <w:r w:rsidRPr="00501641">
        <w:t xml:space="preserve"> </w:t>
      </w:r>
      <w:proofErr w:type="spellStart"/>
      <w:r w:rsidRPr="00501641">
        <w:t>adicional</w:t>
      </w:r>
      <w:proofErr w:type="spellEnd"/>
      <w:r w:rsidRPr="00501641">
        <w:t xml:space="preserve"> para </w:t>
      </w:r>
      <w:proofErr w:type="spellStart"/>
      <w:r w:rsidRPr="00501641">
        <w:t>alcanzar</w:t>
      </w:r>
      <w:proofErr w:type="spellEnd"/>
      <w:r w:rsidRPr="00501641">
        <w:t xml:space="preserve"> </w:t>
      </w:r>
      <w:proofErr w:type="spellStart"/>
      <w:r w:rsidRPr="00501641">
        <w:t>estos</w:t>
      </w:r>
      <w:proofErr w:type="spellEnd"/>
      <w:r w:rsidRPr="00501641">
        <w:t xml:space="preserve"> </w:t>
      </w:r>
      <w:proofErr w:type="spellStart"/>
      <w:r w:rsidRPr="00501641">
        <w:t>objetivos</w:t>
      </w:r>
      <w:proofErr w:type="spellEnd"/>
      <w:r w:rsidRPr="00501641">
        <w:t xml:space="preserve"> a </w:t>
      </w:r>
      <w:proofErr w:type="spellStart"/>
      <w:r w:rsidRPr="00501641">
        <w:t>través</w:t>
      </w:r>
      <w:proofErr w:type="spellEnd"/>
      <w:r w:rsidRPr="00501641">
        <w:t xml:space="preserve"> de </w:t>
      </w:r>
      <w:proofErr w:type="spellStart"/>
      <w:r w:rsidRPr="00501641">
        <w:t>nuevas</w:t>
      </w:r>
      <w:proofErr w:type="spellEnd"/>
      <w:r w:rsidRPr="00501641">
        <w:t xml:space="preserve"> </w:t>
      </w:r>
      <w:proofErr w:type="spellStart"/>
      <w:r w:rsidRPr="00501641">
        <w:t>alianzas</w:t>
      </w:r>
      <w:proofErr w:type="spellEnd"/>
      <w:r w:rsidRPr="00501641">
        <w:t xml:space="preserve"> </w:t>
      </w:r>
      <w:proofErr w:type="spellStart"/>
      <w:r w:rsidRPr="00501641">
        <w:t>innovadoras</w:t>
      </w:r>
      <w:proofErr w:type="spellEnd"/>
      <w:r w:rsidRPr="00501641">
        <w:t xml:space="preserve">. Las </w:t>
      </w:r>
      <w:proofErr w:type="spellStart"/>
      <w:r w:rsidRPr="00501641">
        <w:t>alianzas</w:t>
      </w:r>
      <w:proofErr w:type="spellEnd"/>
      <w:r w:rsidRPr="00501641">
        <w:t xml:space="preserve"> para el </w:t>
      </w:r>
      <w:proofErr w:type="spellStart"/>
      <w:r w:rsidRPr="00501641">
        <w:t>desarrollo</w:t>
      </w:r>
      <w:proofErr w:type="spellEnd"/>
      <w:r w:rsidRPr="00501641">
        <w:t xml:space="preserve"> de </w:t>
      </w:r>
      <w:proofErr w:type="spellStart"/>
      <w:r w:rsidRPr="00501641">
        <w:t>capacidades</w:t>
      </w:r>
      <w:proofErr w:type="spellEnd"/>
      <w:r w:rsidRPr="00501641">
        <w:t xml:space="preserve">, las </w:t>
      </w:r>
      <w:proofErr w:type="spellStart"/>
      <w:r w:rsidRPr="00501641">
        <w:t>herramientas</w:t>
      </w:r>
      <w:proofErr w:type="spellEnd"/>
      <w:r w:rsidRPr="00501641">
        <w:t xml:space="preserve"> de </w:t>
      </w:r>
      <w:proofErr w:type="spellStart"/>
      <w:r w:rsidRPr="00501641">
        <w:t>planificación</w:t>
      </w:r>
      <w:proofErr w:type="spellEnd"/>
      <w:r w:rsidRPr="00501641">
        <w:t xml:space="preserve"> </w:t>
      </w:r>
      <w:proofErr w:type="spellStart"/>
      <w:r w:rsidRPr="00501641">
        <w:t>oceánica</w:t>
      </w:r>
      <w:proofErr w:type="spellEnd"/>
      <w:r w:rsidRPr="00501641">
        <w:t xml:space="preserve"> y las </w:t>
      </w:r>
      <w:proofErr w:type="spellStart"/>
      <w:r w:rsidRPr="00501641">
        <w:t>iniciativas</w:t>
      </w:r>
      <w:proofErr w:type="spellEnd"/>
      <w:r w:rsidRPr="00501641">
        <w:t xml:space="preserve"> </w:t>
      </w:r>
      <w:proofErr w:type="spellStart"/>
      <w:r w:rsidRPr="00501641">
        <w:t>transdisciplinarias</w:t>
      </w:r>
      <w:proofErr w:type="spellEnd"/>
      <w:r w:rsidRPr="00501641">
        <w:t xml:space="preserve"> y </w:t>
      </w:r>
      <w:proofErr w:type="spellStart"/>
      <w:r w:rsidRPr="00501641">
        <w:t>multipartitas</w:t>
      </w:r>
      <w:proofErr w:type="spellEnd"/>
      <w:r w:rsidRPr="00501641">
        <w:t xml:space="preserve"> </w:t>
      </w:r>
      <w:proofErr w:type="spellStart"/>
      <w:r w:rsidRPr="00501641">
        <w:t>en</w:t>
      </w:r>
      <w:proofErr w:type="spellEnd"/>
      <w:r w:rsidRPr="00501641">
        <w:t xml:space="preserve"> </w:t>
      </w:r>
      <w:proofErr w:type="spellStart"/>
      <w:r w:rsidRPr="00501641">
        <w:t>materia</w:t>
      </w:r>
      <w:proofErr w:type="spellEnd"/>
      <w:r w:rsidRPr="00501641">
        <w:t xml:space="preserve"> de </w:t>
      </w:r>
      <w:proofErr w:type="spellStart"/>
      <w:r w:rsidRPr="00501641">
        <w:t>ciencias</w:t>
      </w:r>
      <w:proofErr w:type="spellEnd"/>
      <w:r w:rsidRPr="00501641">
        <w:t xml:space="preserve"> </w:t>
      </w:r>
      <w:proofErr w:type="spellStart"/>
      <w:r w:rsidRPr="00501641">
        <w:t>oceánicas</w:t>
      </w:r>
      <w:proofErr w:type="spellEnd"/>
      <w:r w:rsidRPr="00501641">
        <w:t xml:space="preserve">, </w:t>
      </w:r>
      <w:proofErr w:type="spellStart"/>
      <w:r w:rsidRPr="00501641">
        <w:t>observación</w:t>
      </w:r>
      <w:proofErr w:type="spellEnd"/>
      <w:r w:rsidRPr="00501641">
        <w:t xml:space="preserve">, </w:t>
      </w:r>
      <w:proofErr w:type="spellStart"/>
      <w:r w:rsidRPr="00501641">
        <w:t>datos</w:t>
      </w:r>
      <w:proofErr w:type="spellEnd"/>
      <w:r w:rsidRPr="00501641">
        <w:t xml:space="preserve"> e </w:t>
      </w:r>
      <w:proofErr w:type="spellStart"/>
      <w:r w:rsidRPr="00501641">
        <w:t>información</w:t>
      </w:r>
      <w:proofErr w:type="spellEnd"/>
      <w:r w:rsidRPr="00501641">
        <w:t xml:space="preserve"> </w:t>
      </w:r>
      <w:proofErr w:type="spellStart"/>
      <w:r w:rsidRPr="00501641">
        <w:t>contribuirán</w:t>
      </w:r>
      <w:proofErr w:type="spellEnd"/>
      <w:r w:rsidRPr="00501641">
        <w:t xml:space="preserve"> a </w:t>
      </w:r>
      <w:proofErr w:type="spellStart"/>
      <w:r w:rsidRPr="00501641">
        <w:t>crear</w:t>
      </w:r>
      <w:proofErr w:type="spellEnd"/>
      <w:r w:rsidRPr="00501641">
        <w:t xml:space="preserve"> un </w:t>
      </w:r>
      <w:proofErr w:type="spellStart"/>
      <w:r w:rsidRPr="00501641">
        <w:t>entorno</w:t>
      </w:r>
      <w:proofErr w:type="spellEnd"/>
      <w:r w:rsidRPr="00501641">
        <w:t xml:space="preserve"> </w:t>
      </w:r>
      <w:proofErr w:type="spellStart"/>
      <w:r w:rsidRPr="00501641">
        <w:t>propicio</w:t>
      </w:r>
      <w:proofErr w:type="spellEnd"/>
      <w:r w:rsidRPr="00501641">
        <w:t xml:space="preserve"> para que los </w:t>
      </w:r>
      <w:proofErr w:type="spellStart"/>
      <w:r w:rsidRPr="00501641">
        <w:t>profesionales</w:t>
      </w:r>
      <w:proofErr w:type="spellEnd"/>
      <w:r w:rsidRPr="00501641">
        <w:t xml:space="preserve">, los </w:t>
      </w:r>
      <w:proofErr w:type="spellStart"/>
      <w:r w:rsidRPr="00501641">
        <w:t>responsables</w:t>
      </w:r>
      <w:proofErr w:type="spellEnd"/>
      <w:r w:rsidRPr="00501641">
        <w:t xml:space="preserve"> de la </w:t>
      </w:r>
      <w:proofErr w:type="spellStart"/>
      <w:r w:rsidRPr="00501641">
        <w:t>toma</w:t>
      </w:r>
      <w:proofErr w:type="spellEnd"/>
      <w:r w:rsidRPr="00501641">
        <w:t xml:space="preserve"> de </w:t>
      </w:r>
      <w:proofErr w:type="spellStart"/>
      <w:r w:rsidRPr="00501641">
        <w:t>decisiones</w:t>
      </w:r>
      <w:proofErr w:type="spellEnd"/>
      <w:r w:rsidRPr="00501641">
        <w:t xml:space="preserve"> y el sector privado </w:t>
      </w:r>
      <w:proofErr w:type="spellStart"/>
      <w:r w:rsidRPr="00501641">
        <w:t>participen</w:t>
      </w:r>
      <w:proofErr w:type="spellEnd"/>
      <w:r w:rsidRPr="00501641">
        <w:t xml:space="preserve"> </w:t>
      </w:r>
      <w:proofErr w:type="spellStart"/>
      <w:r w:rsidRPr="00501641">
        <w:t>en</w:t>
      </w:r>
      <w:proofErr w:type="spellEnd"/>
      <w:r w:rsidRPr="00501641">
        <w:t xml:space="preserve"> la </w:t>
      </w:r>
      <w:proofErr w:type="spellStart"/>
      <w:r w:rsidRPr="00501641">
        <w:t>elaboración</w:t>
      </w:r>
      <w:proofErr w:type="spellEnd"/>
      <w:r w:rsidRPr="00501641">
        <w:t xml:space="preserve"> y la </w:t>
      </w:r>
      <w:proofErr w:type="spellStart"/>
      <w:r w:rsidRPr="00501641">
        <w:t>utilización</w:t>
      </w:r>
      <w:proofErr w:type="spellEnd"/>
      <w:r w:rsidRPr="00501641">
        <w:t xml:space="preserve"> de </w:t>
      </w:r>
      <w:proofErr w:type="spellStart"/>
      <w:r w:rsidRPr="00501641">
        <w:t>soluciones</w:t>
      </w:r>
      <w:proofErr w:type="spellEnd"/>
      <w:r w:rsidRPr="00501641">
        <w:t xml:space="preserve"> </w:t>
      </w:r>
      <w:proofErr w:type="spellStart"/>
      <w:r w:rsidRPr="00501641">
        <w:t>basadas</w:t>
      </w:r>
      <w:proofErr w:type="spellEnd"/>
      <w:r w:rsidRPr="00501641">
        <w:t xml:space="preserve"> </w:t>
      </w:r>
      <w:proofErr w:type="spellStart"/>
      <w:r w:rsidRPr="00501641">
        <w:t>en</w:t>
      </w:r>
      <w:proofErr w:type="spellEnd"/>
      <w:r w:rsidRPr="00501641">
        <w:t xml:space="preserve"> la </w:t>
      </w:r>
      <w:proofErr w:type="spellStart"/>
      <w:r w:rsidRPr="00501641">
        <w:t>ciencia</w:t>
      </w:r>
      <w:proofErr w:type="spellEnd"/>
      <w:r w:rsidRPr="00501641">
        <w:t xml:space="preserve">. Se </w:t>
      </w:r>
      <w:proofErr w:type="spellStart"/>
      <w:r w:rsidRPr="00501641">
        <w:t>seguirá</w:t>
      </w:r>
      <w:proofErr w:type="spellEnd"/>
      <w:r w:rsidRPr="00501641">
        <w:t xml:space="preserve"> </w:t>
      </w:r>
      <w:proofErr w:type="spellStart"/>
      <w:r w:rsidRPr="00501641">
        <w:t>promoviendo</w:t>
      </w:r>
      <w:proofErr w:type="spellEnd"/>
      <w:r w:rsidRPr="00501641">
        <w:t xml:space="preserve"> la </w:t>
      </w:r>
      <w:proofErr w:type="spellStart"/>
      <w:r w:rsidRPr="00501641">
        <w:t>participación</w:t>
      </w:r>
      <w:proofErr w:type="spellEnd"/>
      <w:r w:rsidRPr="00501641">
        <w:t xml:space="preserve"> de los </w:t>
      </w:r>
      <w:proofErr w:type="spellStart"/>
      <w:r w:rsidRPr="00501641">
        <w:t>Estados</w:t>
      </w:r>
      <w:proofErr w:type="spellEnd"/>
      <w:r w:rsidRPr="00501641">
        <w:t xml:space="preserve"> </w:t>
      </w:r>
      <w:proofErr w:type="spellStart"/>
      <w:r w:rsidRPr="00501641">
        <w:t>Miembros</w:t>
      </w:r>
      <w:proofErr w:type="spellEnd"/>
      <w:r w:rsidRPr="00501641">
        <w:t xml:space="preserve"> a </w:t>
      </w:r>
      <w:proofErr w:type="spellStart"/>
      <w:r w:rsidRPr="00501641">
        <w:t>través</w:t>
      </w:r>
      <w:proofErr w:type="spellEnd"/>
      <w:r w:rsidRPr="00501641">
        <w:t xml:space="preserve"> de los </w:t>
      </w:r>
      <w:proofErr w:type="spellStart"/>
      <w:r w:rsidRPr="00501641">
        <w:t>marcos</w:t>
      </w:r>
      <w:proofErr w:type="spellEnd"/>
      <w:r w:rsidRPr="00501641">
        <w:t xml:space="preserve"> de </w:t>
      </w:r>
      <w:proofErr w:type="spellStart"/>
      <w:r w:rsidRPr="00501641">
        <w:t>coordinación</w:t>
      </w:r>
      <w:proofErr w:type="spellEnd"/>
      <w:r w:rsidRPr="00501641">
        <w:t xml:space="preserve"> </w:t>
      </w:r>
      <w:proofErr w:type="spellStart"/>
      <w:r w:rsidRPr="00501641">
        <w:t>existentes</w:t>
      </w:r>
      <w:proofErr w:type="spellEnd"/>
      <w:r w:rsidRPr="00501641">
        <w:t xml:space="preserve"> de la COI y del Decenio del </w:t>
      </w:r>
      <w:proofErr w:type="spellStart"/>
      <w:r w:rsidRPr="00501641">
        <w:t>Océano</w:t>
      </w:r>
      <w:proofErr w:type="spellEnd"/>
      <w:r w:rsidRPr="00501641">
        <w:t xml:space="preserve">, </w:t>
      </w:r>
      <w:proofErr w:type="spellStart"/>
      <w:r w:rsidRPr="00501641">
        <w:t>ampliando</w:t>
      </w:r>
      <w:proofErr w:type="spellEnd"/>
      <w:r w:rsidRPr="00501641">
        <w:t xml:space="preserve"> el </w:t>
      </w:r>
      <w:proofErr w:type="spellStart"/>
      <w:r w:rsidRPr="00501641">
        <w:t>ámbito</w:t>
      </w:r>
      <w:proofErr w:type="spellEnd"/>
      <w:r w:rsidRPr="00501641">
        <w:t xml:space="preserve"> </w:t>
      </w:r>
      <w:proofErr w:type="spellStart"/>
      <w:r w:rsidRPr="00501641">
        <w:t>técnico</w:t>
      </w:r>
      <w:proofErr w:type="spellEnd"/>
      <w:r w:rsidRPr="00501641">
        <w:t xml:space="preserve"> y </w:t>
      </w:r>
      <w:proofErr w:type="spellStart"/>
      <w:r w:rsidRPr="00501641">
        <w:t>científico</w:t>
      </w:r>
      <w:proofErr w:type="spellEnd"/>
      <w:r w:rsidRPr="00501641">
        <w:t xml:space="preserve"> </w:t>
      </w:r>
      <w:proofErr w:type="spellStart"/>
      <w:r w:rsidRPr="00501641">
        <w:t>tradicional</w:t>
      </w:r>
      <w:proofErr w:type="spellEnd"/>
      <w:r w:rsidRPr="00501641">
        <w:t xml:space="preserve"> y </w:t>
      </w:r>
      <w:proofErr w:type="spellStart"/>
      <w:r w:rsidRPr="00501641">
        <w:t>poniendo</w:t>
      </w:r>
      <w:proofErr w:type="spellEnd"/>
      <w:r w:rsidRPr="00501641">
        <w:t xml:space="preserve"> de relieve el </w:t>
      </w:r>
      <w:proofErr w:type="spellStart"/>
      <w:r w:rsidRPr="00501641">
        <w:t>valor</w:t>
      </w:r>
      <w:proofErr w:type="spellEnd"/>
      <w:r w:rsidRPr="00501641">
        <w:t xml:space="preserve"> </w:t>
      </w:r>
      <w:proofErr w:type="spellStart"/>
      <w:r w:rsidRPr="00501641">
        <w:t>socioeconómico</w:t>
      </w:r>
      <w:proofErr w:type="spellEnd"/>
      <w:r w:rsidRPr="00501641">
        <w:t xml:space="preserve"> de la </w:t>
      </w:r>
      <w:proofErr w:type="spellStart"/>
      <w:r w:rsidRPr="00501641">
        <w:t>labor</w:t>
      </w:r>
      <w:proofErr w:type="spellEnd"/>
      <w:r w:rsidRPr="00501641">
        <w:t xml:space="preserve"> de la COI para las </w:t>
      </w:r>
      <w:proofErr w:type="spellStart"/>
      <w:r w:rsidRPr="00501641">
        <w:t>partes</w:t>
      </w:r>
      <w:proofErr w:type="spellEnd"/>
      <w:r w:rsidRPr="00501641">
        <w:t xml:space="preserve"> </w:t>
      </w:r>
      <w:proofErr w:type="spellStart"/>
      <w:r w:rsidRPr="00501641">
        <w:t>interesadas</w:t>
      </w:r>
      <w:proofErr w:type="spellEnd"/>
      <w:r w:rsidRPr="00501641">
        <w:t xml:space="preserve"> </w:t>
      </w:r>
      <w:proofErr w:type="spellStart"/>
      <w:r w:rsidRPr="00501641">
        <w:t>en</w:t>
      </w:r>
      <w:proofErr w:type="spellEnd"/>
      <w:r w:rsidRPr="00501641">
        <w:t xml:space="preserve"> el </w:t>
      </w:r>
      <w:proofErr w:type="spellStart"/>
      <w:r w:rsidRPr="00501641">
        <w:t>océano</w:t>
      </w:r>
      <w:proofErr w:type="spellEnd"/>
      <w:r w:rsidRPr="00501641">
        <w:t xml:space="preserve"> </w:t>
      </w:r>
      <w:proofErr w:type="spellStart"/>
      <w:r w:rsidRPr="00501641">
        <w:t>en</w:t>
      </w:r>
      <w:proofErr w:type="spellEnd"/>
      <w:r w:rsidRPr="00501641">
        <w:t xml:space="preserve"> el </w:t>
      </w:r>
      <w:proofErr w:type="spellStart"/>
      <w:r w:rsidRPr="00501641">
        <w:t>plano</w:t>
      </w:r>
      <w:proofErr w:type="spellEnd"/>
      <w:r w:rsidRPr="00501641">
        <w:t xml:space="preserve"> </w:t>
      </w:r>
      <w:proofErr w:type="spellStart"/>
      <w:r w:rsidRPr="00501641">
        <w:t>nacional</w:t>
      </w:r>
      <w:proofErr w:type="spellEnd"/>
      <w:r w:rsidRPr="00501641">
        <w:t xml:space="preserve">. Se </w:t>
      </w:r>
      <w:proofErr w:type="spellStart"/>
      <w:r w:rsidRPr="00501641">
        <w:t>estudiarán</w:t>
      </w:r>
      <w:proofErr w:type="spellEnd"/>
      <w:r w:rsidRPr="00501641">
        <w:t xml:space="preserve"> </w:t>
      </w:r>
      <w:proofErr w:type="spellStart"/>
      <w:r w:rsidRPr="00501641">
        <w:t>nuevas</w:t>
      </w:r>
      <w:proofErr w:type="spellEnd"/>
      <w:r w:rsidRPr="00501641">
        <w:t xml:space="preserve"> </w:t>
      </w:r>
      <w:proofErr w:type="spellStart"/>
      <w:r w:rsidRPr="00501641">
        <w:t>formas</w:t>
      </w:r>
      <w:proofErr w:type="spellEnd"/>
      <w:r w:rsidRPr="00501641">
        <w:t xml:space="preserve"> de </w:t>
      </w:r>
      <w:proofErr w:type="spellStart"/>
      <w:r w:rsidRPr="00501641">
        <w:t>cooperación</w:t>
      </w:r>
      <w:proofErr w:type="spellEnd"/>
      <w:r w:rsidRPr="00501641">
        <w:t xml:space="preserve"> y, </w:t>
      </w:r>
      <w:proofErr w:type="spellStart"/>
      <w:r w:rsidRPr="00501641">
        <w:t>según</w:t>
      </w:r>
      <w:proofErr w:type="spellEnd"/>
      <w:r w:rsidRPr="00501641">
        <w:t xml:space="preserve"> </w:t>
      </w:r>
      <w:proofErr w:type="spellStart"/>
      <w:r w:rsidRPr="00501641">
        <w:t>proceda</w:t>
      </w:r>
      <w:proofErr w:type="spellEnd"/>
      <w:r w:rsidRPr="00501641">
        <w:t xml:space="preserve">, </w:t>
      </w:r>
      <w:proofErr w:type="spellStart"/>
      <w:r w:rsidRPr="00501641">
        <w:t>vínculos</w:t>
      </w:r>
      <w:proofErr w:type="spellEnd"/>
      <w:r w:rsidRPr="00501641">
        <w:t xml:space="preserve"> </w:t>
      </w:r>
      <w:proofErr w:type="spellStart"/>
      <w:r w:rsidRPr="00501641">
        <w:t>oficiales</w:t>
      </w:r>
      <w:proofErr w:type="spellEnd"/>
      <w:r w:rsidRPr="00501641">
        <w:t xml:space="preserve"> </w:t>
      </w:r>
      <w:proofErr w:type="spellStart"/>
      <w:r w:rsidRPr="00501641">
        <w:t>más</w:t>
      </w:r>
      <w:proofErr w:type="spellEnd"/>
      <w:r w:rsidRPr="00501641">
        <w:t xml:space="preserve"> </w:t>
      </w:r>
      <w:proofErr w:type="spellStart"/>
      <w:r w:rsidRPr="00501641">
        <w:t>estrechos</w:t>
      </w:r>
      <w:proofErr w:type="spellEnd"/>
      <w:r w:rsidRPr="00501641">
        <w:t xml:space="preserve"> entre la COI y </w:t>
      </w:r>
      <w:proofErr w:type="spellStart"/>
      <w:r w:rsidRPr="00501641">
        <w:t>otras</w:t>
      </w:r>
      <w:proofErr w:type="spellEnd"/>
      <w:r w:rsidRPr="00501641">
        <w:t xml:space="preserve"> </w:t>
      </w:r>
      <w:proofErr w:type="spellStart"/>
      <w:r w:rsidRPr="00501641">
        <w:t>organizaciones</w:t>
      </w:r>
      <w:proofErr w:type="spellEnd"/>
      <w:r w:rsidRPr="00501641">
        <w:t xml:space="preserve"> de las </w:t>
      </w:r>
      <w:proofErr w:type="spellStart"/>
      <w:r w:rsidRPr="00501641">
        <w:t>Naciones</w:t>
      </w:r>
      <w:proofErr w:type="spellEnd"/>
      <w:r w:rsidRPr="00501641">
        <w:t xml:space="preserve"> </w:t>
      </w:r>
      <w:proofErr w:type="spellStart"/>
      <w:r w:rsidRPr="00501641">
        <w:t>Unidas</w:t>
      </w:r>
      <w:proofErr w:type="spellEnd"/>
      <w:r w:rsidRPr="00501641">
        <w:t xml:space="preserve">, </w:t>
      </w:r>
      <w:proofErr w:type="spellStart"/>
      <w:r w:rsidRPr="00501641">
        <w:t>en</w:t>
      </w:r>
      <w:proofErr w:type="spellEnd"/>
      <w:r w:rsidRPr="00501641">
        <w:t xml:space="preserve"> el </w:t>
      </w:r>
      <w:proofErr w:type="spellStart"/>
      <w:r w:rsidRPr="00501641">
        <w:t>entendimiento</w:t>
      </w:r>
      <w:proofErr w:type="spellEnd"/>
      <w:r w:rsidRPr="00501641">
        <w:t xml:space="preserve"> de que las </w:t>
      </w:r>
      <w:proofErr w:type="spellStart"/>
      <w:r w:rsidRPr="00501641">
        <w:t>ciencias</w:t>
      </w:r>
      <w:proofErr w:type="spellEnd"/>
      <w:r w:rsidRPr="00501641">
        <w:t xml:space="preserve"> </w:t>
      </w:r>
      <w:proofErr w:type="spellStart"/>
      <w:r w:rsidRPr="00501641">
        <w:t>oceánicas</w:t>
      </w:r>
      <w:proofErr w:type="spellEnd"/>
      <w:r w:rsidRPr="00501641">
        <w:t xml:space="preserve"> </w:t>
      </w:r>
      <w:proofErr w:type="spellStart"/>
      <w:r w:rsidRPr="00501641">
        <w:t>constituyen</w:t>
      </w:r>
      <w:proofErr w:type="spellEnd"/>
      <w:r w:rsidRPr="00501641">
        <w:t xml:space="preserve"> una </w:t>
      </w:r>
      <w:proofErr w:type="spellStart"/>
      <w:r w:rsidRPr="00501641">
        <w:t>necesidad</w:t>
      </w:r>
      <w:proofErr w:type="spellEnd"/>
      <w:r w:rsidRPr="00501641">
        <w:t xml:space="preserve"> transversal y fundamental para el </w:t>
      </w:r>
      <w:proofErr w:type="spellStart"/>
      <w:r w:rsidRPr="00501641">
        <w:t>cumplimiento</w:t>
      </w:r>
      <w:proofErr w:type="spellEnd"/>
      <w:r w:rsidRPr="00501641">
        <w:t xml:space="preserve"> de los </w:t>
      </w:r>
      <w:proofErr w:type="spellStart"/>
      <w:r w:rsidRPr="00501641">
        <w:t>mandatos</w:t>
      </w:r>
      <w:proofErr w:type="spellEnd"/>
      <w:r w:rsidRPr="00501641">
        <w:t xml:space="preserve"> de </w:t>
      </w:r>
      <w:proofErr w:type="spellStart"/>
      <w:r w:rsidRPr="00501641">
        <w:t>otros</w:t>
      </w:r>
      <w:proofErr w:type="spellEnd"/>
      <w:r w:rsidRPr="00501641">
        <w:t xml:space="preserve"> </w:t>
      </w:r>
      <w:proofErr w:type="spellStart"/>
      <w:r w:rsidRPr="00501641">
        <w:t>organismos</w:t>
      </w:r>
      <w:proofErr w:type="spellEnd"/>
      <w:r w:rsidRPr="00501641">
        <w:t xml:space="preserve"> </w:t>
      </w:r>
      <w:proofErr w:type="spellStart"/>
      <w:r w:rsidRPr="00501641">
        <w:t>hermanos</w:t>
      </w:r>
      <w:proofErr w:type="spellEnd"/>
      <w:r w:rsidRPr="00501641">
        <w:t xml:space="preserve">. </w:t>
      </w:r>
    </w:p>
    <w:p w14:paraId="7ACA7903" w14:textId="735C7C6C" w:rsidR="00427F27" w:rsidRPr="00501641" w:rsidRDefault="00D56958" w:rsidP="00714BDA">
      <w:pPr>
        <w:pStyle w:val="ListParagraph"/>
        <w:widowControl/>
        <w:numPr>
          <w:ilvl w:val="0"/>
          <w:numId w:val="5"/>
        </w:numPr>
        <w:pBdr>
          <w:bottom w:val="single" w:sz="4" w:space="1" w:color="auto"/>
        </w:pBdr>
        <w:tabs>
          <w:tab w:val="clear" w:pos="567"/>
        </w:tabs>
        <w:autoSpaceDE w:val="0"/>
        <w:autoSpaceDN w:val="0"/>
        <w:snapToGrid/>
        <w:spacing w:line="240" w:lineRule="auto"/>
        <w:ind w:left="709"/>
        <w:jc w:val="left"/>
        <w:textAlignment w:val="auto"/>
        <w:rPr>
          <w:rFonts w:cs="Arial"/>
          <w:sz w:val="24"/>
        </w:rPr>
      </w:pPr>
      <w:proofErr w:type="spellStart"/>
      <w:r w:rsidRPr="00501641">
        <w:rPr>
          <w:rFonts w:cs="Arial"/>
          <w:b/>
          <w:bCs/>
          <w:snapToGrid/>
          <w:sz w:val="24"/>
        </w:rPr>
        <w:t>Prioridades</w:t>
      </w:r>
      <w:proofErr w:type="spellEnd"/>
      <w:r w:rsidRPr="00501641">
        <w:rPr>
          <w:rFonts w:cs="Arial"/>
          <w:b/>
          <w:bCs/>
          <w:snapToGrid/>
          <w:sz w:val="24"/>
        </w:rPr>
        <w:t xml:space="preserve"> de la Comisión </w:t>
      </w:r>
      <w:proofErr w:type="spellStart"/>
      <w:r w:rsidRPr="00501641">
        <w:rPr>
          <w:rFonts w:cs="Arial"/>
          <w:b/>
          <w:bCs/>
          <w:snapToGrid/>
          <w:sz w:val="24"/>
        </w:rPr>
        <w:t>Oceanográfica</w:t>
      </w:r>
      <w:proofErr w:type="spellEnd"/>
      <w:r w:rsidRPr="00501641">
        <w:rPr>
          <w:rFonts w:cs="Arial"/>
          <w:b/>
          <w:bCs/>
          <w:snapToGrid/>
          <w:sz w:val="24"/>
        </w:rPr>
        <w:t xml:space="preserve"> </w:t>
      </w:r>
      <w:proofErr w:type="spellStart"/>
      <w:r w:rsidRPr="00501641">
        <w:rPr>
          <w:rFonts w:cs="Arial"/>
          <w:b/>
          <w:bCs/>
          <w:snapToGrid/>
          <w:sz w:val="24"/>
        </w:rPr>
        <w:t>Intergubernamental</w:t>
      </w:r>
      <w:proofErr w:type="spellEnd"/>
      <w:r w:rsidRPr="00501641">
        <w:rPr>
          <w:rFonts w:cs="Arial"/>
          <w:b/>
          <w:bCs/>
          <w:snapToGrid/>
          <w:sz w:val="24"/>
        </w:rPr>
        <w:t xml:space="preserve"> para 2022-2025</w:t>
      </w:r>
    </w:p>
    <w:p w14:paraId="3D15DFB7" w14:textId="4C7D45D1" w:rsidR="009D0EB6" w:rsidRPr="00501641" w:rsidRDefault="009D0EB6" w:rsidP="009D0EB6">
      <w:pPr>
        <w:widowControl/>
        <w:tabs>
          <w:tab w:val="clear" w:pos="567"/>
          <w:tab w:val="left" w:pos="1162"/>
        </w:tabs>
        <w:autoSpaceDE w:val="0"/>
        <w:autoSpaceDN w:val="0"/>
        <w:snapToGrid/>
        <w:spacing w:line="240" w:lineRule="auto"/>
        <w:jc w:val="left"/>
        <w:textAlignment w:val="auto"/>
        <w:rPr>
          <w:rFonts w:cs="Arial"/>
          <w:szCs w:val="22"/>
        </w:rPr>
      </w:pPr>
    </w:p>
    <w:p w14:paraId="45F87CAC" w14:textId="7B443593" w:rsidR="009D0EB6" w:rsidRPr="00501641" w:rsidRDefault="00C864D9"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r w:rsidRPr="00501641">
        <w:rPr>
          <w:rFonts w:ascii="MyriadPro-Bold" w:hAnsi="MyriadPro-Bold" w:cs="MyriadPro-Bold"/>
          <w:b/>
          <w:bCs/>
          <w:snapToGrid/>
          <w:color w:val="365F91" w:themeColor="accent1" w:themeShade="BF"/>
          <w:sz w:val="24"/>
        </w:rPr>
        <w:t>RESULTADO 3</w:t>
      </w:r>
    </w:p>
    <w:p w14:paraId="7CEC351E" w14:textId="44F7644E" w:rsidR="009D0EB6" w:rsidRPr="00501641" w:rsidRDefault="00C864D9" w:rsidP="009D0EB6">
      <w:pPr>
        <w:widowControl/>
        <w:tabs>
          <w:tab w:val="clear" w:pos="567"/>
          <w:tab w:val="left" w:pos="1162"/>
        </w:tabs>
        <w:autoSpaceDE w:val="0"/>
        <w:autoSpaceDN w:val="0"/>
        <w:snapToGrid/>
        <w:spacing w:line="240" w:lineRule="auto"/>
        <w:jc w:val="left"/>
        <w:textAlignment w:val="auto"/>
        <w:rPr>
          <w:rFonts w:cs="Arial"/>
          <w:szCs w:val="22"/>
        </w:rPr>
      </w:pPr>
      <w:proofErr w:type="spellStart"/>
      <w:r w:rsidRPr="00501641">
        <w:rPr>
          <w:rFonts w:ascii="MyriadPro-Bold" w:hAnsi="MyriadPro-Bold" w:cs="MyriadPro-Bold"/>
          <w:b/>
          <w:bCs/>
          <w:snapToGrid/>
          <w:color w:val="365F91" w:themeColor="accent1" w:themeShade="BF"/>
          <w:sz w:val="24"/>
        </w:rPr>
        <w:t>Mejora</w:t>
      </w:r>
      <w:proofErr w:type="spellEnd"/>
      <w:r w:rsidRPr="00501641">
        <w:rPr>
          <w:rFonts w:ascii="MyriadPro-Bold" w:hAnsi="MyriadPro-Bold" w:cs="MyriadPro-Bold"/>
          <w:b/>
          <w:bCs/>
          <w:snapToGrid/>
          <w:color w:val="365F91" w:themeColor="accent1" w:themeShade="BF"/>
          <w:sz w:val="24"/>
        </w:rPr>
        <w:t xml:space="preserve"> de los </w:t>
      </w:r>
      <w:proofErr w:type="spellStart"/>
      <w:r w:rsidRPr="00501641">
        <w:rPr>
          <w:rFonts w:ascii="MyriadPro-Bold" w:hAnsi="MyriadPro-Bold" w:cs="MyriadPro-Bold"/>
          <w:b/>
          <w:bCs/>
          <w:snapToGrid/>
          <w:color w:val="365F91" w:themeColor="accent1" w:themeShade="BF"/>
          <w:sz w:val="24"/>
        </w:rPr>
        <w:t>conocimientos</w:t>
      </w:r>
      <w:proofErr w:type="spellEnd"/>
      <w:r w:rsidRPr="00501641">
        <w:rPr>
          <w:rFonts w:ascii="MyriadPro-Bold" w:hAnsi="MyriadPro-Bold" w:cs="MyriadPro-Bold"/>
          <w:b/>
          <w:bCs/>
          <w:snapToGrid/>
          <w:color w:val="365F91" w:themeColor="accent1" w:themeShade="BF"/>
          <w:sz w:val="24"/>
        </w:rPr>
        <w:t xml:space="preserve"> para </w:t>
      </w:r>
      <w:proofErr w:type="spellStart"/>
      <w:r w:rsidRPr="00501641">
        <w:rPr>
          <w:rFonts w:ascii="MyriadPro-Bold" w:hAnsi="MyriadPro-Bold" w:cs="MyriadPro-Bold"/>
          <w:b/>
          <w:bCs/>
          <w:snapToGrid/>
          <w:color w:val="365F91" w:themeColor="accent1" w:themeShade="BF"/>
          <w:sz w:val="24"/>
        </w:rPr>
        <w:t>favorecer</w:t>
      </w:r>
      <w:proofErr w:type="spellEnd"/>
      <w:r w:rsidRPr="00501641">
        <w:rPr>
          <w:rFonts w:ascii="MyriadPro-Bold" w:hAnsi="MyriadPro-Bold" w:cs="MyriadPro-Bold"/>
          <w:b/>
          <w:bCs/>
          <w:snapToGrid/>
          <w:color w:val="365F91" w:themeColor="accent1" w:themeShade="BF"/>
          <w:sz w:val="24"/>
        </w:rPr>
        <w:t xml:space="preserve"> la acción </w:t>
      </w:r>
      <w:proofErr w:type="spellStart"/>
      <w:r w:rsidRPr="00501641">
        <w:rPr>
          <w:rFonts w:ascii="MyriadPro-Bold" w:hAnsi="MyriadPro-Bold" w:cs="MyriadPro-Bold"/>
          <w:b/>
          <w:bCs/>
          <w:snapToGrid/>
          <w:color w:val="365F91" w:themeColor="accent1" w:themeShade="BF"/>
          <w:sz w:val="24"/>
        </w:rPr>
        <w:t>climática</w:t>
      </w:r>
      <w:proofErr w:type="spellEnd"/>
      <w:r w:rsidRPr="00501641">
        <w:rPr>
          <w:rFonts w:ascii="MyriadPro-Bold" w:hAnsi="MyriadPro-Bold" w:cs="MyriadPro-Bold"/>
          <w:b/>
          <w:bCs/>
          <w:snapToGrid/>
          <w:color w:val="365F91" w:themeColor="accent1" w:themeShade="BF"/>
          <w:sz w:val="24"/>
        </w:rPr>
        <w:t xml:space="preserve">, la </w:t>
      </w:r>
      <w:proofErr w:type="spellStart"/>
      <w:r w:rsidRPr="00501641">
        <w:rPr>
          <w:rFonts w:ascii="MyriadPro-Bold" w:hAnsi="MyriadPro-Bold" w:cs="MyriadPro-Bold"/>
          <w:b/>
          <w:bCs/>
          <w:snapToGrid/>
          <w:color w:val="365F91" w:themeColor="accent1" w:themeShade="BF"/>
          <w:sz w:val="24"/>
        </w:rPr>
        <w:t>biodiversidad</w:t>
      </w:r>
      <w:proofErr w:type="spellEnd"/>
      <w:r w:rsidRPr="00501641">
        <w:rPr>
          <w:rFonts w:ascii="MyriadPro-Bold" w:hAnsi="MyriadPro-Bold" w:cs="MyriadPro-Bold"/>
          <w:b/>
          <w:bCs/>
          <w:snapToGrid/>
          <w:color w:val="365F91" w:themeColor="accent1" w:themeShade="BF"/>
          <w:sz w:val="24"/>
        </w:rPr>
        <w:t xml:space="preserve">, la </w:t>
      </w:r>
      <w:proofErr w:type="spellStart"/>
      <w:r w:rsidRPr="00501641">
        <w:rPr>
          <w:rFonts w:ascii="MyriadPro-Bold" w:hAnsi="MyriadPro-Bold" w:cs="MyriadPro-Bold"/>
          <w:b/>
          <w:bCs/>
          <w:snapToGrid/>
          <w:color w:val="365F91" w:themeColor="accent1" w:themeShade="BF"/>
          <w:sz w:val="24"/>
        </w:rPr>
        <w:t>gestión</w:t>
      </w:r>
      <w:proofErr w:type="spellEnd"/>
      <w:r w:rsidRPr="00501641">
        <w:rPr>
          <w:rFonts w:ascii="MyriadPro-Bold" w:hAnsi="MyriadPro-Bold" w:cs="MyriadPro-Bold"/>
          <w:b/>
          <w:bCs/>
          <w:snapToGrid/>
          <w:color w:val="365F91" w:themeColor="accent1" w:themeShade="BF"/>
          <w:sz w:val="24"/>
        </w:rPr>
        <w:t xml:space="preserve"> del </w:t>
      </w:r>
      <w:proofErr w:type="spellStart"/>
      <w:r w:rsidRPr="00501641">
        <w:rPr>
          <w:rFonts w:ascii="MyriadPro-Bold" w:hAnsi="MyriadPro-Bold" w:cs="MyriadPro-Bold"/>
          <w:b/>
          <w:bCs/>
          <w:snapToGrid/>
          <w:color w:val="365F91" w:themeColor="accent1" w:themeShade="BF"/>
          <w:sz w:val="24"/>
        </w:rPr>
        <w:t>agua</w:t>
      </w:r>
      <w:proofErr w:type="spellEnd"/>
      <w:r w:rsidRPr="00501641">
        <w:rPr>
          <w:rFonts w:ascii="MyriadPro-Bold" w:hAnsi="MyriadPro-Bold" w:cs="MyriadPro-Bold"/>
          <w:b/>
          <w:bCs/>
          <w:snapToGrid/>
          <w:color w:val="365F91" w:themeColor="accent1" w:themeShade="BF"/>
          <w:sz w:val="24"/>
        </w:rPr>
        <w:t xml:space="preserve"> y del </w:t>
      </w:r>
      <w:proofErr w:type="spellStart"/>
      <w:r w:rsidRPr="00501641">
        <w:rPr>
          <w:rFonts w:ascii="MyriadPro-Bold" w:hAnsi="MyriadPro-Bold" w:cs="MyriadPro-Bold"/>
          <w:b/>
          <w:bCs/>
          <w:snapToGrid/>
          <w:color w:val="365F91" w:themeColor="accent1" w:themeShade="BF"/>
          <w:sz w:val="24"/>
        </w:rPr>
        <w:t>océano</w:t>
      </w:r>
      <w:proofErr w:type="spellEnd"/>
      <w:r w:rsidRPr="00501641">
        <w:rPr>
          <w:rFonts w:ascii="MyriadPro-Bold" w:hAnsi="MyriadPro-Bold" w:cs="MyriadPro-Bold"/>
          <w:b/>
          <w:bCs/>
          <w:snapToGrid/>
          <w:color w:val="365F91" w:themeColor="accent1" w:themeShade="BF"/>
          <w:sz w:val="24"/>
        </w:rPr>
        <w:t xml:space="preserve"> y la </w:t>
      </w:r>
      <w:proofErr w:type="spellStart"/>
      <w:r w:rsidRPr="00501641">
        <w:rPr>
          <w:rFonts w:ascii="MyriadPro-Bold" w:hAnsi="MyriadPro-Bold" w:cs="MyriadPro-Bold"/>
          <w:b/>
          <w:bCs/>
          <w:snapToGrid/>
          <w:color w:val="365F91" w:themeColor="accent1" w:themeShade="BF"/>
          <w:sz w:val="24"/>
        </w:rPr>
        <w:t>reducción</w:t>
      </w:r>
      <w:proofErr w:type="spellEnd"/>
      <w:r w:rsidRPr="00501641">
        <w:rPr>
          <w:rFonts w:ascii="MyriadPro-Bold" w:hAnsi="MyriadPro-Bold" w:cs="MyriadPro-Bold"/>
          <w:b/>
          <w:bCs/>
          <w:snapToGrid/>
          <w:color w:val="365F91" w:themeColor="accent1" w:themeShade="BF"/>
          <w:sz w:val="24"/>
        </w:rPr>
        <w:t xml:space="preserve"> del </w:t>
      </w:r>
      <w:proofErr w:type="spellStart"/>
      <w:r w:rsidRPr="00501641">
        <w:rPr>
          <w:rFonts w:ascii="MyriadPro-Bold" w:hAnsi="MyriadPro-Bold" w:cs="MyriadPro-Bold"/>
          <w:b/>
          <w:bCs/>
          <w:snapToGrid/>
          <w:color w:val="365F91" w:themeColor="accent1" w:themeShade="BF"/>
          <w:sz w:val="24"/>
        </w:rPr>
        <w:t>riesgo</w:t>
      </w:r>
      <w:proofErr w:type="spellEnd"/>
      <w:r w:rsidRPr="00501641">
        <w:rPr>
          <w:rFonts w:ascii="MyriadPro-Bold" w:hAnsi="MyriadPro-Bold" w:cs="MyriadPro-Bold"/>
          <w:b/>
          <w:bCs/>
          <w:snapToGrid/>
          <w:color w:val="365F91" w:themeColor="accent1" w:themeShade="BF"/>
          <w:sz w:val="24"/>
        </w:rPr>
        <w:t xml:space="preserve"> de </w:t>
      </w:r>
      <w:proofErr w:type="spellStart"/>
      <w:r w:rsidRPr="00501641">
        <w:rPr>
          <w:rFonts w:ascii="MyriadPro-Bold" w:hAnsi="MyriadPro-Bold" w:cs="MyriadPro-Bold"/>
          <w:b/>
          <w:bCs/>
          <w:snapToGrid/>
          <w:color w:val="365F91" w:themeColor="accent1" w:themeShade="BF"/>
          <w:sz w:val="24"/>
        </w:rPr>
        <w:t>desastres</w:t>
      </w:r>
      <w:proofErr w:type="spellEnd"/>
    </w:p>
    <w:p w14:paraId="0E5AC5EC" w14:textId="1BB37C1D" w:rsidR="009D0EB6" w:rsidRPr="00501641" w:rsidRDefault="009D0EB6" w:rsidP="009D0EB6">
      <w:pPr>
        <w:widowControl/>
        <w:tabs>
          <w:tab w:val="clear" w:pos="567"/>
          <w:tab w:val="left" w:pos="1162"/>
        </w:tabs>
        <w:autoSpaceDE w:val="0"/>
        <w:autoSpaceDN w:val="0"/>
        <w:snapToGrid/>
        <w:spacing w:line="240" w:lineRule="auto"/>
        <w:jc w:val="left"/>
        <w:textAlignment w:val="auto"/>
        <w:rPr>
          <w:rFonts w:cs="Arial"/>
          <w:szCs w:val="22"/>
        </w:rPr>
      </w:pPr>
    </w:p>
    <w:p w14:paraId="4FAD23D9" w14:textId="08D20B94" w:rsidR="009D0EB6" w:rsidRPr="00501641" w:rsidRDefault="00C864D9" w:rsidP="00C864D9">
      <w:pPr>
        <w:widowControl/>
        <w:tabs>
          <w:tab w:val="clear" w:pos="567"/>
        </w:tabs>
        <w:autoSpaceDE w:val="0"/>
        <w:autoSpaceDN w:val="0"/>
        <w:snapToGrid/>
        <w:spacing w:line="240" w:lineRule="auto"/>
        <w:textAlignment w:val="auto"/>
        <w:rPr>
          <w:rFonts w:ascii="MyriadPro-Bold" w:hAnsi="MyriadPro-Bold" w:cs="MyriadPro-Bold"/>
          <w:b/>
          <w:bCs/>
          <w:snapToGrid/>
          <w:szCs w:val="22"/>
        </w:rPr>
      </w:pPr>
      <w:r w:rsidRPr="00501641">
        <w:rPr>
          <w:rFonts w:ascii="MyriadPro-Bold" w:hAnsi="MyriadPro-Bold" w:cs="MyriadPro-Bold"/>
          <w:b/>
          <w:bCs/>
          <w:snapToGrid/>
          <w:szCs w:val="22"/>
        </w:rPr>
        <w:t xml:space="preserve">PRODUCTO 3.IOC1: </w:t>
      </w:r>
      <w:proofErr w:type="spellStart"/>
      <w:r w:rsidRPr="00501641">
        <w:rPr>
          <w:rFonts w:ascii="MyriadPro-Bold" w:hAnsi="MyriadPro-Bold" w:cs="MyriadPro-Bold"/>
          <w:b/>
          <w:bCs/>
          <w:snapToGrid/>
          <w:szCs w:val="22"/>
        </w:rPr>
        <w:t>Prestación</w:t>
      </w:r>
      <w:proofErr w:type="spellEnd"/>
      <w:r w:rsidRPr="00501641">
        <w:rPr>
          <w:rFonts w:ascii="MyriadPro-Bold" w:hAnsi="MyriadPro-Bold" w:cs="MyriadPro-Bold"/>
          <w:b/>
          <w:bCs/>
          <w:snapToGrid/>
          <w:szCs w:val="22"/>
        </w:rPr>
        <w:t xml:space="preserve"> de un </w:t>
      </w:r>
      <w:proofErr w:type="spellStart"/>
      <w:r w:rsidRPr="00501641">
        <w:rPr>
          <w:rFonts w:ascii="MyriadPro-Bold" w:hAnsi="MyriadPro-Bold" w:cs="MyriadPro-Bold"/>
          <w:b/>
          <w:bCs/>
          <w:snapToGrid/>
          <w:szCs w:val="22"/>
        </w:rPr>
        <w:t>apoyo</w:t>
      </w:r>
      <w:proofErr w:type="spellEnd"/>
      <w:r w:rsidRPr="00501641">
        <w:rPr>
          <w:rFonts w:ascii="MyriadPro-Bold" w:hAnsi="MyriadPro-Bold" w:cs="MyriadPro-Bold"/>
          <w:b/>
          <w:bCs/>
          <w:snapToGrid/>
          <w:szCs w:val="22"/>
        </w:rPr>
        <w:t xml:space="preserve"> fundamental a los </w:t>
      </w:r>
      <w:proofErr w:type="spellStart"/>
      <w:r w:rsidRPr="00501641">
        <w:rPr>
          <w:rFonts w:ascii="MyriadPro-Bold" w:hAnsi="MyriadPro-Bold" w:cs="MyriadPro-Bold"/>
          <w:b/>
          <w:bCs/>
          <w:snapToGrid/>
          <w:szCs w:val="22"/>
        </w:rPr>
        <w:t>Estados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Miembros</w:t>
      </w:r>
      <w:proofErr w:type="spellEnd"/>
      <w:r w:rsidRPr="00501641">
        <w:rPr>
          <w:rFonts w:ascii="MyriadPro-Bold" w:hAnsi="MyriadPro-Bold" w:cs="MyriadPro-Bold"/>
          <w:b/>
          <w:bCs/>
          <w:snapToGrid/>
          <w:szCs w:val="22"/>
        </w:rPr>
        <w:t xml:space="preserve"> para </w:t>
      </w:r>
      <w:proofErr w:type="spellStart"/>
      <w:r w:rsidRPr="00501641">
        <w:rPr>
          <w:rFonts w:ascii="MyriadPro-Bold" w:hAnsi="MyriadPro-Bold" w:cs="MyriadPro-Bold"/>
          <w:b/>
          <w:bCs/>
          <w:snapToGrid/>
          <w:szCs w:val="22"/>
        </w:rPr>
        <w:t>fortalecer</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su</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capacidad</w:t>
      </w:r>
      <w:proofErr w:type="spellEnd"/>
      <w:r w:rsidRPr="00501641">
        <w:rPr>
          <w:rFonts w:ascii="MyriadPro-Bold" w:hAnsi="MyriadPro-Bold" w:cs="MyriadPro-Bold"/>
          <w:b/>
          <w:bCs/>
          <w:snapToGrid/>
          <w:szCs w:val="22"/>
        </w:rPr>
        <w:t xml:space="preserve"> de </w:t>
      </w:r>
      <w:proofErr w:type="spellStart"/>
      <w:r w:rsidRPr="00501641">
        <w:rPr>
          <w:rFonts w:ascii="MyriadPro-Bold" w:hAnsi="MyriadPro-Bold" w:cs="MyriadPro-Bold"/>
          <w:b/>
          <w:bCs/>
          <w:snapToGrid/>
          <w:szCs w:val="22"/>
        </w:rPr>
        <w:t>realizar</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investigaciones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científicas</w:t>
      </w:r>
      <w:proofErr w:type="spellEnd"/>
      <w:r w:rsidRPr="00501641">
        <w:rPr>
          <w:rFonts w:ascii="MyriadPro-Bold" w:hAnsi="MyriadPro-Bold" w:cs="MyriadPro-Bold"/>
          <w:b/>
          <w:bCs/>
          <w:snapToGrid/>
          <w:szCs w:val="22"/>
        </w:rPr>
        <w:t xml:space="preserve"> marinas, </w:t>
      </w:r>
      <w:proofErr w:type="spellStart"/>
      <w:r w:rsidRPr="00501641">
        <w:rPr>
          <w:rFonts w:ascii="MyriadPro-Bold" w:hAnsi="MyriadPro-Bold" w:cs="MyriadPro-Bold"/>
          <w:b/>
          <w:bCs/>
          <w:snapToGrid/>
          <w:szCs w:val="22"/>
        </w:rPr>
        <w:t>generar</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conocimientos</w:t>
      </w:r>
      <w:proofErr w:type="spellEnd"/>
      <w:r w:rsidRPr="00501641">
        <w:rPr>
          <w:rFonts w:ascii="MyriadPro-Bold" w:hAnsi="MyriadPro-Bold" w:cs="MyriadPro-Bold"/>
          <w:b/>
          <w:bCs/>
          <w:snapToGrid/>
          <w:szCs w:val="22"/>
        </w:rPr>
        <w:t xml:space="preserve"> y </w:t>
      </w:r>
      <w:proofErr w:type="spellStart"/>
      <w:r w:rsidRPr="00501641">
        <w:rPr>
          <w:rFonts w:ascii="MyriadPro-Bold" w:hAnsi="MyriadPro-Bold" w:cs="MyriadPro-Bold"/>
          <w:b/>
          <w:bCs/>
          <w:snapToGrid/>
          <w:szCs w:val="22"/>
        </w:rPr>
        <w:t>elaborar</w:t>
      </w:r>
      <w:proofErr w:type="spellEnd"/>
      <w:r w:rsidRPr="00501641">
        <w:rPr>
          <w:rFonts w:ascii="MyriadPro-Bold" w:hAnsi="MyriadPro-Bold" w:cs="MyriadPro-Bold"/>
          <w:b/>
          <w:bCs/>
          <w:snapToGrid/>
          <w:szCs w:val="22"/>
        </w:rPr>
        <w:t xml:space="preserve"> y </w:t>
      </w:r>
      <w:proofErr w:type="spellStart"/>
      <w:r w:rsidRPr="00501641">
        <w:rPr>
          <w:rFonts w:ascii="MyriadPro-Bold" w:hAnsi="MyriadPro-Bold" w:cs="MyriadPro-Bold"/>
          <w:b/>
          <w:bCs/>
          <w:snapToGrid/>
          <w:szCs w:val="22"/>
        </w:rPr>
        <w:t>aplicar</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herramientas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servicios</w:t>
      </w:r>
      <w:proofErr w:type="spellEnd"/>
      <w:r w:rsidRPr="00501641">
        <w:rPr>
          <w:rFonts w:ascii="MyriadPro-Bold" w:hAnsi="MyriadPro-Bold" w:cs="MyriadPro-Bold"/>
          <w:b/>
          <w:bCs/>
          <w:snapToGrid/>
          <w:szCs w:val="22"/>
        </w:rPr>
        <w:t xml:space="preserve"> y </w:t>
      </w:r>
      <w:proofErr w:type="spellStart"/>
      <w:r w:rsidRPr="00501641">
        <w:rPr>
          <w:rFonts w:ascii="MyriadPro-Bold" w:hAnsi="MyriadPro-Bold" w:cs="MyriadPro-Bold"/>
          <w:b/>
          <w:bCs/>
          <w:snapToGrid/>
          <w:szCs w:val="22"/>
        </w:rPr>
        <w:t>políticas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basados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en</w:t>
      </w:r>
      <w:proofErr w:type="spellEnd"/>
      <w:r w:rsidRPr="00501641">
        <w:rPr>
          <w:rFonts w:ascii="MyriadPro-Bold" w:hAnsi="MyriadPro-Bold" w:cs="MyriadPro-Bold"/>
          <w:b/>
          <w:bCs/>
          <w:snapToGrid/>
          <w:szCs w:val="22"/>
        </w:rPr>
        <w:t xml:space="preserve"> la </w:t>
      </w:r>
      <w:proofErr w:type="spellStart"/>
      <w:r w:rsidRPr="00501641">
        <w:rPr>
          <w:rFonts w:ascii="MyriadPro-Bold" w:hAnsi="MyriadPro-Bold" w:cs="MyriadPro-Bold"/>
          <w:b/>
          <w:bCs/>
          <w:snapToGrid/>
          <w:szCs w:val="22"/>
        </w:rPr>
        <w:t>ciencia</w:t>
      </w:r>
      <w:proofErr w:type="spellEnd"/>
      <w:r w:rsidRPr="00501641">
        <w:rPr>
          <w:rFonts w:ascii="MyriadPro-Bold" w:hAnsi="MyriadPro-Bold" w:cs="MyriadPro-Bold"/>
          <w:b/>
          <w:bCs/>
          <w:snapToGrid/>
          <w:szCs w:val="22"/>
        </w:rPr>
        <w:t xml:space="preserve"> a fin de </w:t>
      </w:r>
      <w:proofErr w:type="spellStart"/>
      <w:r w:rsidRPr="00501641">
        <w:rPr>
          <w:rFonts w:ascii="MyriadPro-Bold" w:hAnsi="MyriadPro-Bold" w:cs="MyriadPro-Bold"/>
          <w:b/>
          <w:bCs/>
          <w:snapToGrid/>
          <w:szCs w:val="22"/>
        </w:rPr>
        <w:t>invertir</w:t>
      </w:r>
      <w:proofErr w:type="spellEnd"/>
      <w:r w:rsidRPr="00501641">
        <w:rPr>
          <w:rFonts w:ascii="MyriadPro-Bold" w:hAnsi="MyriadPro-Bold" w:cs="MyriadPro-Bold"/>
          <w:b/>
          <w:bCs/>
          <w:snapToGrid/>
          <w:szCs w:val="22"/>
        </w:rPr>
        <w:t xml:space="preserve"> el </w:t>
      </w:r>
      <w:proofErr w:type="spellStart"/>
      <w:r w:rsidRPr="00501641">
        <w:rPr>
          <w:rFonts w:ascii="MyriadPro-Bold" w:hAnsi="MyriadPro-Bold" w:cs="MyriadPro-Bold"/>
          <w:b/>
          <w:bCs/>
          <w:snapToGrid/>
          <w:szCs w:val="22"/>
        </w:rPr>
        <w:t>deterioro</w:t>
      </w:r>
      <w:proofErr w:type="spellEnd"/>
      <w:r w:rsidRPr="00501641">
        <w:rPr>
          <w:rFonts w:ascii="MyriadPro-Bold" w:hAnsi="MyriadPro-Bold" w:cs="MyriadPro-Bold"/>
          <w:b/>
          <w:bCs/>
          <w:snapToGrid/>
          <w:szCs w:val="22"/>
        </w:rPr>
        <w:t xml:space="preserve"> de la </w:t>
      </w:r>
      <w:proofErr w:type="spellStart"/>
      <w:r w:rsidRPr="00501641">
        <w:rPr>
          <w:rFonts w:ascii="MyriadPro-Bold" w:hAnsi="MyriadPro-Bold" w:cs="MyriadPro-Bold"/>
          <w:b/>
          <w:bCs/>
          <w:snapToGrid/>
          <w:szCs w:val="22"/>
        </w:rPr>
        <w:t>salud</w:t>
      </w:r>
      <w:proofErr w:type="spellEnd"/>
      <w:r w:rsidRPr="00501641">
        <w:rPr>
          <w:rFonts w:ascii="MyriadPro-Bold" w:hAnsi="MyriadPro-Bold" w:cs="MyriadPro-Bold"/>
          <w:b/>
          <w:bCs/>
          <w:snapToGrid/>
          <w:szCs w:val="22"/>
        </w:rPr>
        <w:t xml:space="preserve"> del </w:t>
      </w:r>
      <w:proofErr w:type="spellStart"/>
      <w:r w:rsidRPr="00501641">
        <w:rPr>
          <w:rFonts w:ascii="MyriadPro-Bold" w:hAnsi="MyriadPro-Bold" w:cs="MyriadPro-Bold"/>
          <w:b/>
          <w:bCs/>
          <w:snapToGrid/>
          <w:szCs w:val="22"/>
        </w:rPr>
        <w:t>océano</w:t>
      </w:r>
      <w:proofErr w:type="spellEnd"/>
      <w:r w:rsidRPr="00501641">
        <w:rPr>
          <w:rFonts w:ascii="MyriadPro-Bold" w:hAnsi="MyriadPro-Bold" w:cs="MyriadPro-Bold"/>
          <w:b/>
          <w:bCs/>
          <w:snapToGrid/>
          <w:szCs w:val="22"/>
        </w:rPr>
        <w:t xml:space="preserve"> y </w:t>
      </w:r>
      <w:proofErr w:type="spellStart"/>
      <w:r w:rsidRPr="00501641">
        <w:rPr>
          <w:rFonts w:ascii="MyriadPro-Bold" w:hAnsi="MyriadPro-Bold" w:cs="MyriadPro-Bold"/>
          <w:b/>
          <w:bCs/>
          <w:snapToGrid/>
          <w:szCs w:val="22"/>
        </w:rPr>
        <w:t>acelerar</w:t>
      </w:r>
      <w:proofErr w:type="spellEnd"/>
      <w:r w:rsidRPr="00501641">
        <w:rPr>
          <w:rFonts w:ascii="MyriadPro-Bold" w:hAnsi="MyriadPro-Bold" w:cs="MyriadPro-Bold"/>
          <w:b/>
          <w:bCs/>
          <w:snapToGrid/>
          <w:szCs w:val="22"/>
        </w:rPr>
        <w:t xml:space="preserve"> la </w:t>
      </w:r>
      <w:proofErr w:type="spellStart"/>
      <w:r w:rsidRPr="00501641">
        <w:rPr>
          <w:rFonts w:ascii="MyriadPro-Bold" w:hAnsi="MyriadPro-Bold" w:cs="MyriadPro-Bold"/>
          <w:b/>
          <w:bCs/>
          <w:snapToGrid/>
          <w:szCs w:val="22"/>
        </w:rPr>
        <w:t>transición</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hacia</w:t>
      </w:r>
      <w:proofErr w:type="spellEnd"/>
      <w:r w:rsidRPr="00501641">
        <w:rPr>
          <w:rFonts w:ascii="MyriadPro-Bold" w:hAnsi="MyriadPro-Bold" w:cs="MyriadPro-Bold"/>
          <w:b/>
          <w:bCs/>
          <w:snapToGrid/>
          <w:szCs w:val="22"/>
        </w:rPr>
        <w:t xml:space="preserve"> una </w:t>
      </w:r>
      <w:proofErr w:type="spellStart"/>
      <w:r w:rsidRPr="00501641">
        <w:rPr>
          <w:rFonts w:ascii="MyriadPro-Bold" w:hAnsi="MyriadPro-Bold" w:cs="MyriadPro-Bold"/>
          <w:b/>
          <w:bCs/>
          <w:snapToGrid/>
          <w:szCs w:val="22"/>
        </w:rPr>
        <w:t>gestión</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sostenible</w:t>
      </w:r>
      <w:proofErr w:type="spellEnd"/>
      <w:r w:rsidRPr="00501641">
        <w:rPr>
          <w:rFonts w:ascii="MyriadPro-Bold" w:hAnsi="MyriadPro-Bold" w:cs="MyriadPro-Bold"/>
          <w:b/>
          <w:bCs/>
          <w:snapToGrid/>
          <w:szCs w:val="22"/>
        </w:rPr>
        <w:t xml:space="preserve"> de los </w:t>
      </w:r>
      <w:proofErr w:type="spellStart"/>
      <w:r w:rsidRPr="00501641">
        <w:rPr>
          <w:rFonts w:ascii="MyriadPro-Bold" w:hAnsi="MyriadPro-Bold" w:cs="MyriadPro-Bold"/>
          <w:b/>
          <w:bCs/>
          <w:snapToGrid/>
          <w:szCs w:val="22"/>
        </w:rPr>
        <w:t>riesgos</w:t>
      </w:r>
      <w:proofErr w:type="spellEnd"/>
      <w:r w:rsidRPr="00501641">
        <w:rPr>
          <w:rFonts w:ascii="MyriadPro-Bold" w:hAnsi="MyriadPro-Bold" w:cs="MyriadPro-Bold"/>
          <w:b/>
          <w:bCs/>
          <w:snapToGrid/>
          <w:szCs w:val="22"/>
        </w:rPr>
        <w:t xml:space="preserve"> y las </w:t>
      </w:r>
      <w:proofErr w:type="spellStart"/>
      <w:r w:rsidRPr="00501641">
        <w:rPr>
          <w:rFonts w:ascii="MyriadPro-Bold" w:hAnsi="MyriadPro-Bold" w:cs="MyriadPro-Bold"/>
          <w:b/>
          <w:bCs/>
          <w:snapToGrid/>
          <w:szCs w:val="22"/>
        </w:rPr>
        <w:t>oportunidades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relacionados</w:t>
      </w:r>
      <w:proofErr w:type="spellEnd"/>
      <w:r w:rsidRPr="00501641">
        <w:rPr>
          <w:rFonts w:ascii="MyriadPro-Bold" w:hAnsi="MyriadPro-Bold" w:cs="MyriadPro-Bold"/>
          <w:b/>
          <w:bCs/>
          <w:snapToGrid/>
          <w:szCs w:val="22"/>
        </w:rPr>
        <w:t xml:space="preserve"> con el </w:t>
      </w:r>
      <w:proofErr w:type="spellStart"/>
      <w:r w:rsidRPr="00501641">
        <w:rPr>
          <w:rFonts w:ascii="MyriadPro-Bold" w:hAnsi="MyriadPro-Bold" w:cs="MyriadPro-Bold"/>
          <w:b/>
          <w:bCs/>
          <w:snapToGrid/>
          <w:szCs w:val="22"/>
        </w:rPr>
        <w:t>océano</w:t>
      </w:r>
      <w:proofErr w:type="spellEnd"/>
      <w:r w:rsidRPr="00501641">
        <w:rPr>
          <w:rStyle w:val="FootnoteReference"/>
          <w:rFonts w:ascii="MyriadPro-Bold" w:hAnsi="MyriadPro-Bold" w:cs="MyriadPro-Bold"/>
          <w:b/>
          <w:bCs/>
          <w:snapToGrid/>
          <w:szCs w:val="22"/>
        </w:rPr>
        <w:footnoteReference w:id="2"/>
      </w:r>
    </w:p>
    <w:p w14:paraId="7F6AAE2C" w14:textId="3AA8D7C7" w:rsidR="009D0EB6" w:rsidRPr="00501641" w:rsidRDefault="009D0EB6"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rPr>
      </w:pPr>
    </w:p>
    <w:p w14:paraId="35FC8D09" w14:textId="18CEE918" w:rsidR="009D0EB6" w:rsidRPr="00501641" w:rsidRDefault="009D0EB6" w:rsidP="009D0EB6">
      <w:pPr>
        <w:pStyle w:val="Marge"/>
        <w:tabs>
          <w:tab w:val="clear" w:pos="567"/>
          <w:tab w:val="left" w:pos="1162"/>
        </w:tabs>
        <w:spacing w:after="120" w:line="240" w:lineRule="auto"/>
      </w:pPr>
      <w:r w:rsidRPr="00501641">
        <w:rPr>
          <w:bdr w:val="single" w:sz="4" w:space="0" w:color="auto"/>
        </w:rPr>
        <w:t>03015</w:t>
      </w:r>
      <w:r w:rsidRPr="00501641">
        <w:tab/>
        <w:t xml:space="preserve">El Proyecto de </w:t>
      </w:r>
      <w:proofErr w:type="spellStart"/>
      <w:r w:rsidRPr="00501641">
        <w:t>Estrategia</w:t>
      </w:r>
      <w:proofErr w:type="spellEnd"/>
      <w:r w:rsidRPr="00501641">
        <w:t xml:space="preserve"> a </w:t>
      </w:r>
      <w:proofErr w:type="spellStart"/>
      <w:r w:rsidRPr="00501641">
        <w:t>Plazo</w:t>
      </w:r>
      <w:proofErr w:type="spellEnd"/>
      <w:r w:rsidRPr="00501641">
        <w:t xml:space="preserve"> Medio de la COI para 2022-2029 </w:t>
      </w:r>
      <w:proofErr w:type="spellStart"/>
      <w:r w:rsidRPr="00501641">
        <w:t>plantea</w:t>
      </w:r>
      <w:proofErr w:type="spellEnd"/>
      <w:r w:rsidRPr="00501641">
        <w:t xml:space="preserve"> la </w:t>
      </w:r>
      <w:proofErr w:type="spellStart"/>
      <w:r w:rsidRPr="00501641">
        <w:t>visión</w:t>
      </w:r>
      <w:proofErr w:type="spellEnd"/>
      <w:r w:rsidRPr="00501641">
        <w:t xml:space="preserve"> de “</w:t>
      </w:r>
      <w:proofErr w:type="spellStart"/>
      <w:r w:rsidRPr="00501641">
        <w:t>Unir</w:t>
      </w:r>
      <w:proofErr w:type="spellEnd"/>
      <w:r w:rsidRPr="00501641">
        <w:t xml:space="preserve"> a los </w:t>
      </w:r>
      <w:proofErr w:type="spellStart"/>
      <w:r w:rsidRPr="00501641">
        <w:t>gobiernos</w:t>
      </w:r>
      <w:proofErr w:type="spellEnd"/>
      <w:r w:rsidRPr="00501641">
        <w:t xml:space="preserve"> y a la </w:t>
      </w:r>
      <w:proofErr w:type="spellStart"/>
      <w:r w:rsidRPr="00501641">
        <w:t>comunidad</w:t>
      </w:r>
      <w:proofErr w:type="spellEnd"/>
      <w:r w:rsidRPr="00501641">
        <w:t xml:space="preserve"> </w:t>
      </w:r>
      <w:proofErr w:type="spellStart"/>
      <w:r w:rsidRPr="00501641">
        <w:t>científica</w:t>
      </w:r>
      <w:proofErr w:type="spellEnd"/>
      <w:r w:rsidRPr="00501641">
        <w:t xml:space="preserve"> para </w:t>
      </w:r>
      <w:proofErr w:type="spellStart"/>
      <w:r w:rsidRPr="00501641">
        <w:t>conseguir</w:t>
      </w:r>
      <w:proofErr w:type="spellEnd"/>
      <w:r w:rsidRPr="00501641">
        <w:t xml:space="preserve"> ‘El </w:t>
      </w:r>
      <w:proofErr w:type="spellStart"/>
      <w:r w:rsidRPr="00501641">
        <w:t>océano</w:t>
      </w:r>
      <w:proofErr w:type="spellEnd"/>
      <w:r w:rsidRPr="00501641">
        <w:t xml:space="preserve"> que </w:t>
      </w:r>
      <w:proofErr w:type="spellStart"/>
      <w:r w:rsidRPr="00501641">
        <w:t>necesitamos</w:t>
      </w:r>
      <w:proofErr w:type="spellEnd"/>
      <w:r w:rsidRPr="00501641">
        <w:t xml:space="preserve"> para el </w:t>
      </w:r>
      <w:proofErr w:type="spellStart"/>
      <w:r w:rsidRPr="00501641">
        <w:t>futuro</w:t>
      </w:r>
      <w:proofErr w:type="spellEnd"/>
      <w:r w:rsidRPr="00501641">
        <w:t xml:space="preserve"> que </w:t>
      </w:r>
      <w:proofErr w:type="spellStart"/>
      <w:r w:rsidRPr="00501641">
        <w:t>queremos</w:t>
      </w:r>
      <w:proofErr w:type="spellEnd"/>
      <w:r w:rsidRPr="00501641">
        <w:t xml:space="preserve">’”. Mediante la </w:t>
      </w:r>
      <w:proofErr w:type="spellStart"/>
      <w:r w:rsidRPr="00501641">
        <w:t>cooperación</w:t>
      </w:r>
      <w:proofErr w:type="spellEnd"/>
      <w:r w:rsidRPr="00501641">
        <w:t xml:space="preserve"> </w:t>
      </w:r>
      <w:proofErr w:type="spellStart"/>
      <w:r w:rsidRPr="00501641">
        <w:t>internacional</w:t>
      </w:r>
      <w:proofErr w:type="spellEnd"/>
      <w:r w:rsidRPr="00501641">
        <w:t xml:space="preserve">, la COI </w:t>
      </w:r>
      <w:proofErr w:type="spellStart"/>
      <w:r w:rsidRPr="00501641">
        <w:t>aspira</w:t>
      </w:r>
      <w:proofErr w:type="spellEnd"/>
      <w:r w:rsidRPr="00501641">
        <w:t xml:space="preserve"> a </w:t>
      </w:r>
      <w:proofErr w:type="spellStart"/>
      <w:r w:rsidRPr="00501641">
        <w:t>generar</w:t>
      </w:r>
      <w:proofErr w:type="spellEnd"/>
      <w:r w:rsidRPr="00501641">
        <w:t xml:space="preserve"> y </w:t>
      </w:r>
      <w:proofErr w:type="spellStart"/>
      <w:r w:rsidRPr="00501641">
        <w:t>aplicar</w:t>
      </w:r>
      <w:proofErr w:type="spellEnd"/>
      <w:r w:rsidRPr="00501641">
        <w:t xml:space="preserve"> </w:t>
      </w:r>
      <w:proofErr w:type="spellStart"/>
      <w:r w:rsidRPr="00501641">
        <w:t>conocimientos</w:t>
      </w:r>
      <w:proofErr w:type="spellEnd"/>
      <w:r w:rsidRPr="00501641">
        <w:t xml:space="preserve"> </w:t>
      </w:r>
      <w:proofErr w:type="spellStart"/>
      <w:r w:rsidRPr="00501641">
        <w:t>científicos</w:t>
      </w:r>
      <w:proofErr w:type="spellEnd"/>
      <w:r w:rsidRPr="00501641">
        <w:t xml:space="preserve"> para </w:t>
      </w:r>
      <w:proofErr w:type="spellStart"/>
      <w:r w:rsidRPr="00501641">
        <w:t>alcanzar</w:t>
      </w:r>
      <w:proofErr w:type="spellEnd"/>
      <w:r w:rsidRPr="00501641">
        <w:t xml:space="preserve"> los </w:t>
      </w:r>
      <w:proofErr w:type="spellStart"/>
      <w:r w:rsidRPr="00501641">
        <w:t>siguientes</w:t>
      </w:r>
      <w:proofErr w:type="spellEnd"/>
      <w:r w:rsidRPr="00501641">
        <w:t xml:space="preserve"> </w:t>
      </w:r>
      <w:proofErr w:type="spellStart"/>
      <w:r w:rsidRPr="00501641">
        <w:t>objetivos</w:t>
      </w:r>
      <w:proofErr w:type="spellEnd"/>
      <w:r w:rsidRPr="00501641">
        <w:t xml:space="preserve"> de alto </w:t>
      </w:r>
      <w:proofErr w:type="spellStart"/>
      <w:r w:rsidRPr="00501641">
        <w:t>nivel</w:t>
      </w:r>
      <w:proofErr w:type="spellEnd"/>
      <w:r w:rsidRPr="00501641">
        <w:t xml:space="preserve">, </w:t>
      </w:r>
      <w:proofErr w:type="spellStart"/>
      <w:r w:rsidRPr="00501641">
        <w:t>velando</w:t>
      </w:r>
      <w:proofErr w:type="spellEnd"/>
      <w:r w:rsidRPr="00501641">
        <w:t xml:space="preserve"> </w:t>
      </w:r>
      <w:proofErr w:type="spellStart"/>
      <w:r w:rsidRPr="00501641">
        <w:t>especialmente</w:t>
      </w:r>
      <w:proofErr w:type="spellEnd"/>
      <w:r w:rsidRPr="00501641">
        <w:t xml:space="preserve"> por que </w:t>
      </w:r>
      <w:proofErr w:type="spellStart"/>
      <w:r w:rsidRPr="00501641">
        <w:t>todos</w:t>
      </w:r>
      <w:proofErr w:type="spellEnd"/>
      <w:r w:rsidRPr="00501641">
        <w:t xml:space="preserve"> los </w:t>
      </w:r>
      <w:proofErr w:type="spellStart"/>
      <w:r w:rsidRPr="00501641">
        <w:t>Estados</w:t>
      </w:r>
      <w:proofErr w:type="spellEnd"/>
      <w:r w:rsidRPr="00501641">
        <w:t xml:space="preserve"> </w:t>
      </w:r>
      <w:proofErr w:type="spellStart"/>
      <w:r w:rsidRPr="00501641">
        <w:t>Miembros</w:t>
      </w:r>
      <w:proofErr w:type="spellEnd"/>
      <w:r w:rsidRPr="00501641">
        <w:t xml:space="preserve"> </w:t>
      </w:r>
      <w:proofErr w:type="spellStart"/>
      <w:r w:rsidRPr="00501641">
        <w:t>tengan</w:t>
      </w:r>
      <w:proofErr w:type="spellEnd"/>
      <w:r w:rsidRPr="00501641">
        <w:t xml:space="preserve"> la </w:t>
      </w:r>
      <w:proofErr w:type="spellStart"/>
      <w:r w:rsidRPr="00501641">
        <w:t>capacidad</w:t>
      </w:r>
      <w:proofErr w:type="spellEnd"/>
      <w:r w:rsidRPr="00501641">
        <w:t xml:space="preserve"> de </w:t>
      </w:r>
      <w:proofErr w:type="spellStart"/>
      <w:r w:rsidRPr="00501641">
        <w:t>lograrlos</w:t>
      </w:r>
      <w:proofErr w:type="spellEnd"/>
      <w:r w:rsidRPr="00501641">
        <w:t>:</w:t>
      </w:r>
    </w:p>
    <w:p w14:paraId="44C0D5D4" w14:textId="4CD596CB" w:rsidR="00C864D9" w:rsidRPr="00501641" w:rsidRDefault="00C864D9" w:rsidP="00C864D9">
      <w:pPr>
        <w:pStyle w:val="Marge"/>
        <w:tabs>
          <w:tab w:val="clear" w:pos="567"/>
          <w:tab w:val="left" w:pos="1162"/>
        </w:tabs>
        <w:spacing w:after="120" w:line="240" w:lineRule="auto"/>
      </w:pPr>
      <w:r w:rsidRPr="00501641">
        <w:t xml:space="preserve">1. Un </w:t>
      </w:r>
      <w:proofErr w:type="spellStart"/>
      <w:r w:rsidRPr="00501641">
        <w:t>océano</w:t>
      </w:r>
      <w:proofErr w:type="spellEnd"/>
      <w:r w:rsidRPr="00501641">
        <w:t xml:space="preserve"> </w:t>
      </w:r>
      <w:proofErr w:type="spellStart"/>
      <w:r w:rsidRPr="00501641">
        <w:t>saludable</w:t>
      </w:r>
      <w:proofErr w:type="spellEnd"/>
      <w:r w:rsidRPr="00501641">
        <w:t xml:space="preserve"> y </w:t>
      </w:r>
      <w:proofErr w:type="spellStart"/>
      <w:r w:rsidRPr="00501641">
        <w:t>mantenimiento</w:t>
      </w:r>
      <w:proofErr w:type="spellEnd"/>
      <w:r w:rsidRPr="00501641">
        <w:t xml:space="preserve"> de los </w:t>
      </w:r>
      <w:proofErr w:type="spellStart"/>
      <w:r w:rsidRPr="00501641">
        <w:t>servicios</w:t>
      </w:r>
      <w:proofErr w:type="spellEnd"/>
      <w:r w:rsidRPr="00501641">
        <w:t xml:space="preserve"> de los </w:t>
      </w:r>
      <w:proofErr w:type="spellStart"/>
      <w:r w:rsidRPr="00501641">
        <w:t>ecosistemas</w:t>
      </w:r>
      <w:proofErr w:type="spellEnd"/>
      <w:r w:rsidRPr="00501641">
        <w:t xml:space="preserve"> </w:t>
      </w:r>
      <w:proofErr w:type="spellStart"/>
      <w:r w:rsidRPr="00501641">
        <w:t>oceánicos</w:t>
      </w:r>
      <w:proofErr w:type="spellEnd"/>
      <w:r w:rsidRPr="00501641">
        <w:t>.</w:t>
      </w:r>
    </w:p>
    <w:p w14:paraId="34D7ECD3" w14:textId="53B54139" w:rsidR="00C864D9" w:rsidRPr="00501641" w:rsidRDefault="00C864D9" w:rsidP="00C864D9">
      <w:pPr>
        <w:pStyle w:val="Marge"/>
        <w:tabs>
          <w:tab w:val="clear" w:pos="567"/>
          <w:tab w:val="left" w:pos="1162"/>
        </w:tabs>
        <w:spacing w:after="120" w:line="240" w:lineRule="auto"/>
      </w:pPr>
      <w:r w:rsidRPr="00501641">
        <w:t xml:space="preserve">2. </w:t>
      </w:r>
      <w:proofErr w:type="spellStart"/>
      <w:r w:rsidRPr="00501641">
        <w:t>Sistemas</w:t>
      </w:r>
      <w:proofErr w:type="spellEnd"/>
      <w:r w:rsidRPr="00501641">
        <w:t xml:space="preserve"> de </w:t>
      </w:r>
      <w:proofErr w:type="spellStart"/>
      <w:r w:rsidRPr="00501641">
        <w:t>alerta</w:t>
      </w:r>
      <w:proofErr w:type="spellEnd"/>
      <w:r w:rsidRPr="00501641">
        <w:t xml:space="preserve"> </w:t>
      </w:r>
      <w:proofErr w:type="spellStart"/>
      <w:r w:rsidRPr="00501641">
        <w:t>eficaces</w:t>
      </w:r>
      <w:proofErr w:type="spellEnd"/>
      <w:r w:rsidRPr="00501641">
        <w:t xml:space="preserve"> y </w:t>
      </w:r>
      <w:proofErr w:type="spellStart"/>
      <w:r w:rsidRPr="00501641">
        <w:t>preparación</w:t>
      </w:r>
      <w:proofErr w:type="spellEnd"/>
      <w:r w:rsidRPr="00501641">
        <w:t xml:space="preserve"> </w:t>
      </w:r>
      <w:proofErr w:type="spellStart"/>
      <w:r w:rsidRPr="00501641">
        <w:t>frente</w:t>
      </w:r>
      <w:proofErr w:type="spellEnd"/>
      <w:r w:rsidRPr="00501641">
        <w:t xml:space="preserve"> a los tsunamis y </w:t>
      </w:r>
      <w:proofErr w:type="spellStart"/>
      <w:r w:rsidRPr="00501641">
        <w:t>otros</w:t>
      </w:r>
      <w:proofErr w:type="spellEnd"/>
      <w:r w:rsidRPr="00501641">
        <w:t xml:space="preserve"> </w:t>
      </w:r>
      <w:proofErr w:type="spellStart"/>
      <w:r w:rsidRPr="00501641">
        <w:t>peligros</w:t>
      </w:r>
      <w:proofErr w:type="spellEnd"/>
      <w:r w:rsidRPr="00501641">
        <w:t xml:space="preserve"> </w:t>
      </w:r>
      <w:proofErr w:type="spellStart"/>
      <w:r w:rsidRPr="00501641">
        <w:t>relacionados</w:t>
      </w:r>
      <w:proofErr w:type="spellEnd"/>
      <w:r w:rsidRPr="00501641">
        <w:t xml:space="preserve"> con el </w:t>
      </w:r>
      <w:proofErr w:type="spellStart"/>
      <w:r w:rsidRPr="00501641">
        <w:t>océano</w:t>
      </w:r>
      <w:proofErr w:type="spellEnd"/>
      <w:r w:rsidRPr="00501641">
        <w:t>.</w:t>
      </w:r>
    </w:p>
    <w:p w14:paraId="5AA52714" w14:textId="2A36F093" w:rsidR="00C864D9" w:rsidRPr="00501641" w:rsidRDefault="00C864D9" w:rsidP="00C864D9">
      <w:pPr>
        <w:pStyle w:val="Marge"/>
        <w:tabs>
          <w:tab w:val="clear" w:pos="567"/>
          <w:tab w:val="left" w:pos="1162"/>
        </w:tabs>
        <w:spacing w:after="120" w:line="240" w:lineRule="auto"/>
      </w:pPr>
      <w:r w:rsidRPr="00501641">
        <w:t xml:space="preserve">3. </w:t>
      </w:r>
      <w:proofErr w:type="spellStart"/>
      <w:r w:rsidRPr="00501641">
        <w:t>Resiliencia</w:t>
      </w:r>
      <w:proofErr w:type="spellEnd"/>
      <w:r w:rsidRPr="00501641">
        <w:t xml:space="preserve"> ante el </w:t>
      </w:r>
      <w:proofErr w:type="spellStart"/>
      <w:r w:rsidRPr="00501641">
        <w:t>cambio</w:t>
      </w:r>
      <w:proofErr w:type="spellEnd"/>
      <w:r w:rsidRPr="00501641">
        <w:t xml:space="preserve"> </w:t>
      </w:r>
      <w:proofErr w:type="spellStart"/>
      <w:r w:rsidRPr="00501641">
        <w:t>climático</w:t>
      </w:r>
      <w:proofErr w:type="spellEnd"/>
      <w:r w:rsidRPr="00501641">
        <w:t xml:space="preserve"> y </w:t>
      </w:r>
      <w:proofErr w:type="spellStart"/>
      <w:r w:rsidRPr="00501641">
        <w:t>contribución</w:t>
      </w:r>
      <w:proofErr w:type="spellEnd"/>
      <w:r w:rsidRPr="00501641">
        <w:t xml:space="preserve"> a </w:t>
      </w:r>
      <w:proofErr w:type="spellStart"/>
      <w:r w:rsidRPr="00501641">
        <w:t>su</w:t>
      </w:r>
      <w:proofErr w:type="spellEnd"/>
      <w:r w:rsidRPr="00501641">
        <w:t xml:space="preserve"> </w:t>
      </w:r>
      <w:proofErr w:type="spellStart"/>
      <w:r w:rsidRPr="00501641">
        <w:t>mitigación</w:t>
      </w:r>
      <w:proofErr w:type="spellEnd"/>
      <w:r w:rsidRPr="00501641">
        <w:t>.</w:t>
      </w:r>
    </w:p>
    <w:p w14:paraId="0CD90E99" w14:textId="6435FA56" w:rsidR="00C864D9" w:rsidRPr="00501641" w:rsidRDefault="00C864D9" w:rsidP="00C864D9">
      <w:pPr>
        <w:pStyle w:val="Marge"/>
        <w:tabs>
          <w:tab w:val="clear" w:pos="567"/>
          <w:tab w:val="left" w:pos="1162"/>
        </w:tabs>
        <w:spacing w:after="120" w:line="240" w:lineRule="auto"/>
      </w:pPr>
      <w:r w:rsidRPr="00501641">
        <w:t xml:space="preserve">4. </w:t>
      </w:r>
      <w:proofErr w:type="spellStart"/>
      <w:r w:rsidRPr="00501641">
        <w:t>Servicios</w:t>
      </w:r>
      <w:proofErr w:type="spellEnd"/>
      <w:r w:rsidRPr="00501641">
        <w:t xml:space="preserve"> </w:t>
      </w:r>
      <w:proofErr w:type="spellStart"/>
      <w:r w:rsidRPr="00501641">
        <w:t>basados</w:t>
      </w:r>
      <w:proofErr w:type="spellEnd"/>
      <w:r w:rsidRPr="00501641">
        <w:t xml:space="preserve"> </w:t>
      </w:r>
      <w:proofErr w:type="spellStart"/>
      <w:r w:rsidRPr="00501641">
        <w:t>en</w:t>
      </w:r>
      <w:proofErr w:type="spellEnd"/>
      <w:r w:rsidRPr="00501641">
        <w:t xml:space="preserve"> la </w:t>
      </w:r>
      <w:proofErr w:type="spellStart"/>
      <w:r w:rsidRPr="00501641">
        <w:t>ciencia</w:t>
      </w:r>
      <w:proofErr w:type="spellEnd"/>
      <w:r w:rsidRPr="00501641">
        <w:t xml:space="preserve"> para la </w:t>
      </w:r>
      <w:proofErr w:type="spellStart"/>
      <w:r w:rsidRPr="00501641">
        <w:t>economía</w:t>
      </w:r>
      <w:proofErr w:type="spellEnd"/>
      <w:r w:rsidRPr="00501641">
        <w:t xml:space="preserve"> </w:t>
      </w:r>
      <w:proofErr w:type="spellStart"/>
      <w:r w:rsidRPr="00501641">
        <w:t>oceánica</w:t>
      </w:r>
      <w:proofErr w:type="spellEnd"/>
      <w:r w:rsidRPr="00501641">
        <w:t xml:space="preserve"> </w:t>
      </w:r>
      <w:proofErr w:type="spellStart"/>
      <w:r w:rsidRPr="00501641">
        <w:t>sostenible</w:t>
      </w:r>
      <w:proofErr w:type="spellEnd"/>
      <w:r w:rsidRPr="00501641">
        <w:t>.</w:t>
      </w:r>
    </w:p>
    <w:p w14:paraId="6AC622F4" w14:textId="77777777" w:rsidR="00C864D9" w:rsidRPr="00501641" w:rsidRDefault="00C864D9" w:rsidP="00C864D9">
      <w:pPr>
        <w:pStyle w:val="Marge"/>
        <w:tabs>
          <w:tab w:val="clear" w:pos="567"/>
          <w:tab w:val="left" w:pos="1162"/>
        </w:tabs>
        <w:spacing w:line="240" w:lineRule="auto"/>
      </w:pPr>
      <w:r w:rsidRPr="00501641">
        <w:lastRenderedPageBreak/>
        <w:t xml:space="preserve">5. </w:t>
      </w:r>
      <w:proofErr w:type="spellStart"/>
      <w:r w:rsidRPr="00501641">
        <w:t>Prospectiva</w:t>
      </w:r>
      <w:proofErr w:type="spellEnd"/>
      <w:r w:rsidRPr="00501641">
        <w:t xml:space="preserve"> </w:t>
      </w:r>
      <w:proofErr w:type="spellStart"/>
      <w:r w:rsidRPr="00501641">
        <w:t>sobre</w:t>
      </w:r>
      <w:proofErr w:type="spellEnd"/>
      <w:r w:rsidRPr="00501641">
        <w:t xml:space="preserve"> </w:t>
      </w:r>
      <w:proofErr w:type="spellStart"/>
      <w:r w:rsidRPr="00501641">
        <w:t>cuestiones</w:t>
      </w:r>
      <w:proofErr w:type="spellEnd"/>
      <w:r w:rsidRPr="00501641">
        <w:t xml:space="preserve"> </w:t>
      </w:r>
      <w:proofErr w:type="spellStart"/>
      <w:r w:rsidRPr="00501641">
        <w:t>emergentes</w:t>
      </w:r>
      <w:proofErr w:type="spellEnd"/>
      <w:r w:rsidRPr="00501641">
        <w:t xml:space="preserve"> </w:t>
      </w:r>
      <w:proofErr w:type="spellStart"/>
      <w:r w:rsidRPr="00501641">
        <w:t>en</w:t>
      </w:r>
      <w:proofErr w:type="spellEnd"/>
      <w:r w:rsidRPr="00501641">
        <w:t xml:space="preserve"> el </w:t>
      </w:r>
      <w:proofErr w:type="spellStart"/>
      <w:r w:rsidRPr="00501641">
        <w:t>ámbito</w:t>
      </w:r>
      <w:proofErr w:type="spellEnd"/>
      <w:r w:rsidRPr="00501641">
        <w:t xml:space="preserve"> de las </w:t>
      </w:r>
      <w:proofErr w:type="spellStart"/>
      <w:r w:rsidRPr="00501641">
        <w:t>ciencias</w:t>
      </w:r>
      <w:proofErr w:type="spellEnd"/>
      <w:r w:rsidRPr="00501641">
        <w:t xml:space="preserve"> </w:t>
      </w:r>
      <w:proofErr w:type="spellStart"/>
      <w:r w:rsidRPr="00501641">
        <w:t>oceánicas</w:t>
      </w:r>
      <w:proofErr w:type="spellEnd"/>
      <w:r w:rsidRPr="00501641">
        <w:t>.</w:t>
      </w:r>
    </w:p>
    <w:p w14:paraId="001118D9" w14:textId="78302F73" w:rsidR="009D0EB6" w:rsidRPr="00501641" w:rsidRDefault="009D0EB6" w:rsidP="00C864D9">
      <w:pPr>
        <w:pStyle w:val="Marge"/>
        <w:tabs>
          <w:tab w:val="clear" w:pos="567"/>
          <w:tab w:val="left" w:pos="1162"/>
        </w:tabs>
        <w:spacing w:line="240" w:lineRule="auto"/>
        <w:rPr>
          <w:b/>
          <w:bCs/>
          <w:i/>
          <w:iCs/>
        </w:rPr>
      </w:pPr>
      <w:proofErr w:type="spellStart"/>
      <w:r w:rsidRPr="00501641">
        <w:rPr>
          <w:b/>
          <w:bCs/>
          <w:i/>
          <w:iCs/>
        </w:rPr>
        <w:t>Objetivo</w:t>
      </w:r>
      <w:proofErr w:type="spellEnd"/>
      <w:r w:rsidRPr="00501641">
        <w:rPr>
          <w:b/>
          <w:bCs/>
          <w:i/>
          <w:iCs/>
        </w:rPr>
        <w:t xml:space="preserve"> 1 – Un </w:t>
      </w:r>
      <w:proofErr w:type="spellStart"/>
      <w:r w:rsidRPr="00501641">
        <w:rPr>
          <w:b/>
          <w:bCs/>
          <w:i/>
          <w:iCs/>
        </w:rPr>
        <w:t>océano</w:t>
      </w:r>
      <w:proofErr w:type="spellEnd"/>
      <w:r w:rsidRPr="00501641">
        <w:rPr>
          <w:b/>
          <w:bCs/>
          <w:i/>
          <w:iCs/>
        </w:rPr>
        <w:t xml:space="preserve"> </w:t>
      </w:r>
      <w:proofErr w:type="spellStart"/>
      <w:r w:rsidRPr="00501641">
        <w:rPr>
          <w:b/>
          <w:bCs/>
          <w:i/>
          <w:iCs/>
        </w:rPr>
        <w:t>saludable</w:t>
      </w:r>
      <w:proofErr w:type="spellEnd"/>
      <w:r w:rsidRPr="00501641">
        <w:rPr>
          <w:b/>
          <w:bCs/>
          <w:i/>
          <w:iCs/>
        </w:rPr>
        <w:t xml:space="preserve"> y </w:t>
      </w:r>
      <w:proofErr w:type="spellStart"/>
      <w:r w:rsidRPr="00501641">
        <w:rPr>
          <w:b/>
          <w:bCs/>
          <w:i/>
          <w:iCs/>
        </w:rPr>
        <w:t>mantenimiento</w:t>
      </w:r>
      <w:proofErr w:type="spellEnd"/>
      <w:r w:rsidRPr="00501641">
        <w:rPr>
          <w:b/>
          <w:bCs/>
          <w:i/>
          <w:iCs/>
        </w:rPr>
        <w:t xml:space="preserve"> de los </w:t>
      </w:r>
      <w:proofErr w:type="spellStart"/>
      <w:r w:rsidRPr="00501641">
        <w:rPr>
          <w:b/>
          <w:bCs/>
          <w:i/>
          <w:iCs/>
        </w:rPr>
        <w:t>servicios</w:t>
      </w:r>
      <w:proofErr w:type="spellEnd"/>
      <w:r w:rsidRPr="00501641">
        <w:rPr>
          <w:b/>
          <w:bCs/>
          <w:i/>
          <w:iCs/>
        </w:rPr>
        <w:t xml:space="preserve"> de los </w:t>
      </w:r>
      <w:proofErr w:type="spellStart"/>
      <w:r w:rsidRPr="00501641">
        <w:rPr>
          <w:b/>
          <w:bCs/>
          <w:i/>
          <w:iCs/>
        </w:rPr>
        <w:t>ecosistemas</w:t>
      </w:r>
      <w:proofErr w:type="spellEnd"/>
      <w:r w:rsidRPr="00501641">
        <w:rPr>
          <w:b/>
          <w:bCs/>
          <w:i/>
          <w:iCs/>
        </w:rPr>
        <w:t xml:space="preserve"> </w:t>
      </w:r>
      <w:proofErr w:type="spellStart"/>
      <w:r w:rsidRPr="00501641">
        <w:rPr>
          <w:b/>
          <w:bCs/>
          <w:i/>
          <w:iCs/>
        </w:rPr>
        <w:t>oceánico</w:t>
      </w:r>
      <w:proofErr w:type="spellEnd"/>
    </w:p>
    <w:p w14:paraId="453BF566" w14:textId="72E812B9" w:rsidR="009D0EB6" w:rsidRPr="00501641" w:rsidRDefault="009D0EB6" w:rsidP="009D0EB6">
      <w:pPr>
        <w:pStyle w:val="Marge"/>
        <w:tabs>
          <w:tab w:val="clear" w:pos="567"/>
          <w:tab w:val="left" w:pos="1162"/>
        </w:tabs>
        <w:spacing w:line="240" w:lineRule="auto"/>
      </w:pPr>
      <w:r w:rsidRPr="00501641">
        <w:rPr>
          <w:bdr w:val="single" w:sz="4" w:space="0" w:color="auto"/>
        </w:rPr>
        <w:t>03016</w:t>
      </w:r>
      <w:r w:rsidRPr="00501641">
        <w:tab/>
      </w:r>
      <w:proofErr w:type="spellStart"/>
      <w:r w:rsidRPr="00501641">
        <w:t>Mejorar</w:t>
      </w:r>
      <w:proofErr w:type="spellEnd"/>
      <w:r w:rsidRPr="00501641">
        <w:t xml:space="preserve"> la </w:t>
      </w:r>
      <w:proofErr w:type="spellStart"/>
      <w:r w:rsidRPr="00501641">
        <w:t>comprensión</w:t>
      </w:r>
      <w:proofErr w:type="spellEnd"/>
      <w:r w:rsidRPr="00501641">
        <w:t xml:space="preserve"> </w:t>
      </w:r>
      <w:proofErr w:type="spellStart"/>
      <w:r w:rsidRPr="00501641">
        <w:t>científica</w:t>
      </w:r>
      <w:proofErr w:type="spellEnd"/>
      <w:r w:rsidRPr="00501641">
        <w:t xml:space="preserve"> de los </w:t>
      </w:r>
      <w:proofErr w:type="spellStart"/>
      <w:r w:rsidRPr="00501641">
        <w:t>ecosistemas</w:t>
      </w:r>
      <w:proofErr w:type="spellEnd"/>
      <w:r w:rsidRPr="00501641">
        <w:t xml:space="preserve"> </w:t>
      </w:r>
      <w:proofErr w:type="spellStart"/>
      <w:r w:rsidRPr="00501641">
        <w:t>oceánicos</w:t>
      </w:r>
      <w:proofErr w:type="spellEnd"/>
      <w:r w:rsidRPr="00501641">
        <w:t xml:space="preserve">, </w:t>
      </w:r>
      <w:proofErr w:type="spellStart"/>
      <w:r w:rsidRPr="00501641">
        <w:t>determinar</w:t>
      </w:r>
      <w:proofErr w:type="spellEnd"/>
      <w:r w:rsidRPr="00501641">
        <w:t xml:space="preserve"> </w:t>
      </w:r>
      <w:proofErr w:type="spellStart"/>
      <w:r w:rsidRPr="00501641">
        <w:t>indicadores</w:t>
      </w:r>
      <w:proofErr w:type="spellEnd"/>
      <w:r w:rsidRPr="00501641">
        <w:t xml:space="preserve"> </w:t>
      </w:r>
      <w:proofErr w:type="spellStart"/>
      <w:r w:rsidRPr="00501641">
        <w:t>sólidos</w:t>
      </w:r>
      <w:proofErr w:type="spellEnd"/>
      <w:r w:rsidRPr="00501641">
        <w:t xml:space="preserve"> </w:t>
      </w:r>
      <w:proofErr w:type="spellStart"/>
      <w:r w:rsidRPr="00501641">
        <w:t>sobre</w:t>
      </w:r>
      <w:proofErr w:type="spellEnd"/>
      <w:r w:rsidRPr="00501641">
        <w:t xml:space="preserve"> </w:t>
      </w:r>
      <w:proofErr w:type="spellStart"/>
      <w:r w:rsidRPr="00501641">
        <w:t>su</w:t>
      </w:r>
      <w:proofErr w:type="spellEnd"/>
      <w:r w:rsidRPr="00501641">
        <w:t xml:space="preserve"> </w:t>
      </w:r>
      <w:proofErr w:type="spellStart"/>
      <w:r w:rsidRPr="00501641">
        <w:t>salud</w:t>
      </w:r>
      <w:proofErr w:type="spellEnd"/>
      <w:r w:rsidRPr="00501641">
        <w:t xml:space="preserve"> y </w:t>
      </w:r>
      <w:proofErr w:type="spellStart"/>
      <w:r w:rsidRPr="00501641">
        <w:t>comprender</w:t>
      </w:r>
      <w:proofErr w:type="spellEnd"/>
      <w:r w:rsidRPr="00501641">
        <w:t xml:space="preserve"> la </w:t>
      </w:r>
      <w:proofErr w:type="spellStart"/>
      <w:r w:rsidRPr="00501641">
        <w:t>vulnerabilidad</w:t>
      </w:r>
      <w:proofErr w:type="spellEnd"/>
      <w:r w:rsidRPr="00501641">
        <w:t xml:space="preserve"> de los </w:t>
      </w:r>
      <w:proofErr w:type="spellStart"/>
      <w:r w:rsidRPr="00501641">
        <w:t>ecosistemas</w:t>
      </w:r>
      <w:proofErr w:type="spellEnd"/>
      <w:r w:rsidRPr="00501641">
        <w:t xml:space="preserve"> —por </w:t>
      </w:r>
      <w:proofErr w:type="spellStart"/>
      <w:r w:rsidRPr="00501641">
        <w:t>ejemplo</w:t>
      </w:r>
      <w:proofErr w:type="spellEnd"/>
      <w:r w:rsidRPr="00501641">
        <w:t xml:space="preserve">, por lo que </w:t>
      </w:r>
      <w:proofErr w:type="spellStart"/>
      <w:r w:rsidRPr="00501641">
        <w:t>respecta</w:t>
      </w:r>
      <w:proofErr w:type="spellEnd"/>
      <w:r w:rsidRPr="00501641">
        <w:t xml:space="preserve"> a los </w:t>
      </w:r>
      <w:proofErr w:type="spellStart"/>
      <w:r w:rsidRPr="00501641">
        <w:t>factores</w:t>
      </w:r>
      <w:proofErr w:type="spellEnd"/>
      <w:r w:rsidRPr="00501641">
        <w:t xml:space="preserve"> de </w:t>
      </w:r>
      <w:proofErr w:type="spellStart"/>
      <w:r w:rsidRPr="00501641">
        <w:t>perturbación</w:t>
      </w:r>
      <w:proofErr w:type="spellEnd"/>
      <w:r w:rsidRPr="00501641">
        <w:t xml:space="preserve"> </w:t>
      </w:r>
      <w:proofErr w:type="spellStart"/>
      <w:r w:rsidRPr="00501641">
        <w:t>múltiples</w:t>
      </w:r>
      <w:proofErr w:type="spellEnd"/>
      <w:r w:rsidRPr="00501641">
        <w:t xml:space="preserve">— son </w:t>
      </w:r>
      <w:proofErr w:type="spellStart"/>
      <w:r w:rsidRPr="00501641">
        <w:t>cuestiones</w:t>
      </w:r>
      <w:proofErr w:type="spellEnd"/>
      <w:r w:rsidRPr="00501641">
        <w:t xml:space="preserve"> </w:t>
      </w:r>
      <w:proofErr w:type="spellStart"/>
      <w:r w:rsidRPr="00501641">
        <w:t>fundamentales</w:t>
      </w:r>
      <w:proofErr w:type="spellEnd"/>
      <w:r w:rsidRPr="00501641">
        <w:t xml:space="preserve"> para </w:t>
      </w:r>
      <w:proofErr w:type="spellStart"/>
      <w:r w:rsidRPr="00501641">
        <w:t>vigilar</w:t>
      </w:r>
      <w:proofErr w:type="spellEnd"/>
      <w:r w:rsidRPr="00501641">
        <w:t xml:space="preserve"> y </w:t>
      </w:r>
      <w:proofErr w:type="spellStart"/>
      <w:r w:rsidRPr="00501641">
        <w:t>predecir</w:t>
      </w:r>
      <w:proofErr w:type="spellEnd"/>
      <w:r w:rsidRPr="00501641">
        <w:t xml:space="preserve"> la </w:t>
      </w:r>
      <w:proofErr w:type="spellStart"/>
      <w:r w:rsidRPr="00501641">
        <w:t>salud</w:t>
      </w:r>
      <w:proofErr w:type="spellEnd"/>
      <w:r w:rsidRPr="00501641">
        <w:t xml:space="preserve"> y la </w:t>
      </w:r>
      <w:proofErr w:type="spellStart"/>
      <w:r w:rsidRPr="00501641">
        <w:t>resiliencia</w:t>
      </w:r>
      <w:proofErr w:type="spellEnd"/>
      <w:r w:rsidRPr="00501641">
        <w:t xml:space="preserve"> de los </w:t>
      </w:r>
      <w:proofErr w:type="spellStart"/>
      <w:r w:rsidRPr="00501641">
        <w:t>ecosistemas</w:t>
      </w:r>
      <w:proofErr w:type="spellEnd"/>
      <w:r w:rsidRPr="00501641">
        <w:t xml:space="preserve"> y para </w:t>
      </w:r>
      <w:proofErr w:type="spellStart"/>
      <w:r w:rsidRPr="00501641">
        <w:t>desarrollar</w:t>
      </w:r>
      <w:proofErr w:type="spellEnd"/>
      <w:r w:rsidRPr="00501641">
        <w:t xml:space="preserve"> una </w:t>
      </w:r>
      <w:proofErr w:type="spellStart"/>
      <w:r w:rsidRPr="00501641">
        <w:t>gestión</w:t>
      </w:r>
      <w:proofErr w:type="spellEnd"/>
      <w:r w:rsidRPr="00501641">
        <w:t xml:space="preserve"> </w:t>
      </w:r>
      <w:proofErr w:type="spellStart"/>
      <w:r w:rsidRPr="00501641">
        <w:t>basada</w:t>
      </w:r>
      <w:proofErr w:type="spellEnd"/>
      <w:r w:rsidRPr="00501641">
        <w:t xml:space="preserve"> </w:t>
      </w:r>
      <w:proofErr w:type="spellStart"/>
      <w:r w:rsidRPr="00501641">
        <w:t>en</w:t>
      </w:r>
      <w:proofErr w:type="spellEnd"/>
      <w:r w:rsidRPr="00501641">
        <w:t xml:space="preserve"> los </w:t>
      </w:r>
      <w:proofErr w:type="spellStart"/>
      <w:r w:rsidRPr="00501641">
        <w:t>ecosistemas</w:t>
      </w:r>
      <w:proofErr w:type="spellEnd"/>
      <w:r w:rsidRPr="00501641">
        <w:t xml:space="preserve">, que </w:t>
      </w:r>
      <w:proofErr w:type="spellStart"/>
      <w:r w:rsidRPr="00501641">
        <w:t>sirva</w:t>
      </w:r>
      <w:proofErr w:type="spellEnd"/>
      <w:r w:rsidRPr="00501641">
        <w:t xml:space="preserve"> de base para una </w:t>
      </w:r>
      <w:proofErr w:type="spellStart"/>
      <w:r w:rsidRPr="00501641">
        <w:t>economía</w:t>
      </w:r>
      <w:proofErr w:type="spellEnd"/>
      <w:r w:rsidRPr="00501641">
        <w:t xml:space="preserve"> </w:t>
      </w:r>
      <w:proofErr w:type="spellStart"/>
      <w:r w:rsidRPr="00501641">
        <w:t>oceánica</w:t>
      </w:r>
      <w:proofErr w:type="spellEnd"/>
      <w:r w:rsidRPr="00501641">
        <w:t xml:space="preserve"> </w:t>
      </w:r>
      <w:proofErr w:type="spellStart"/>
      <w:r w:rsidRPr="00501641">
        <w:t>sostenible</w:t>
      </w:r>
      <w:proofErr w:type="spellEnd"/>
      <w:r w:rsidRPr="00501641">
        <w:t xml:space="preserve"> y una </w:t>
      </w:r>
      <w:proofErr w:type="spellStart"/>
      <w:r w:rsidRPr="00501641">
        <w:t>mejor</w:t>
      </w:r>
      <w:proofErr w:type="spellEnd"/>
      <w:r w:rsidRPr="00501641">
        <w:t xml:space="preserve"> </w:t>
      </w:r>
      <w:proofErr w:type="spellStart"/>
      <w:r w:rsidRPr="00501641">
        <w:t>gobernanza</w:t>
      </w:r>
      <w:proofErr w:type="spellEnd"/>
      <w:r w:rsidRPr="00501641">
        <w:t xml:space="preserve"> del </w:t>
      </w:r>
      <w:proofErr w:type="spellStart"/>
      <w:r w:rsidRPr="00501641">
        <w:t>océano</w:t>
      </w:r>
      <w:proofErr w:type="spellEnd"/>
      <w:r w:rsidRPr="00501641">
        <w:t xml:space="preserve">. La </w:t>
      </w:r>
      <w:proofErr w:type="spellStart"/>
      <w:r w:rsidRPr="00501641">
        <w:t>investigación</w:t>
      </w:r>
      <w:proofErr w:type="spellEnd"/>
      <w:r w:rsidRPr="00501641">
        <w:t xml:space="preserve"> y la </w:t>
      </w:r>
      <w:proofErr w:type="spellStart"/>
      <w:r w:rsidRPr="00501641">
        <w:t>gestión</w:t>
      </w:r>
      <w:proofErr w:type="spellEnd"/>
      <w:r w:rsidRPr="00501641">
        <w:t xml:space="preserve"> </w:t>
      </w:r>
      <w:proofErr w:type="spellStart"/>
      <w:r w:rsidRPr="00501641">
        <w:t>actuales</w:t>
      </w:r>
      <w:proofErr w:type="spellEnd"/>
      <w:r w:rsidRPr="00501641">
        <w:t xml:space="preserve"> </w:t>
      </w:r>
      <w:proofErr w:type="spellStart"/>
      <w:r w:rsidRPr="00501641">
        <w:t>en</w:t>
      </w:r>
      <w:proofErr w:type="spellEnd"/>
      <w:r w:rsidRPr="00501641">
        <w:t xml:space="preserve"> </w:t>
      </w:r>
      <w:proofErr w:type="spellStart"/>
      <w:r w:rsidRPr="00501641">
        <w:t>relación</w:t>
      </w:r>
      <w:proofErr w:type="spellEnd"/>
      <w:r w:rsidRPr="00501641">
        <w:t xml:space="preserve"> con los </w:t>
      </w:r>
      <w:proofErr w:type="spellStart"/>
      <w:r w:rsidRPr="00501641">
        <w:t>ecosistemas</w:t>
      </w:r>
      <w:proofErr w:type="spellEnd"/>
      <w:r w:rsidRPr="00501641">
        <w:t xml:space="preserve"> </w:t>
      </w:r>
      <w:proofErr w:type="spellStart"/>
      <w:r w:rsidRPr="00501641">
        <w:t>requieren</w:t>
      </w:r>
      <w:proofErr w:type="spellEnd"/>
      <w:r w:rsidRPr="00501641">
        <w:t xml:space="preserve"> una </w:t>
      </w:r>
      <w:proofErr w:type="spellStart"/>
      <w:r w:rsidRPr="00501641">
        <w:t>coordinación</w:t>
      </w:r>
      <w:proofErr w:type="spellEnd"/>
      <w:r w:rsidRPr="00501641">
        <w:t xml:space="preserve"> y una </w:t>
      </w:r>
      <w:proofErr w:type="spellStart"/>
      <w:r w:rsidRPr="00501641">
        <w:t>cooperación</w:t>
      </w:r>
      <w:proofErr w:type="spellEnd"/>
      <w:r w:rsidRPr="00501641">
        <w:t xml:space="preserve"> </w:t>
      </w:r>
      <w:proofErr w:type="spellStart"/>
      <w:r w:rsidRPr="00501641">
        <w:t>más</w:t>
      </w:r>
      <w:proofErr w:type="spellEnd"/>
      <w:r w:rsidRPr="00501641">
        <w:t xml:space="preserve"> </w:t>
      </w:r>
      <w:proofErr w:type="spellStart"/>
      <w:r w:rsidRPr="00501641">
        <w:t>intensas</w:t>
      </w:r>
      <w:proofErr w:type="spellEnd"/>
      <w:r w:rsidRPr="00501641">
        <w:t xml:space="preserve"> entre las </w:t>
      </w:r>
      <w:proofErr w:type="spellStart"/>
      <w:r w:rsidRPr="00501641">
        <w:t>principales</w:t>
      </w:r>
      <w:proofErr w:type="spellEnd"/>
      <w:r w:rsidRPr="00501641">
        <w:t xml:space="preserve"> </w:t>
      </w:r>
      <w:proofErr w:type="spellStart"/>
      <w:r w:rsidRPr="00501641">
        <w:t>partes</w:t>
      </w:r>
      <w:proofErr w:type="spellEnd"/>
      <w:r w:rsidRPr="00501641">
        <w:t xml:space="preserve"> </w:t>
      </w:r>
      <w:proofErr w:type="spellStart"/>
      <w:r w:rsidRPr="00501641">
        <w:t>interesadas</w:t>
      </w:r>
      <w:proofErr w:type="spellEnd"/>
      <w:r w:rsidRPr="00501641">
        <w:t>.</w:t>
      </w:r>
    </w:p>
    <w:p w14:paraId="7B8DFB6A" w14:textId="33B9476B" w:rsidR="00FA2C9C" w:rsidRPr="00501641" w:rsidRDefault="00FA2C9C" w:rsidP="00FA2C9C">
      <w:pPr>
        <w:pStyle w:val="Marge"/>
        <w:tabs>
          <w:tab w:val="clear" w:pos="567"/>
          <w:tab w:val="left" w:pos="1162"/>
        </w:tabs>
        <w:spacing w:line="240" w:lineRule="auto"/>
        <w:rPr>
          <w:b/>
          <w:bCs/>
          <w:i/>
          <w:iCs/>
        </w:rPr>
      </w:pPr>
      <w:proofErr w:type="spellStart"/>
      <w:r w:rsidRPr="00501641">
        <w:rPr>
          <w:b/>
          <w:bCs/>
          <w:i/>
          <w:iCs/>
        </w:rPr>
        <w:t>Objetivo</w:t>
      </w:r>
      <w:proofErr w:type="spellEnd"/>
      <w:r w:rsidRPr="00501641">
        <w:rPr>
          <w:b/>
          <w:bCs/>
          <w:i/>
          <w:iCs/>
        </w:rPr>
        <w:t xml:space="preserve"> 2 – </w:t>
      </w:r>
      <w:proofErr w:type="spellStart"/>
      <w:r w:rsidRPr="00501641">
        <w:rPr>
          <w:b/>
          <w:bCs/>
          <w:i/>
          <w:iCs/>
        </w:rPr>
        <w:t>Sistemas</w:t>
      </w:r>
      <w:proofErr w:type="spellEnd"/>
      <w:r w:rsidRPr="00501641">
        <w:rPr>
          <w:b/>
          <w:bCs/>
          <w:i/>
          <w:iCs/>
        </w:rPr>
        <w:t xml:space="preserve"> de </w:t>
      </w:r>
      <w:proofErr w:type="spellStart"/>
      <w:r w:rsidRPr="00501641">
        <w:rPr>
          <w:b/>
          <w:bCs/>
          <w:i/>
          <w:iCs/>
        </w:rPr>
        <w:t>alerta</w:t>
      </w:r>
      <w:proofErr w:type="spellEnd"/>
      <w:r w:rsidRPr="00501641">
        <w:rPr>
          <w:b/>
          <w:bCs/>
          <w:i/>
          <w:iCs/>
        </w:rPr>
        <w:t xml:space="preserve"> </w:t>
      </w:r>
      <w:proofErr w:type="spellStart"/>
      <w:r w:rsidRPr="00501641">
        <w:rPr>
          <w:b/>
          <w:bCs/>
          <w:i/>
          <w:iCs/>
        </w:rPr>
        <w:t>eficaces</w:t>
      </w:r>
      <w:proofErr w:type="spellEnd"/>
      <w:r w:rsidRPr="00501641">
        <w:rPr>
          <w:b/>
          <w:bCs/>
          <w:i/>
          <w:iCs/>
        </w:rPr>
        <w:t xml:space="preserve"> y </w:t>
      </w:r>
      <w:proofErr w:type="spellStart"/>
      <w:r w:rsidRPr="00501641">
        <w:rPr>
          <w:b/>
          <w:bCs/>
          <w:i/>
          <w:iCs/>
        </w:rPr>
        <w:t>preparación</w:t>
      </w:r>
      <w:proofErr w:type="spellEnd"/>
      <w:r w:rsidRPr="00501641">
        <w:rPr>
          <w:b/>
          <w:bCs/>
          <w:i/>
          <w:iCs/>
        </w:rPr>
        <w:t xml:space="preserve"> </w:t>
      </w:r>
      <w:proofErr w:type="spellStart"/>
      <w:r w:rsidRPr="00501641">
        <w:rPr>
          <w:b/>
          <w:bCs/>
          <w:i/>
          <w:iCs/>
        </w:rPr>
        <w:t>frente</w:t>
      </w:r>
      <w:proofErr w:type="spellEnd"/>
      <w:r w:rsidRPr="00501641">
        <w:rPr>
          <w:b/>
          <w:bCs/>
          <w:i/>
          <w:iCs/>
        </w:rPr>
        <w:t xml:space="preserve"> a los tsunamis y </w:t>
      </w:r>
      <w:proofErr w:type="spellStart"/>
      <w:r w:rsidRPr="00501641">
        <w:rPr>
          <w:b/>
          <w:bCs/>
          <w:i/>
          <w:iCs/>
        </w:rPr>
        <w:t>otros</w:t>
      </w:r>
      <w:proofErr w:type="spellEnd"/>
      <w:r w:rsidRPr="00501641">
        <w:rPr>
          <w:b/>
          <w:bCs/>
          <w:i/>
          <w:iCs/>
        </w:rPr>
        <w:t xml:space="preserve"> </w:t>
      </w:r>
      <w:proofErr w:type="spellStart"/>
      <w:r w:rsidRPr="00501641">
        <w:rPr>
          <w:b/>
          <w:bCs/>
          <w:i/>
          <w:iCs/>
        </w:rPr>
        <w:t>peligros</w:t>
      </w:r>
      <w:proofErr w:type="spellEnd"/>
      <w:r w:rsidRPr="00501641">
        <w:rPr>
          <w:b/>
          <w:bCs/>
          <w:i/>
          <w:iCs/>
        </w:rPr>
        <w:t xml:space="preserve"> </w:t>
      </w:r>
      <w:proofErr w:type="spellStart"/>
      <w:r w:rsidRPr="00501641">
        <w:rPr>
          <w:b/>
          <w:bCs/>
          <w:i/>
          <w:iCs/>
        </w:rPr>
        <w:t>relacionados</w:t>
      </w:r>
      <w:proofErr w:type="spellEnd"/>
      <w:r w:rsidRPr="00501641">
        <w:rPr>
          <w:b/>
          <w:bCs/>
          <w:i/>
          <w:iCs/>
        </w:rPr>
        <w:t xml:space="preserve"> con el </w:t>
      </w:r>
      <w:proofErr w:type="spellStart"/>
      <w:r w:rsidRPr="00501641">
        <w:rPr>
          <w:b/>
          <w:bCs/>
          <w:i/>
          <w:iCs/>
        </w:rPr>
        <w:t>océano</w:t>
      </w:r>
      <w:proofErr w:type="spellEnd"/>
    </w:p>
    <w:p w14:paraId="56E75147" w14:textId="4525433E" w:rsidR="00FA2C9C" w:rsidRPr="00501641" w:rsidRDefault="00FA2C9C" w:rsidP="00FA2C9C">
      <w:pPr>
        <w:pStyle w:val="Marge"/>
        <w:tabs>
          <w:tab w:val="clear" w:pos="567"/>
          <w:tab w:val="left" w:pos="1162"/>
        </w:tabs>
        <w:spacing w:line="240" w:lineRule="auto"/>
      </w:pPr>
      <w:r w:rsidRPr="00501641">
        <w:rPr>
          <w:bdr w:val="single" w:sz="4" w:space="0" w:color="auto"/>
        </w:rPr>
        <w:t>03017</w:t>
      </w:r>
      <w:r w:rsidRPr="00501641">
        <w:tab/>
        <w:t xml:space="preserve">Con la </w:t>
      </w:r>
      <w:proofErr w:type="spellStart"/>
      <w:r w:rsidRPr="00501641">
        <w:t>aceleración</w:t>
      </w:r>
      <w:proofErr w:type="spellEnd"/>
      <w:r w:rsidRPr="00501641">
        <w:t xml:space="preserve"> del </w:t>
      </w:r>
      <w:proofErr w:type="spellStart"/>
      <w:r w:rsidRPr="00501641">
        <w:t>desarrollo</w:t>
      </w:r>
      <w:proofErr w:type="spellEnd"/>
      <w:r w:rsidRPr="00501641">
        <w:t xml:space="preserve"> de las zonas </w:t>
      </w:r>
      <w:proofErr w:type="spellStart"/>
      <w:r w:rsidRPr="00501641">
        <w:t>costeras</w:t>
      </w:r>
      <w:proofErr w:type="spellEnd"/>
      <w:r w:rsidRPr="00501641">
        <w:t xml:space="preserve"> y los </w:t>
      </w:r>
      <w:proofErr w:type="spellStart"/>
      <w:r w:rsidRPr="00501641">
        <w:t>cambios</w:t>
      </w:r>
      <w:proofErr w:type="spellEnd"/>
      <w:r w:rsidRPr="00501641">
        <w:t xml:space="preserve"> que se </w:t>
      </w:r>
      <w:proofErr w:type="spellStart"/>
      <w:r w:rsidRPr="00501641">
        <w:t>producen</w:t>
      </w:r>
      <w:proofErr w:type="spellEnd"/>
      <w:r w:rsidRPr="00501641">
        <w:t xml:space="preserve"> </w:t>
      </w:r>
      <w:proofErr w:type="spellStart"/>
      <w:r w:rsidRPr="00501641">
        <w:t>en</w:t>
      </w:r>
      <w:proofErr w:type="spellEnd"/>
      <w:r w:rsidRPr="00501641">
        <w:t xml:space="preserve"> el medio </w:t>
      </w:r>
      <w:proofErr w:type="spellStart"/>
      <w:r w:rsidRPr="00501641">
        <w:t>ambiente</w:t>
      </w:r>
      <w:proofErr w:type="spellEnd"/>
      <w:r w:rsidRPr="00501641">
        <w:t xml:space="preserve">, las </w:t>
      </w:r>
      <w:proofErr w:type="spellStart"/>
      <w:r w:rsidRPr="00501641">
        <w:t>sociedades</w:t>
      </w:r>
      <w:proofErr w:type="spellEnd"/>
      <w:r w:rsidRPr="00501641">
        <w:t xml:space="preserve"> se </w:t>
      </w:r>
      <w:proofErr w:type="spellStart"/>
      <w:r w:rsidRPr="00501641">
        <w:t>hacen</w:t>
      </w:r>
      <w:proofErr w:type="spellEnd"/>
      <w:r w:rsidRPr="00501641">
        <w:t xml:space="preserve"> </w:t>
      </w:r>
      <w:proofErr w:type="spellStart"/>
      <w:r w:rsidRPr="00501641">
        <w:t>cada</w:t>
      </w:r>
      <w:proofErr w:type="spellEnd"/>
      <w:r w:rsidRPr="00501641">
        <w:t xml:space="preserve"> </w:t>
      </w:r>
      <w:proofErr w:type="spellStart"/>
      <w:r w:rsidRPr="00501641">
        <w:t>vez</w:t>
      </w:r>
      <w:proofErr w:type="spellEnd"/>
      <w:r w:rsidRPr="00501641">
        <w:t xml:space="preserve"> </w:t>
      </w:r>
      <w:proofErr w:type="spellStart"/>
      <w:r w:rsidRPr="00501641">
        <w:t>más</w:t>
      </w:r>
      <w:proofErr w:type="spellEnd"/>
      <w:r w:rsidRPr="00501641">
        <w:t xml:space="preserve"> </w:t>
      </w:r>
      <w:proofErr w:type="spellStart"/>
      <w:r w:rsidRPr="00501641">
        <w:t>vulnerables</w:t>
      </w:r>
      <w:proofErr w:type="spellEnd"/>
      <w:r w:rsidRPr="00501641">
        <w:t xml:space="preserve"> a </w:t>
      </w:r>
      <w:proofErr w:type="spellStart"/>
      <w:r w:rsidRPr="00501641">
        <w:t>peligros</w:t>
      </w:r>
      <w:proofErr w:type="spellEnd"/>
      <w:r w:rsidRPr="00501641">
        <w:t xml:space="preserve"> </w:t>
      </w:r>
      <w:proofErr w:type="spellStart"/>
      <w:r w:rsidRPr="00501641">
        <w:t>costeros</w:t>
      </w:r>
      <w:proofErr w:type="spellEnd"/>
      <w:r w:rsidRPr="00501641">
        <w:t xml:space="preserve"> </w:t>
      </w:r>
      <w:proofErr w:type="spellStart"/>
      <w:r w:rsidRPr="00501641">
        <w:t>como</w:t>
      </w:r>
      <w:proofErr w:type="spellEnd"/>
      <w:r w:rsidRPr="00501641">
        <w:t xml:space="preserve"> los tsunamis, los </w:t>
      </w:r>
      <w:proofErr w:type="spellStart"/>
      <w:r w:rsidRPr="00501641">
        <w:t>ciclones</w:t>
      </w:r>
      <w:proofErr w:type="spellEnd"/>
      <w:r w:rsidRPr="00501641">
        <w:t xml:space="preserve"> </w:t>
      </w:r>
      <w:proofErr w:type="spellStart"/>
      <w:r w:rsidRPr="00501641">
        <w:t>tropicales</w:t>
      </w:r>
      <w:proofErr w:type="spellEnd"/>
      <w:r w:rsidRPr="00501641">
        <w:t xml:space="preserve">, las </w:t>
      </w:r>
      <w:proofErr w:type="spellStart"/>
      <w:r w:rsidRPr="00501641">
        <w:t>inundaciones</w:t>
      </w:r>
      <w:proofErr w:type="spellEnd"/>
      <w:r w:rsidRPr="00501641">
        <w:t xml:space="preserve"> </w:t>
      </w:r>
      <w:proofErr w:type="spellStart"/>
      <w:r w:rsidRPr="00501641">
        <w:t>costeras</w:t>
      </w:r>
      <w:proofErr w:type="spellEnd"/>
      <w:r w:rsidRPr="00501641">
        <w:t xml:space="preserve"> y las </w:t>
      </w:r>
      <w:proofErr w:type="spellStart"/>
      <w:r w:rsidRPr="00501641">
        <w:t>floraciones</w:t>
      </w:r>
      <w:proofErr w:type="spellEnd"/>
      <w:r w:rsidRPr="00501641">
        <w:t xml:space="preserve"> de </w:t>
      </w:r>
      <w:proofErr w:type="spellStart"/>
      <w:r w:rsidRPr="00501641">
        <w:t>algas</w:t>
      </w:r>
      <w:proofErr w:type="spellEnd"/>
      <w:r w:rsidRPr="00501641">
        <w:t xml:space="preserve"> </w:t>
      </w:r>
      <w:proofErr w:type="spellStart"/>
      <w:r w:rsidRPr="00501641">
        <w:t>nocivas</w:t>
      </w:r>
      <w:proofErr w:type="spellEnd"/>
      <w:r w:rsidRPr="00501641">
        <w:t xml:space="preserve">, por </w:t>
      </w:r>
      <w:proofErr w:type="spellStart"/>
      <w:r w:rsidRPr="00501641">
        <w:t>citar</w:t>
      </w:r>
      <w:proofErr w:type="spellEnd"/>
      <w:r w:rsidRPr="00501641">
        <w:t xml:space="preserve"> solo </w:t>
      </w:r>
      <w:proofErr w:type="spellStart"/>
      <w:r w:rsidRPr="00501641">
        <w:t>algunos</w:t>
      </w:r>
      <w:proofErr w:type="spellEnd"/>
      <w:r w:rsidRPr="00501641">
        <w:t xml:space="preserve"> </w:t>
      </w:r>
      <w:proofErr w:type="spellStart"/>
      <w:r w:rsidRPr="00501641">
        <w:t>ejemplos</w:t>
      </w:r>
      <w:proofErr w:type="spellEnd"/>
      <w:r w:rsidRPr="00501641">
        <w:t xml:space="preserve">. Los </w:t>
      </w:r>
      <w:proofErr w:type="spellStart"/>
      <w:r w:rsidRPr="00501641">
        <w:t>países</w:t>
      </w:r>
      <w:proofErr w:type="spellEnd"/>
      <w:r w:rsidRPr="00501641">
        <w:t xml:space="preserve"> </w:t>
      </w:r>
      <w:proofErr w:type="spellStart"/>
      <w:r w:rsidRPr="00501641">
        <w:t>deben</w:t>
      </w:r>
      <w:proofErr w:type="spellEnd"/>
      <w:r w:rsidRPr="00501641">
        <w:t xml:space="preserve"> ser </w:t>
      </w:r>
      <w:proofErr w:type="spellStart"/>
      <w:r w:rsidRPr="00501641">
        <w:t>conscientes</w:t>
      </w:r>
      <w:proofErr w:type="spellEnd"/>
      <w:r w:rsidRPr="00501641">
        <w:t xml:space="preserve"> de </w:t>
      </w:r>
      <w:proofErr w:type="spellStart"/>
      <w:r w:rsidRPr="00501641">
        <w:t>estos</w:t>
      </w:r>
      <w:proofErr w:type="spellEnd"/>
      <w:r w:rsidRPr="00501641">
        <w:t xml:space="preserve"> </w:t>
      </w:r>
      <w:proofErr w:type="spellStart"/>
      <w:r w:rsidRPr="00501641">
        <w:t>peligros</w:t>
      </w:r>
      <w:proofErr w:type="spellEnd"/>
      <w:r w:rsidRPr="00501641">
        <w:t xml:space="preserve">, </w:t>
      </w:r>
      <w:proofErr w:type="spellStart"/>
      <w:r w:rsidRPr="00501641">
        <w:t>estar</w:t>
      </w:r>
      <w:proofErr w:type="spellEnd"/>
      <w:r w:rsidRPr="00501641">
        <w:t xml:space="preserve"> </w:t>
      </w:r>
      <w:proofErr w:type="spellStart"/>
      <w:r w:rsidRPr="00501641">
        <w:t>preparados</w:t>
      </w:r>
      <w:proofErr w:type="spellEnd"/>
      <w:r w:rsidRPr="00501641">
        <w:t xml:space="preserve"> para </w:t>
      </w:r>
      <w:proofErr w:type="spellStart"/>
      <w:r w:rsidRPr="00501641">
        <w:t>ellos</w:t>
      </w:r>
      <w:proofErr w:type="spellEnd"/>
      <w:r w:rsidRPr="00501641">
        <w:t xml:space="preserve"> y </w:t>
      </w:r>
      <w:proofErr w:type="spellStart"/>
      <w:r w:rsidRPr="00501641">
        <w:t>tener</w:t>
      </w:r>
      <w:proofErr w:type="spellEnd"/>
      <w:r w:rsidRPr="00501641">
        <w:t xml:space="preserve"> </w:t>
      </w:r>
      <w:proofErr w:type="spellStart"/>
      <w:r w:rsidRPr="00501641">
        <w:t>acceso</w:t>
      </w:r>
      <w:proofErr w:type="spellEnd"/>
      <w:r w:rsidRPr="00501641">
        <w:t xml:space="preserve"> a la </w:t>
      </w:r>
      <w:proofErr w:type="spellStart"/>
      <w:r w:rsidRPr="00501641">
        <w:t>información</w:t>
      </w:r>
      <w:proofErr w:type="spellEnd"/>
      <w:r w:rsidRPr="00501641">
        <w:t xml:space="preserve"> </w:t>
      </w:r>
      <w:proofErr w:type="spellStart"/>
      <w:r w:rsidRPr="00501641">
        <w:t>necesaria</w:t>
      </w:r>
      <w:proofErr w:type="spellEnd"/>
      <w:r w:rsidRPr="00501641">
        <w:t xml:space="preserve"> para </w:t>
      </w:r>
      <w:proofErr w:type="spellStart"/>
      <w:r w:rsidRPr="00501641">
        <w:t>planificar</w:t>
      </w:r>
      <w:proofErr w:type="spellEnd"/>
      <w:r w:rsidRPr="00501641">
        <w:t xml:space="preserve"> la </w:t>
      </w:r>
      <w:proofErr w:type="spellStart"/>
      <w:r w:rsidRPr="00501641">
        <w:t>adaptación</w:t>
      </w:r>
      <w:proofErr w:type="spellEnd"/>
      <w:r w:rsidRPr="00501641">
        <w:t xml:space="preserve"> de las zonas </w:t>
      </w:r>
      <w:proofErr w:type="spellStart"/>
      <w:r w:rsidRPr="00501641">
        <w:t>costeras</w:t>
      </w:r>
      <w:proofErr w:type="spellEnd"/>
      <w:r w:rsidRPr="00501641">
        <w:t xml:space="preserve">, </w:t>
      </w:r>
      <w:proofErr w:type="spellStart"/>
      <w:r w:rsidRPr="00501641">
        <w:t>atenuar</w:t>
      </w:r>
      <w:proofErr w:type="spellEnd"/>
      <w:r w:rsidRPr="00501641">
        <w:t xml:space="preserve"> los </w:t>
      </w:r>
      <w:proofErr w:type="spellStart"/>
      <w:r w:rsidRPr="00501641">
        <w:t>riesgos</w:t>
      </w:r>
      <w:proofErr w:type="spellEnd"/>
      <w:r w:rsidRPr="00501641">
        <w:t xml:space="preserve"> y velar por la </w:t>
      </w:r>
      <w:proofErr w:type="spellStart"/>
      <w:r w:rsidRPr="00501641">
        <w:t>seguridad</w:t>
      </w:r>
      <w:proofErr w:type="spellEnd"/>
      <w:r w:rsidRPr="00501641">
        <w:t xml:space="preserve"> de las </w:t>
      </w:r>
      <w:proofErr w:type="spellStart"/>
      <w:r w:rsidRPr="00501641">
        <w:t>operaciones</w:t>
      </w:r>
      <w:proofErr w:type="spellEnd"/>
      <w:r w:rsidRPr="00501641">
        <w:t xml:space="preserve"> </w:t>
      </w:r>
      <w:proofErr w:type="spellStart"/>
      <w:r w:rsidRPr="00501641">
        <w:t>marítimas</w:t>
      </w:r>
      <w:proofErr w:type="spellEnd"/>
      <w:r w:rsidRPr="00501641">
        <w:t xml:space="preserve">. Para </w:t>
      </w:r>
      <w:proofErr w:type="spellStart"/>
      <w:r w:rsidRPr="00501641">
        <w:t>ello</w:t>
      </w:r>
      <w:proofErr w:type="spellEnd"/>
      <w:r w:rsidRPr="00501641">
        <w:t xml:space="preserve"> es </w:t>
      </w:r>
      <w:proofErr w:type="spellStart"/>
      <w:r w:rsidRPr="00501641">
        <w:t>necesario</w:t>
      </w:r>
      <w:proofErr w:type="spellEnd"/>
      <w:r w:rsidRPr="00501641">
        <w:t xml:space="preserve"> </w:t>
      </w:r>
      <w:proofErr w:type="spellStart"/>
      <w:r w:rsidRPr="00501641">
        <w:t>seguir</w:t>
      </w:r>
      <w:proofErr w:type="spellEnd"/>
      <w:r w:rsidRPr="00501641">
        <w:t xml:space="preserve"> </w:t>
      </w:r>
      <w:proofErr w:type="spellStart"/>
      <w:r w:rsidRPr="00501641">
        <w:t>utilizando</w:t>
      </w:r>
      <w:proofErr w:type="spellEnd"/>
      <w:r w:rsidRPr="00501641">
        <w:t xml:space="preserve"> </w:t>
      </w:r>
      <w:proofErr w:type="spellStart"/>
      <w:r w:rsidRPr="00501641">
        <w:t>sistemas</w:t>
      </w:r>
      <w:proofErr w:type="spellEnd"/>
      <w:r w:rsidRPr="00501641">
        <w:t xml:space="preserve"> de </w:t>
      </w:r>
      <w:proofErr w:type="spellStart"/>
      <w:r w:rsidRPr="00501641">
        <w:t>observación</w:t>
      </w:r>
      <w:proofErr w:type="spellEnd"/>
      <w:r w:rsidRPr="00501641">
        <w:t xml:space="preserve"> y </w:t>
      </w:r>
      <w:proofErr w:type="spellStart"/>
      <w:r w:rsidRPr="00501641">
        <w:t>predicción</w:t>
      </w:r>
      <w:proofErr w:type="spellEnd"/>
      <w:r w:rsidRPr="00501641">
        <w:t xml:space="preserve"> del </w:t>
      </w:r>
      <w:proofErr w:type="spellStart"/>
      <w:r w:rsidRPr="00501641">
        <w:t>océano</w:t>
      </w:r>
      <w:proofErr w:type="spellEnd"/>
      <w:r w:rsidRPr="00501641">
        <w:t xml:space="preserve"> y las zonas </w:t>
      </w:r>
      <w:proofErr w:type="spellStart"/>
      <w:r w:rsidRPr="00501641">
        <w:t>costeras</w:t>
      </w:r>
      <w:proofErr w:type="spellEnd"/>
      <w:r w:rsidRPr="00501641">
        <w:t xml:space="preserve"> y </w:t>
      </w:r>
      <w:proofErr w:type="spellStart"/>
      <w:r w:rsidRPr="00501641">
        <w:t>elaborar</w:t>
      </w:r>
      <w:proofErr w:type="spellEnd"/>
      <w:r w:rsidRPr="00501641">
        <w:t xml:space="preserve"> un conjunto de </w:t>
      </w:r>
      <w:proofErr w:type="spellStart"/>
      <w:r w:rsidRPr="00501641">
        <w:t>herramientas</w:t>
      </w:r>
      <w:proofErr w:type="spellEnd"/>
      <w:r w:rsidRPr="00501641">
        <w:t xml:space="preserve"> de </w:t>
      </w:r>
      <w:proofErr w:type="spellStart"/>
      <w:r w:rsidRPr="00501641">
        <w:t>apoyo</w:t>
      </w:r>
      <w:proofErr w:type="spellEnd"/>
      <w:r w:rsidRPr="00501641">
        <w:t xml:space="preserve"> para la </w:t>
      </w:r>
      <w:proofErr w:type="spellStart"/>
      <w:r w:rsidRPr="00501641">
        <w:t>adopción</w:t>
      </w:r>
      <w:proofErr w:type="spellEnd"/>
      <w:r w:rsidRPr="00501641">
        <w:t xml:space="preserve"> de </w:t>
      </w:r>
      <w:proofErr w:type="spellStart"/>
      <w:r w:rsidRPr="00501641">
        <w:t>decisiones</w:t>
      </w:r>
      <w:proofErr w:type="spellEnd"/>
      <w:r w:rsidRPr="00501641">
        <w:t xml:space="preserve"> </w:t>
      </w:r>
      <w:proofErr w:type="gramStart"/>
      <w:r w:rsidRPr="00501641">
        <w:t>a</w:t>
      </w:r>
      <w:proofErr w:type="gramEnd"/>
      <w:r w:rsidRPr="00501641">
        <w:t xml:space="preserve"> </w:t>
      </w:r>
      <w:proofErr w:type="spellStart"/>
      <w:r w:rsidRPr="00501641">
        <w:t>escala</w:t>
      </w:r>
      <w:proofErr w:type="spellEnd"/>
      <w:r w:rsidRPr="00501641">
        <w:t xml:space="preserve"> local, </w:t>
      </w:r>
      <w:proofErr w:type="spellStart"/>
      <w:r w:rsidRPr="00501641">
        <w:t>en</w:t>
      </w:r>
      <w:proofErr w:type="spellEnd"/>
      <w:r w:rsidRPr="00501641">
        <w:t xml:space="preserve"> particular </w:t>
      </w:r>
      <w:proofErr w:type="spellStart"/>
      <w:r w:rsidRPr="00501641">
        <w:t>sistemas</w:t>
      </w:r>
      <w:proofErr w:type="spellEnd"/>
      <w:r w:rsidRPr="00501641">
        <w:t xml:space="preserve"> de </w:t>
      </w:r>
      <w:proofErr w:type="spellStart"/>
      <w:r w:rsidRPr="00501641">
        <w:t>alerta</w:t>
      </w:r>
      <w:proofErr w:type="spellEnd"/>
      <w:r w:rsidRPr="00501641">
        <w:t xml:space="preserve"> </w:t>
      </w:r>
      <w:proofErr w:type="spellStart"/>
      <w:r w:rsidRPr="00501641">
        <w:t>temprana</w:t>
      </w:r>
      <w:proofErr w:type="spellEnd"/>
      <w:r w:rsidRPr="00501641">
        <w:t>.</w:t>
      </w:r>
    </w:p>
    <w:p w14:paraId="0BAD0246" w14:textId="453978F8" w:rsidR="009D0EB6" w:rsidRPr="00501641" w:rsidRDefault="00C864D9" w:rsidP="009D0EB6">
      <w:pPr>
        <w:pStyle w:val="Marge"/>
        <w:tabs>
          <w:tab w:val="clear" w:pos="567"/>
          <w:tab w:val="left" w:pos="1162"/>
        </w:tabs>
        <w:spacing w:line="240" w:lineRule="auto"/>
        <w:rPr>
          <w:b/>
          <w:bCs/>
          <w:i/>
          <w:iCs/>
        </w:rPr>
      </w:pPr>
      <w:proofErr w:type="spellStart"/>
      <w:r w:rsidRPr="00501641">
        <w:rPr>
          <w:b/>
          <w:bCs/>
          <w:i/>
          <w:iCs/>
        </w:rPr>
        <w:t>Objetivo</w:t>
      </w:r>
      <w:proofErr w:type="spellEnd"/>
      <w:r w:rsidRPr="00501641">
        <w:rPr>
          <w:b/>
          <w:bCs/>
          <w:i/>
          <w:iCs/>
        </w:rPr>
        <w:t xml:space="preserve"> 3 – </w:t>
      </w:r>
      <w:proofErr w:type="spellStart"/>
      <w:r w:rsidRPr="00501641">
        <w:rPr>
          <w:b/>
          <w:bCs/>
          <w:i/>
          <w:iCs/>
        </w:rPr>
        <w:t>Resiliencia</w:t>
      </w:r>
      <w:proofErr w:type="spellEnd"/>
      <w:r w:rsidRPr="00501641">
        <w:rPr>
          <w:b/>
          <w:bCs/>
          <w:i/>
          <w:iCs/>
        </w:rPr>
        <w:t xml:space="preserve"> ante el </w:t>
      </w:r>
      <w:proofErr w:type="spellStart"/>
      <w:r w:rsidRPr="00501641">
        <w:rPr>
          <w:b/>
          <w:bCs/>
          <w:i/>
          <w:iCs/>
        </w:rPr>
        <w:t>cambio</w:t>
      </w:r>
      <w:proofErr w:type="spellEnd"/>
      <w:r w:rsidRPr="00501641">
        <w:rPr>
          <w:b/>
          <w:bCs/>
          <w:i/>
          <w:iCs/>
        </w:rPr>
        <w:t xml:space="preserve"> </w:t>
      </w:r>
      <w:proofErr w:type="spellStart"/>
      <w:r w:rsidRPr="00501641">
        <w:rPr>
          <w:b/>
          <w:bCs/>
          <w:i/>
          <w:iCs/>
        </w:rPr>
        <w:t>climático</w:t>
      </w:r>
      <w:proofErr w:type="spellEnd"/>
      <w:r w:rsidRPr="00501641">
        <w:rPr>
          <w:b/>
          <w:bCs/>
          <w:i/>
          <w:iCs/>
        </w:rPr>
        <w:t xml:space="preserve"> y </w:t>
      </w:r>
      <w:proofErr w:type="spellStart"/>
      <w:r w:rsidRPr="00501641">
        <w:rPr>
          <w:b/>
          <w:bCs/>
          <w:i/>
          <w:iCs/>
        </w:rPr>
        <w:t>contribución</w:t>
      </w:r>
      <w:proofErr w:type="spellEnd"/>
      <w:r w:rsidRPr="00501641">
        <w:rPr>
          <w:b/>
          <w:bCs/>
          <w:i/>
          <w:iCs/>
        </w:rPr>
        <w:t xml:space="preserve"> a </w:t>
      </w:r>
      <w:proofErr w:type="spellStart"/>
      <w:r w:rsidRPr="00501641">
        <w:rPr>
          <w:b/>
          <w:bCs/>
          <w:i/>
          <w:iCs/>
        </w:rPr>
        <w:t>su</w:t>
      </w:r>
      <w:proofErr w:type="spellEnd"/>
      <w:r w:rsidRPr="00501641">
        <w:rPr>
          <w:b/>
          <w:bCs/>
          <w:i/>
          <w:iCs/>
        </w:rPr>
        <w:t xml:space="preserve"> </w:t>
      </w:r>
      <w:proofErr w:type="spellStart"/>
      <w:r w:rsidRPr="00501641">
        <w:rPr>
          <w:b/>
          <w:bCs/>
          <w:i/>
          <w:iCs/>
        </w:rPr>
        <w:t>mitigación</w:t>
      </w:r>
      <w:proofErr w:type="spellEnd"/>
    </w:p>
    <w:p w14:paraId="5342131F" w14:textId="6E4AA4A0" w:rsidR="00FA2C9C" w:rsidRPr="00501641" w:rsidRDefault="00FA2C9C" w:rsidP="00FA2C9C">
      <w:pPr>
        <w:pStyle w:val="Marge"/>
        <w:tabs>
          <w:tab w:val="clear" w:pos="567"/>
          <w:tab w:val="left" w:pos="1162"/>
        </w:tabs>
        <w:spacing w:line="240" w:lineRule="auto"/>
      </w:pPr>
      <w:r w:rsidRPr="00501641">
        <w:rPr>
          <w:bdr w:val="single" w:sz="4" w:space="0" w:color="auto"/>
        </w:rPr>
        <w:t>03018</w:t>
      </w:r>
      <w:r w:rsidRPr="00501641">
        <w:tab/>
        <w:t xml:space="preserve">El </w:t>
      </w:r>
      <w:proofErr w:type="spellStart"/>
      <w:r w:rsidRPr="00501641">
        <w:t>cambio</w:t>
      </w:r>
      <w:proofErr w:type="spellEnd"/>
      <w:r w:rsidRPr="00501641">
        <w:t xml:space="preserve"> y la </w:t>
      </w:r>
      <w:proofErr w:type="spellStart"/>
      <w:r w:rsidRPr="00501641">
        <w:t>variabilidad</w:t>
      </w:r>
      <w:proofErr w:type="spellEnd"/>
      <w:r w:rsidRPr="00501641">
        <w:t xml:space="preserve"> </w:t>
      </w:r>
      <w:proofErr w:type="spellStart"/>
      <w:r w:rsidRPr="00501641">
        <w:t>climáticos</w:t>
      </w:r>
      <w:proofErr w:type="spellEnd"/>
      <w:r w:rsidRPr="00501641">
        <w:t xml:space="preserve"> </w:t>
      </w:r>
      <w:proofErr w:type="spellStart"/>
      <w:r w:rsidRPr="00501641">
        <w:t>implican</w:t>
      </w:r>
      <w:proofErr w:type="spellEnd"/>
      <w:r w:rsidRPr="00501641">
        <w:t xml:space="preserve"> </w:t>
      </w:r>
      <w:proofErr w:type="spellStart"/>
      <w:r w:rsidRPr="00501641">
        <w:t>variaciones</w:t>
      </w:r>
      <w:proofErr w:type="spellEnd"/>
      <w:r w:rsidRPr="00501641">
        <w:t xml:space="preserve"> de </w:t>
      </w:r>
      <w:proofErr w:type="spellStart"/>
      <w:r w:rsidRPr="00501641">
        <w:t>temperatura</w:t>
      </w:r>
      <w:proofErr w:type="spellEnd"/>
      <w:r w:rsidRPr="00501641">
        <w:t xml:space="preserve">, </w:t>
      </w:r>
      <w:proofErr w:type="spellStart"/>
      <w:r w:rsidRPr="00501641">
        <w:t>alteraciones</w:t>
      </w:r>
      <w:proofErr w:type="spellEnd"/>
      <w:r w:rsidRPr="00501641">
        <w:t xml:space="preserve"> de la </w:t>
      </w:r>
      <w:proofErr w:type="spellStart"/>
      <w:r w:rsidRPr="00501641">
        <w:t>intensidad</w:t>
      </w:r>
      <w:proofErr w:type="spellEnd"/>
      <w:r w:rsidRPr="00501641">
        <w:t xml:space="preserve"> y los </w:t>
      </w:r>
      <w:proofErr w:type="spellStart"/>
      <w:r w:rsidRPr="00501641">
        <w:t>patrones</w:t>
      </w:r>
      <w:proofErr w:type="spellEnd"/>
      <w:r w:rsidRPr="00501641">
        <w:t xml:space="preserve"> de los </w:t>
      </w:r>
      <w:proofErr w:type="spellStart"/>
      <w:r w:rsidRPr="00501641">
        <w:t>ciclones</w:t>
      </w:r>
      <w:proofErr w:type="spellEnd"/>
      <w:r w:rsidRPr="00501641">
        <w:t xml:space="preserve"> </w:t>
      </w:r>
      <w:proofErr w:type="spellStart"/>
      <w:r w:rsidRPr="00501641">
        <w:t>tropicales</w:t>
      </w:r>
      <w:proofErr w:type="spellEnd"/>
      <w:r w:rsidRPr="00501641">
        <w:t xml:space="preserve">, las </w:t>
      </w:r>
      <w:proofErr w:type="spellStart"/>
      <w:r w:rsidRPr="00501641">
        <w:t>tormentas</w:t>
      </w:r>
      <w:proofErr w:type="spellEnd"/>
      <w:r w:rsidRPr="00501641">
        <w:t xml:space="preserve">, las </w:t>
      </w:r>
      <w:proofErr w:type="spellStart"/>
      <w:r w:rsidRPr="00501641">
        <w:t>precipitaciones</w:t>
      </w:r>
      <w:proofErr w:type="spellEnd"/>
      <w:r w:rsidRPr="00501641">
        <w:t xml:space="preserve"> y las </w:t>
      </w:r>
      <w:proofErr w:type="spellStart"/>
      <w:r w:rsidRPr="00501641">
        <w:t>sequías</w:t>
      </w:r>
      <w:proofErr w:type="spellEnd"/>
      <w:r w:rsidRPr="00501641">
        <w:t xml:space="preserve">, el </w:t>
      </w:r>
      <w:proofErr w:type="spellStart"/>
      <w:r w:rsidRPr="00501641">
        <w:t>aumento</w:t>
      </w:r>
      <w:proofErr w:type="spellEnd"/>
      <w:r w:rsidRPr="00501641">
        <w:t xml:space="preserve"> del </w:t>
      </w:r>
      <w:proofErr w:type="spellStart"/>
      <w:r w:rsidRPr="00501641">
        <w:t>nivel</w:t>
      </w:r>
      <w:proofErr w:type="spellEnd"/>
      <w:r w:rsidRPr="00501641">
        <w:t xml:space="preserve"> del mar, etc. Las </w:t>
      </w:r>
      <w:proofErr w:type="spellStart"/>
      <w:r w:rsidRPr="00501641">
        <w:t>emisiones</w:t>
      </w:r>
      <w:proofErr w:type="spellEnd"/>
      <w:r w:rsidRPr="00501641">
        <w:t xml:space="preserve"> de </w:t>
      </w:r>
      <w:proofErr w:type="spellStart"/>
      <w:r w:rsidRPr="00501641">
        <w:t>carbono</w:t>
      </w:r>
      <w:proofErr w:type="spellEnd"/>
      <w:r w:rsidRPr="00501641">
        <w:t xml:space="preserve"> </w:t>
      </w:r>
      <w:proofErr w:type="spellStart"/>
      <w:r w:rsidRPr="00501641">
        <w:t>también</w:t>
      </w:r>
      <w:proofErr w:type="spellEnd"/>
      <w:r w:rsidRPr="00501641">
        <w:t xml:space="preserve"> </w:t>
      </w:r>
      <w:proofErr w:type="spellStart"/>
      <w:r w:rsidRPr="00501641">
        <w:t>provocan</w:t>
      </w:r>
      <w:proofErr w:type="spellEnd"/>
      <w:r w:rsidRPr="00501641">
        <w:t xml:space="preserve"> la </w:t>
      </w:r>
      <w:proofErr w:type="spellStart"/>
      <w:r w:rsidRPr="00501641">
        <w:t>acidificación</w:t>
      </w:r>
      <w:proofErr w:type="spellEnd"/>
      <w:r w:rsidRPr="00501641">
        <w:t xml:space="preserve"> del </w:t>
      </w:r>
      <w:proofErr w:type="spellStart"/>
      <w:r w:rsidRPr="00501641">
        <w:t>océano</w:t>
      </w:r>
      <w:proofErr w:type="spellEnd"/>
      <w:r w:rsidRPr="00501641">
        <w:t xml:space="preserve">. La </w:t>
      </w:r>
      <w:proofErr w:type="spellStart"/>
      <w:r w:rsidRPr="00501641">
        <w:t>combinación</w:t>
      </w:r>
      <w:proofErr w:type="spellEnd"/>
      <w:r w:rsidRPr="00501641">
        <w:t xml:space="preserve"> de los </w:t>
      </w:r>
      <w:proofErr w:type="spellStart"/>
      <w:r w:rsidRPr="00501641">
        <w:t>efectos</w:t>
      </w:r>
      <w:proofErr w:type="spellEnd"/>
      <w:r w:rsidRPr="00501641">
        <w:t xml:space="preserve"> se </w:t>
      </w:r>
      <w:proofErr w:type="spellStart"/>
      <w:r w:rsidRPr="00501641">
        <w:t>manifiesta</w:t>
      </w:r>
      <w:proofErr w:type="spellEnd"/>
      <w:r w:rsidRPr="00501641">
        <w:t xml:space="preserve"> </w:t>
      </w:r>
      <w:proofErr w:type="spellStart"/>
      <w:r w:rsidRPr="00501641">
        <w:t>en</w:t>
      </w:r>
      <w:proofErr w:type="spellEnd"/>
      <w:r w:rsidRPr="00501641">
        <w:t xml:space="preserve"> la </w:t>
      </w:r>
      <w:proofErr w:type="spellStart"/>
      <w:r w:rsidRPr="00501641">
        <w:t>desoxigenación</w:t>
      </w:r>
      <w:proofErr w:type="spellEnd"/>
      <w:r w:rsidRPr="00501641">
        <w:t xml:space="preserve"> del </w:t>
      </w:r>
      <w:proofErr w:type="spellStart"/>
      <w:r w:rsidRPr="00501641">
        <w:t>océano</w:t>
      </w:r>
      <w:proofErr w:type="spellEnd"/>
      <w:r w:rsidRPr="00501641">
        <w:t xml:space="preserve">, la </w:t>
      </w:r>
      <w:proofErr w:type="spellStart"/>
      <w:r w:rsidRPr="00501641">
        <w:t>erosión</w:t>
      </w:r>
      <w:proofErr w:type="spellEnd"/>
      <w:r w:rsidRPr="00501641">
        <w:t xml:space="preserve"> de las </w:t>
      </w:r>
      <w:proofErr w:type="spellStart"/>
      <w:r w:rsidRPr="00501641">
        <w:t>costas</w:t>
      </w:r>
      <w:proofErr w:type="spellEnd"/>
      <w:r w:rsidRPr="00501641">
        <w:t xml:space="preserve">, etc. </w:t>
      </w:r>
      <w:proofErr w:type="spellStart"/>
      <w:r w:rsidRPr="00501641">
        <w:t>Muchos</w:t>
      </w:r>
      <w:proofErr w:type="spellEnd"/>
      <w:r w:rsidRPr="00501641">
        <w:t xml:space="preserve"> </w:t>
      </w:r>
      <w:proofErr w:type="spellStart"/>
      <w:r w:rsidRPr="00501641">
        <w:t>objetivos</w:t>
      </w:r>
      <w:proofErr w:type="spellEnd"/>
      <w:r w:rsidRPr="00501641">
        <w:t xml:space="preserve"> de </w:t>
      </w:r>
      <w:proofErr w:type="spellStart"/>
      <w:r w:rsidRPr="00501641">
        <w:t>desarrollo</w:t>
      </w:r>
      <w:proofErr w:type="spellEnd"/>
      <w:r w:rsidRPr="00501641">
        <w:t xml:space="preserve"> </w:t>
      </w:r>
      <w:proofErr w:type="spellStart"/>
      <w:r w:rsidRPr="00501641">
        <w:t>humano</w:t>
      </w:r>
      <w:proofErr w:type="spellEnd"/>
      <w:r w:rsidRPr="00501641">
        <w:t xml:space="preserve">, </w:t>
      </w:r>
      <w:proofErr w:type="spellStart"/>
      <w:r w:rsidRPr="00501641">
        <w:t>como</w:t>
      </w:r>
      <w:proofErr w:type="spellEnd"/>
      <w:r w:rsidRPr="00501641">
        <w:t xml:space="preserve"> los </w:t>
      </w:r>
      <w:proofErr w:type="spellStart"/>
      <w:r w:rsidRPr="00501641">
        <w:t>relativos</w:t>
      </w:r>
      <w:proofErr w:type="spellEnd"/>
      <w:r w:rsidRPr="00501641">
        <w:t xml:space="preserve"> a la </w:t>
      </w:r>
      <w:proofErr w:type="spellStart"/>
      <w:r w:rsidRPr="00501641">
        <w:t>seguridad</w:t>
      </w:r>
      <w:proofErr w:type="spellEnd"/>
      <w:r w:rsidRPr="00501641">
        <w:t xml:space="preserve"> alimentaria y la </w:t>
      </w:r>
      <w:proofErr w:type="spellStart"/>
      <w:r w:rsidRPr="00501641">
        <w:t>salud</w:t>
      </w:r>
      <w:proofErr w:type="spellEnd"/>
      <w:r w:rsidRPr="00501641">
        <w:t xml:space="preserve">, el </w:t>
      </w:r>
      <w:proofErr w:type="spellStart"/>
      <w:r w:rsidRPr="00501641">
        <w:t>acceso</w:t>
      </w:r>
      <w:proofErr w:type="spellEnd"/>
      <w:r w:rsidRPr="00501641">
        <w:t xml:space="preserve"> a los </w:t>
      </w:r>
      <w:proofErr w:type="spellStart"/>
      <w:r w:rsidRPr="00501641">
        <w:t>recursos</w:t>
      </w:r>
      <w:proofErr w:type="spellEnd"/>
      <w:r w:rsidRPr="00501641">
        <w:t xml:space="preserve"> </w:t>
      </w:r>
      <w:proofErr w:type="spellStart"/>
      <w:r w:rsidRPr="00501641">
        <w:t>hídricos</w:t>
      </w:r>
      <w:proofErr w:type="spellEnd"/>
      <w:r w:rsidRPr="00501641">
        <w:t xml:space="preserve"> y la </w:t>
      </w:r>
      <w:proofErr w:type="spellStart"/>
      <w:r w:rsidRPr="00501641">
        <w:t>preparación</w:t>
      </w:r>
      <w:proofErr w:type="spellEnd"/>
      <w:r w:rsidRPr="00501641">
        <w:t xml:space="preserve"> para los </w:t>
      </w:r>
      <w:proofErr w:type="spellStart"/>
      <w:r w:rsidRPr="00501641">
        <w:t>desastres</w:t>
      </w:r>
      <w:proofErr w:type="spellEnd"/>
      <w:r w:rsidRPr="00501641">
        <w:t xml:space="preserve">, se </w:t>
      </w:r>
      <w:proofErr w:type="spellStart"/>
      <w:r w:rsidRPr="00501641">
        <w:t>ven</w:t>
      </w:r>
      <w:proofErr w:type="spellEnd"/>
      <w:r w:rsidRPr="00501641">
        <w:t xml:space="preserve"> </w:t>
      </w:r>
      <w:proofErr w:type="spellStart"/>
      <w:r w:rsidRPr="00501641">
        <w:t>amenazados</w:t>
      </w:r>
      <w:proofErr w:type="spellEnd"/>
      <w:r w:rsidRPr="00501641">
        <w:t xml:space="preserve"> por el </w:t>
      </w:r>
      <w:proofErr w:type="spellStart"/>
      <w:r w:rsidRPr="00501641">
        <w:t>cambio</w:t>
      </w:r>
      <w:proofErr w:type="spellEnd"/>
      <w:r w:rsidRPr="00501641">
        <w:t xml:space="preserve"> </w:t>
      </w:r>
      <w:proofErr w:type="spellStart"/>
      <w:r w:rsidRPr="00501641">
        <w:t>climático</w:t>
      </w:r>
      <w:proofErr w:type="spellEnd"/>
      <w:r w:rsidRPr="00501641">
        <w:t xml:space="preserve">. El </w:t>
      </w:r>
      <w:proofErr w:type="spellStart"/>
      <w:r w:rsidRPr="00501641">
        <w:t>océano</w:t>
      </w:r>
      <w:proofErr w:type="spellEnd"/>
      <w:r w:rsidRPr="00501641">
        <w:t xml:space="preserve"> </w:t>
      </w:r>
      <w:proofErr w:type="spellStart"/>
      <w:r w:rsidRPr="00501641">
        <w:t>cumple</w:t>
      </w:r>
      <w:proofErr w:type="spellEnd"/>
      <w:r w:rsidRPr="00501641">
        <w:t xml:space="preserve"> una </w:t>
      </w:r>
      <w:proofErr w:type="spellStart"/>
      <w:r w:rsidRPr="00501641">
        <w:t>función</w:t>
      </w:r>
      <w:proofErr w:type="spellEnd"/>
      <w:r w:rsidRPr="00501641">
        <w:t xml:space="preserve"> </w:t>
      </w:r>
      <w:proofErr w:type="spellStart"/>
      <w:r w:rsidRPr="00501641">
        <w:t>esencial</w:t>
      </w:r>
      <w:proofErr w:type="spellEnd"/>
      <w:r w:rsidRPr="00501641">
        <w:t xml:space="preserve"> </w:t>
      </w:r>
      <w:proofErr w:type="spellStart"/>
      <w:r w:rsidRPr="00501641">
        <w:t>en</w:t>
      </w:r>
      <w:proofErr w:type="spellEnd"/>
      <w:r w:rsidRPr="00501641">
        <w:t xml:space="preserve"> la </w:t>
      </w:r>
      <w:proofErr w:type="spellStart"/>
      <w:r w:rsidRPr="00501641">
        <w:t>regulación</w:t>
      </w:r>
      <w:proofErr w:type="spellEnd"/>
      <w:r w:rsidRPr="00501641">
        <w:t xml:space="preserve"> del </w:t>
      </w:r>
      <w:proofErr w:type="spellStart"/>
      <w:r w:rsidRPr="00501641">
        <w:t>clima</w:t>
      </w:r>
      <w:proofErr w:type="spellEnd"/>
      <w:r w:rsidRPr="00501641">
        <w:t xml:space="preserve">. Por tanto, se </w:t>
      </w:r>
      <w:proofErr w:type="spellStart"/>
      <w:r w:rsidRPr="00501641">
        <w:t>necesita</w:t>
      </w:r>
      <w:proofErr w:type="spellEnd"/>
      <w:r w:rsidRPr="00501641">
        <w:t xml:space="preserve"> un </w:t>
      </w:r>
      <w:proofErr w:type="spellStart"/>
      <w:r w:rsidRPr="00501641">
        <w:t>esfuerzo</w:t>
      </w:r>
      <w:proofErr w:type="spellEnd"/>
      <w:r w:rsidRPr="00501641">
        <w:t xml:space="preserve"> </w:t>
      </w:r>
      <w:proofErr w:type="spellStart"/>
      <w:r w:rsidRPr="00501641">
        <w:t>mundial</w:t>
      </w:r>
      <w:proofErr w:type="spellEnd"/>
      <w:r w:rsidRPr="00501641">
        <w:t xml:space="preserve"> </w:t>
      </w:r>
      <w:proofErr w:type="spellStart"/>
      <w:r w:rsidRPr="00501641">
        <w:t>coordinado</w:t>
      </w:r>
      <w:proofErr w:type="spellEnd"/>
      <w:r w:rsidRPr="00501641">
        <w:t xml:space="preserve"> para </w:t>
      </w:r>
      <w:proofErr w:type="spellStart"/>
      <w:r w:rsidRPr="00501641">
        <w:t>incorporar</w:t>
      </w:r>
      <w:proofErr w:type="spellEnd"/>
      <w:r w:rsidRPr="00501641">
        <w:t xml:space="preserve"> de forma integral la </w:t>
      </w:r>
      <w:proofErr w:type="spellStart"/>
      <w:r w:rsidRPr="00501641">
        <w:t>dimensión</w:t>
      </w:r>
      <w:proofErr w:type="spellEnd"/>
      <w:r w:rsidRPr="00501641">
        <w:t xml:space="preserve"> </w:t>
      </w:r>
      <w:proofErr w:type="spellStart"/>
      <w:r w:rsidRPr="00501641">
        <w:t>oceánica</w:t>
      </w:r>
      <w:proofErr w:type="spellEnd"/>
      <w:r w:rsidRPr="00501641">
        <w:t xml:space="preserve"> </w:t>
      </w:r>
      <w:proofErr w:type="spellStart"/>
      <w:r w:rsidRPr="00501641">
        <w:t>en</w:t>
      </w:r>
      <w:proofErr w:type="spellEnd"/>
      <w:r w:rsidRPr="00501641">
        <w:t xml:space="preserve"> la </w:t>
      </w:r>
      <w:proofErr w:type="spellStart"/>
      <w:r w:rsidRPr="00501641">
        <w:t>mejora</w:t>
      </w:r>
      <w:proofErr w:type="spellEnd"/>
      <w:r w:rsidRPr="00501641">
        <w:t xml:space="preserve"> de </w:t>
      </w:r>
      <w:proofErr w:type="spellStart"/>
      <w:r w:rsidRPr="00501641">
        <w:t>nuestras</w:t>
      </w:r>
      <w:proofErr w:type="spellEnd"/>
      <w:r w:rsidRPr="00501641">
        <w:t xml:space="preserve"> </w:t>
      </w:r>
      <w:proofErr w:type="spellStart"/>
      <w:r w:rsidRPr="00501641">
        <w:t>capacidades</w:t>
      </w:r>
      <w:proofErr w:type="spellEnd"/>
      <w:r w:rsidRPr="00501641">
        <w:t xml:space="preserve"> para </w:t>
      </w:r>
      <w:proofErr w:type="spellStart"/>
      <w:r w:rsidRPr="00501641">
        <w:t>comprender</w:t>
      </w:r>
      <w:proofErr w:type="spellEnd"/>
      <w:r w:rsidRPr="00501641">
        <w:t xml:space="preserve"> y </w:t>
      </w:r>
      <w:proofErr w:type="spellStart"/>
      <w:r w:rsidRPr="00501641">
        <w:t>predecir</w:t>
      </w:r>
      <w:proofErr w:type="spellEnd"/>
      <w:r w:rsidRPr="00501641">
        <w:t xml:space="preserve"> el </w:t>
      </w:r>
      <w:proofErr w:type="spellStart"/>
      <w:r w:rsidRPr="00501641">
        <w:t>cambio</w:t>
      </w:r>
      <w:proofErr w:type="spellEnd"/>
      <w:r w:rsidRPr="00501641">
        <w:t xml:space="preserve"> </w:t>
      </w:r>
      <w:proofErr w:type="spellStart"/>
      <w:r w:rsidRPr="00501641">
        <w:t>climático</w:t>
      </w:r>
      <w:proofErr w:type="spellEnd"/>
      <w:r w:rsidRPr="00501641">
        <w:t xml:space="preserve"> y sus </w:t>
      </w:r>
      <w:proofErr w:type="spellStart"/>
      <w:r w:rsidRPr="00501641">
        <w:t>repercusiones</w:t>
      </w:r>
      <w:proofErr w:type="spellEnd"/>
      <w:r w:rsidRPr="00501641">
        <w:t xml:space="preserve"> </w:t>
      </w:r>
      <w:proofErr w:type="spellStart"/>
      <w:r w:rsidRPr="00501641">
        <w:t>en</w:t>
      </w:r>
      <w:proofErr w:type="spellEnd"/>
      <w:r w:rsidRPr="00501641">
        <w:t xml:space="preserve"> el </w:t>
      </w:r>
      <w:proofErr w:type="spellStart"/>
      <w:r w:rsidRPr="00501641">
        <w:t>océano</w:t>
      </w:r>
      <w:proofErr w:type="spellEnd"/>
      <w:r w:rsidRPr="00501641">
        <w:t xml:space="preserve">, con </w:t>
      </w:r>
      <w:proofErr w:type="spellStart"/>
      <w:r w:rsidRPr="00501641">
        <w:t>objeto</w:t>
      </w:r>
      <w:proofErr w:type="spellEnd"/>
      <w:r w:rsidRPr="00501641">
        <w:t xml:space="preserve"> de </w:t>
      </w:r>
      <w:proofErr w:type="spellStart"/>
      <w:r w:rsidRPr="00501641">
        <w:t>orientar</w:t>
      </w:r>
      <w:proofErr w:type="spellEnd"/>
      <w:r w:rsidRPr="00501641">
        <w:t xml:space="preserve"> la </w:t>
      </w:r>
      <w:proofErr w:type="spellStart"/>
      <w:r w:rsidRPr="00501641">
        <w:t>elaboración</w:t>
      </w:r>
      <w:proofErr w:type="spellEnd"/>
      <w:r w:rsidRPr="00501641">
        <w:t xml:space="preserve"> y la </w:t>
      </w:r>
      <w:proofErr w:type="spellStart"/>
      <w:r w:rsidRPr="00501641">
        <w:t>aplicación</w:t>
      </w:r>
      <w:proofErr w:type="spellEnd"/>
      <w:r w:rsidRPr="00501641">
        <w:t xml:space="preserve"> </w:t>
      </w:r>
      <w:proofErr w:type="spellStart"/>
      <w:r w:rsidRPr="00501641">
        <w:t>acelerada</w:t>
      </w:r>
      <w:proofErr w:type="spellEnd"/>
      <w:r w:rsidRPr="00501641">
        <w:t xml:space="preserve"> de </w:t>
      </w:r>
      <w:proofErr w:type="spellStart"/>
      <w:r w:rsidRPr="00501641">
        <w:t>estrategias</w:t>
      </w:r>
      <w:proofErr w:type="spellEnd"/>
      <w:r w:rsidRPr="00501641">
        <w:t xml:space="preserve"> </w:t>
      </w:r>
      <w:proofErr w:type="spellStart"/>
      <w:r w:rsidRPr="00501641">
        <w:t>eficaces</w:t>
      </w:r>
      <w:proofErr w:type="spellEnd"/>
      <w:r w:rsidRPr="00501641">
        <w:t xml:space="preserve"> de </w:t>
      </w:r>
      <w:proofErr w:type="spellStart"/>
      <w:r w:rsidRPr="00501641">
        <w:t>adaptación</w:t>
      </w:r>
      <w:proofErr w:type="spellEnd"/>
      <w:r w:rsidRPr="00501641">
        <w:t xml:space="preserve"> y </w:t>
      </w:r>
      <w:proofErr w:type="spellStart"/>
      <w:r w:rsidRPr="00501641">
        <w:t>mitigación</w:t>
      </w:r>
      <w:proofErr w:type="spellEnd"/>
      <w:r w:rsidRPr="00501641">
        <w:t>.</w:t>
      </w:r>
    </w:p>
    <w:p w14:paraId="084DE91C" w14:textId="52B32C3B" w:rsidR="00FA2C9C" w:rsidRPr="00501641" w:rsidRDefault="00C864D9" w:rsidP="00FA2C9C">
      <w:pPr>
        <w:pStyle w:val="Marge"/>
        <w:tabs>
          <w:tab w:val="clear" w:pos="567"/>
          <w:tab w:val="left" w:pos="1162"/>
        </w:tabs>
        <w:spacing w:line="240" w:lineRule="auto"/>
        <w:rPr>
          <w:b/>
          <w:bCs/>
          <w:i/>
          <w:iCs/>
        </w:rPr>
      </w:pPr>
      <w:proofErr w:type="spellStart"/>
      <w:r w:rsidRPr="00501641">
        <w:rPr>
          <w:b/>
          <w:bCs/>
          <w:i/>
          <w:iCs/>
        </w:rPr>
        <w:t>Objetivo</w:t>
      </w:r>
      <w:proofErr w:type="spellEnd"/>
      <w:r w:rsidRPr="00501641">
        <w:rPr>
          <w:b/>
          <w:bCs/>
          <w:i/>
          <w:iCs/>
        </w:rPr>
        <w:t xml:space="preserve"> 4 – </w:t>
      </w:r>
      <w:proofErr w:type="spellStart"/>
      <w:r w:rsidRPr="00501641">
        <w:rPr>
          <w:b/>
          <w:bCs/>
          <w:i/>
          <w:iCs/>
        </w:rPr>
        <w:t>Servicios</w:t>
      </w:r>
      <w:proofErr w:type="spellEnd"/>
      <w:r w:rsidRPr="00501641">
        <w:rPr>
          <w:b/>
          <w:bCs/>
          <w:i/>
          <w:iCs/>
        </w:rPr>
        <w:t xml:space="preserve"> </w:t>
      </w:r>
      <w:proofErr w:type="spellStart"/>
      <w:r w:rsidRPr="00501641">
        <w:rPr>
          <w:b/>
          <w:bCs/>
          <w:i/>
          <w:iCs/>
        </w:rPr>
        <w:t>basados</w:t>
      </w:r>
      <w:proofErr w:type="spellEnd"/>
      <w:r w:rsidRPr="00501641">
        <w:rPr>
          <w:b/>
          <w:bCs/>
          <w:i/>
          <w:iCs/>
        </w:rPr>
        <w:t xml:space="preserve"> </w:t>
      </w:r>
      <w:proofErr w:type="spellStart"/>
      <w:r w:rsidRPr="00501641">
        <w:rPr>
          <w:b/>
          <w:bCs/>
          <w:i/>
          <w:iCs/>
        </w:rPr>
        <w:t>en</w:t>
      </w:r>
      <w:proofErr w:type="spellEnd"/>
      <w:r w:rsidRPr="00501641">
        <w:rPr>
          <w:b/>
          <w:bCs/>
          <w:i/>
          <w:iCs/>
        </w:rPr>
        <w:t xml:space="preserve"> la </w:t>
      </w:r>
      <w:proofErr w:type="spellStart"/>
      <w:r w:rsidRPr="00501641">
        <w:rPr>
          <w:b/>
          <w:bCs/>
          <w:i/>
          <w:iCs/>
        </w:rPr>
        <w:t>ciencia</w:t>
      </w:r>
      <w:proofErr w:type="spellEnd"/>
      <w:r w:rsidRPr="00501641">
        <w:rPr>
          <w:b/>
          <w:bCs/>
          <w:i/>
          <w:iCs/>
        </w:rPr>
        <w:t xml:space="preserve"> para la </w:t>
      </w:r>
      <w:proofErr w:type="spellStart"/>
      <w:r w:rsidRPr="00501641">
        <w:rPr>
          <w:b/>
          <w:bCs/>
          <w:i/>
          <w:iCs/>
        </w:rPr>
        <w:t>economía</w:t>
      </w:r>
      <w:proofErr w:type="spellEnd"/>
      <w:r w:rsidRPr="00501641">
        <w:rPr>
          <w:b/>
          <w:bCs/>
          <w:i/>
          <w:iCs/>
        </w:rPr>
        <w:t xml:space="preserve"> </w:t>
      </w:r>
      <w:proofErr w:type="spellStart"/>
      <w:r w:rsidRPr="00501641">
        <w:rPr>
          <w:b/>
          <w:bCs/>
          <w:i/>
          <w:iCs/>
        </w:rPr>
        <w:t>oceánica</w:t>
      </w:r>
      <w:proofErr w:type="spellEnd"/>
      <w:r w:rsidRPr="00501641">
        <w:rPr>
          <w:b/>
          <w:bCs/>
          <w:i/>
          <w:iCs/>
        </w:rPr>
        <w:t xml:space="preserve"> </w:t>
      </w:r>
      <w:proofErr w:type="spellStart"/>
      <w:r w:rsidRPr="00501641">
        <w:rPr>
          <w:b/>
          <w:bCs/>
          <w:i/>
          <w:iCs/>
        </w:rPr>
        <w:t>sostenible</w:t>
      </w:r>
      <w:proofErr w:type="spellEnd"/>
    </w:p>
    <w:p w14:paraId="545487A4" w14:textId="57B75D2B" w:rsidR="00FA2C9C" w:rsidRPr="00501641" w:rsidRDefault="00FA2C9C" w:rsidP="00FA2C9C">
      <w:pPr>
        <w:pStyle w:val="Marge"/>
        <w:tabs>
          <w:tab w:val="clear" w:pos="567"/>
          <w:tab w:val="left" w:pos="1162"/>
        </w:tabs>
        <w:spacing w:line="240" w:lineRule="auto"/>
      </w:pPr>
      <w:r w:rsidRPr="00501641">
        <w:rPr>
          <w:bdr w:val="single" w:sz="4" w:space="0" w:color="auto"/>
        </w:rPr>
        <w:t>03019</w:t>
      </w:r>
      <w:r w:rsidRPr="00501641">
        <w:tab/>
        <w:t xml:space="preserve">Una </w:t>
      </w:r>
      <w:proofErr w:type="spellStart"/>
      <w:r w:rsidRPr="00501641">
        <w:t>economía</w:t>
      </w:r>
      <w:proofErr w:type="spellEnd"/>
      <w:r w:rsidRPr="00501641">
        <w:t xml:space="preserve"> </w:t>
      </w:r>
      <w:proofErr w:type="spellStart"/>
      <w:r w:rsidRPr="00501641">
        <w:t>oceánica</w:t>
      </w:r>
      <w:proofErr w:type="spellEnd"/>
      <w:r w:rsidRPr="00501641">
        <w:t xml:space="preserve"> es </w:t>
      </w:r>
      <w:proofErr w:type="spellStart"/>
      <w:r w:rsidRPr="00501641">
        <w:t>sostenible</w:t>
      </w:r>
      <w:proofErr w:type="spellEnd"/>
      <w:r w:rsidRPr="00501641">
        <w:t xml:space="preserve"> </w:t>
      </w:r>
      <w:proofErr w:type="spellStart"/>
      <w:r w:rsidRPr="00501641">
        <w:t>cuando</w:t>
      </w:r>
      <w:proofErr w:type="spellEnd"/>
      <w:r w:rsidRPr="00501641">
        <w:t xml:space="preserve"> las </w:t>
      </w:r>
      <w:proofErr w:type="spellStart"/>
      <w:r w:rsidRPr="00501641">
        <w:t>actividades</w:t>
      </w:r>
      <w:proofErr w:type="spellEnd"/>
      <w:r w:rsidRPr="00501641">
        <w:t xml:space="preserve"> se </w:t>
      </w:r>
      <w:proofErr w:type="spellStart"/>
      <w:r w:rsidRPr="00501641">
        <w:t>realizan</w:t>
      </w:r>
      <w:proofErr w:type="spellEnd"/>
      <w:r w:rsidRPr="00501641">
        <w:t xml:space="preserve"> </w:t>
      </w:r>
      <w:proofErr w:type="spellStart"/>
      <w:r w:rsidRPr="00501641">
        <w:t>en</w:t>
      </w:r>
      <w:proofErr w:type="spellEnd"/>
      <w:r w:rsidRPr="00501641">
        <w:t xml:space="preserve"> </w:t>
      </w:r>
      <w:proofErr w:type="spellStart"/>
      <w:r w:rsidRPr="00501641">
        <w:t>armonía</w:t>
      </w:r>
      <w:proofErr w:type="spellEnd"/>
      <w:r w:rsidRPr="00501641">
        <w:t xml:space="preserve"> con la </w:t>
      </w:r>
      <w:proofErr w:type="spellStart"/>
      <w:r w:rsidRPr="00501641">
        <w:t>capacidad</w:t>
      </w:r>
      <w:proofErr w:type="spellEnd"/>
      <w:r w:rsidRPr="00501641">
        <w:t xml:space="preserve"> a largo </w:t>
      </w:r>
      <w:proofErr w:type="spellStart"/>
      <w:r w:rsidRPr="00501641">
        <w:t>plazo</w:t>
      </w:r>
      <w:proofErr w:type="spellEnd"/>
      <w:r w:rsidRPr="00501641">
        <w:t xml:space="preserve"> de los </w:t>
      </w:r>
      <w:proofErr w:type="spellStart"/>
      <w:r w:rsidRPr="00501641">
        <w:t>ecosistemas</w:t>
      </w:r>
      <w:proofErr w:type="spellEnd"/>
      <w:r w:rsidRPr="00501641">
        <w:t xml:space="preserve"> </w:t>
      </w:r>
      <w:proofErr w:type="spellStart"/>
      <w:r w:rsidRPr="00501641">
        <w:t>oceánicos</w:t>
      </w:r>
      <w:proofErr w:type="spellEnd"/>
      <w:r w:rsidRPr="00501641">
        <w:t xml:space="preserve"> para </w:t>
      </w:r>
      <w:proofErr w:type="spellStart"/>
      <w:r w:rsidRPr="00501641">
        <w:t>sustentarlas</w:t>
      </w:r>
      <w:proofErr w:type="spellEnd"/>
      <w:r w:rsidRPr="00501641">
        <w:t xml:space="preserve">. Para </w:t>
      </w:r>
      <w:proofErr w:type="spellStart"/>
      <w:r w:rsidRPr="00501641">
        <w:t>alcanzar</w:t>
      </w:r>
      <w:proofErr w:type="spellEnd"/>
      <w:r w:rsidRPr="00501641">
        <w:t xml:space="preserve"> ese </w:t>
      </w:r>
      <w:proofErr w:type="spellStart"/>
      <w:r w:rsidRPr="00501641">
        <w:t>equilibrio</w:t>
      </w:r>
      <w:proofErr w:type="spellEnd"/>
      <w:r w:rsidRPr="00501641">
        <w:t xml:space="preserve"> se </w:t>
      </w:r>
      <w:proofErr w:type="spellStart"/>
      <w:r w:rsidRPr="00501641">
        <w:t>necesitan</w:t>
      </w:r>
      <w:proofErr w:type="spellEnd"/>
      <w:r w:rsidRPr="00501641">
        <w:t xml:space="preserve"> </w:t>
      </w:r>
      <w:proofErr w:type="spellStart"/>
      <w:r w:rsidRPr="00501641">
        <w:t>observaciones</w:t>
      </w:r>
      <w:proofErr w:type="spellEnd"/>
      <w:r w:rsidRPr="00501641">
        <w:t xml:space="preserve"> </w:t>
      </w:r>
      <w:proofErr w:type="spellStart"/>
      <w:r w:rsidRPr="00501641">
        <w:t>oceánicas</w:t>
      </w:r>
      <w:proofErr w:type="spellEnd"/>
      <w:r w:rsidRPr="00501641">
        <w:t xml:space="preserve">, </w:t>
      </w:r>
      <w:proofErr w:type="spellStart"/>
      <w:r w:rsidRPr="00501641">
        <w:t>productos</w:t>
      </w:r>
      <w:proofErr w:type="spellEnd"/>
      <w:r w:rsidRPr="00501641">
        <w:t xml:space="preserve"> y </w:t>
      </w:r>
      <w:proofErr w:type="spellStart"/>
      <w:r w:rsidRPr="00501641">
        <w:t>servicios</w:t>
      </w:r>
      <w:proofErr w:type="spellEnd"/>
      <w:r w:rsidRPr="00501641">
        <w:t xml:space="preserve"> de </w:t>
      </w:r>
      <w:proofErr w:type="spellStart"/>
      <w:r w:rsidRPr="00501641">
        <w:t>datos</w:t>
      </w:r>
      <w:proofErr w:type="spellEnd"/>
      <w:r w:rsidRPr="00501641">
        <w:t xml:space="preserve"> </w:t>
      </w:r>
      <w:proofErr w:type="spellStart"/>
      <w:r w:rsidRPr="00501641">
        <w:t>idóneos</w:t>
      </w:r>
      <w:proofErr w:type="spellEnd"/>
      <w:r w:rsidRPr="00501641">
        <w:t xml:space="preserve">, </w:t>
      </w:r>
      <w:proofErr w:type="spellStart"/>
      <w:r w:rsidRPr="00501641">
        <w:t>evaluaciones</w:t>
      </w:r>
      <w:proofErr w:type="spellEnd"/>
      <w:r w:rsidRPr="00501641">
        <w:t xml:space="preserve"> </w:t>
      </w:r>
      <w:proofErr w:type="spellStart"/>
      <w:r w:rsidRPr="00501641">
        <w:t>científicas</w:t>
      </w:r>
      <w:proofErr w:type="spellEnd"/>
      <w:r w:rsidRPr="00501641">
        <w:t xml:space="preserve"> y </w:t>
      </w:r>
      <w:proofErr w:type="spellStart"/>
      <w:r w:rsidRPr="00501641">
        <w:t>sistemas</w:t>
      </w:r>
      <w:proofErr w:type="spellEnd"/>
      <w:r w:rsidRPr="00501641">
        <w:t xml:space="preserve"> de </w:t>
      </w:r>
      <w:proofErr w:type="spellStart"/>
      <w:r w:rsidRPr="00501641">
        <w:t>vigilancia</w:t>
      </w:r>
      <w:proofErr w:type="spellEnd"/>
      <w:r w:rsidRPr="00501641">
        <w:t xml:space="preserve"> y </w:t>
      </w:r>
      <w:proofErr w:type="spellStart"/>
      <w:r w:rsidRPr="00501641">
        <w:t>predicción</w:t>
      </w:r>
      <w:proofErr w:type="spellEnd"/>
      <w:r w:rsidRPr="00501641">
        <w:t xml:space="preserve"> de la </w:t>
      </w:r>
      <w:proofErr w:type="spellStart"/>
      <w:r w:rsidRPr="00501641">
        <w:t>salud</w:t>
      </w:r>
      <w:proofErr w:type="spellEnd"/>
      <w:r w:rsidRPr="00501641">
        <w:t xml:space="preserve"> de los </w:t>
      </w:r>
      <w:proofErr w:type="spellStart"/>
      <w:r w:rsidRPr="00501641">
        <w:t>ecosistemas</w:t>
      </w:r>
      <w:proofErr w:type="spellEnd"/>
      <w:r w:rsidRPr="00501641">
        <w:t xml:space="preserve"> </w:t>
      </w:r>
      <w:proofErr w:type="spellStart"/>
      <w:r w:rsidRPr="00501641">
        <w:t>oceánicos</w:t>
      </w:r>
      <w:proofErr w:type="spellEnd"/>
      <w:r w:rsidRPr="00501641">
        <w:t xml:space="preserve">. </w:t>
      </w:r>
      <w:proofErr w:type="spellStart"/>
      <w:r w:rsidRPr="00501641">
        <w:t>También</w:t>
      </w:r>
      <w:proofErr w:type="spellEnd"/>
      <w:r w:rsidRPr="00501641">
        <w:t xml:space="preserve"> se </w:t>
      </w:r>
      <w:proofErr w:type="spellStart"/>
      <w:r w:rsidRPr="00501641">
        <w:t>necesitan</w:t>
      </w:r>
      <w:proofErr w:type="spellEnd"/>
      <w:r w:rsidRPr="00501641">
        <w:t xml:space="preserve"> </w:t>
      </w:r>
      <w:proofErr w:type="spellStart"/>
      <w:r w:rsidRPr="00501641">
        <w:t>herramientas</w:t>
      </w:r>
      <w:proofErr w:type="spellEnd"/>
      <w:r w:rsidRPr="00501641">
        <w:t xml:space="preserve"> de </w:t>
      </w:r>
      <w:proofErr w:type="spellStart"/>
      <w:r w:rsidRPr="00501641">
        <w:t>gestión</w:t>
      </w:r>
      <w:proofErr w:type="spellEnd"/>
      <w:r w:rsidRPr="00501641">
        <w:t xml:space="preserve"> del </w:t>
      </w:r>
      <w:proofErr w:type="spellStart"/>
      <w:r w:rsidRPr="00501641">
        <w:t>océano</w:t>
      </w:r>
      <w:proofErr w:type="spellEnd"/>
      <w:r w:rsidRPr="00501641">
        <w:t xml:space="preserve"> </w:t>
      </w:r>
      <w:proofErr w:type="spellStart"/>
      <w:r w:rsidRPr="00501641">
        <w:t>basadas</w:t>
      </w:r>
      <w:proofErr w:type="spellEnd"/>
      <w:r w:rsidRPr="00501641">
        <w:t xml:space="preserve"> </w:t>
      </w:r>
      <w:proofErr w:type="spellStart"/>
      <w:r w:rsidRPr="00501641">
        <w:t>en</w:t>
      </w:r>
      <w:proofErr w:type="spellEnd"/>
      <w:r w:rsidRPr="00501641">
        <w:t xml:space="preserve"> el </w:t>
      </w:r>
      <w:proofErr w:type="spellStart"/>
      <w:r w:rsidRPr="00501641">
        <w:t>conocimiento</w:t>
      </w:r>
      <w:proofErr w:type="spellEnd"/>
      <w:r w:rsidRPr="00501641">
        <w:t xml:space="preserve">, </w:t>
      </w:r>
      <w:proofErr w:type="spellStart"/>
      <w:r w:rsidRPr="00501641">
        <w:t>como</w:t>
      </w:r>
      <w:proofErr w:type="spellEnd"/>
      <w:r w:rsidRPr="00501641">
        <w:t xml:space="preserve"> la </w:t>
      </w:r>
      <w:proofErr w:type="spellStart"/>
      <w:r w:rsidRPr="00501641">
        <w:t>planificación</w:t>
      </w:r>
      <w:proofErr w:type="spellEnd"/>
      <w:r w:rsidRPr="00501641">
        <w:t xml:space="preserve"> </w:t>
      </w:r>
      <w:proofErr w:type="spellStart"/>
      <w:r w:rsidRPr="00501641">
        <w:t>espacial</w:t>
      </w:r>
      <w:proofErr w:type="spellEnd"/>
      <w:r w:rsidRPr="00501641">
        <w:t xml:space="preserve"> marina, la </w:t>
      </w:r>
      <w:proofErr w:type="spellStart"/>
      <w:r w:rsidRPr="00501641">
        <w:t>gestión</w:t>
      </w:r>
      <w:proofErr w:type="spellEnd"/>
      <w:r w:rsidRPr="00501641">
        <w:t xml:space="preserve"> de las zonas </w:t>
      </w:r>
      <w:proofErr w:type="spellStart"/>
      <w:r w:rsidRPr="00501641">
        <w:t>costeras</w:t>
      </w:r>
      <w:proofErr w:type="spellEnd"/>
      <w:r w:rsidRPr="00501641">
        <w:t xml:space="preserve">, las zonas marinas </w:t>
      </w:r>
      <w:proofErr w:type="spellStart"/>
      <w:r w:rsidRPr="00501641">
        <w:t>protegidas</w:t>
      </w:r>
      <w:proofErr w:type="spellEnd"/>
      <w:r w:rsidRPr="00501641">
        <w:t xml:space="preserve"> y la </w:t>
      </w:r>
      <w:proofErr w:type="spellStart"/>
      <w:r w:rsidRPr="00501641">
        <w:t>gestión</w:t>
      </w:r>
      <w:proofErr w:type="spellEnd"/>
      <w:r w:rsidRPr="00501641">
        <w:t xml:space="preserve"> de los </w:t>
      </w:r>
      <w:proofErr w:type="spellStart"/>
      <w:r w:rsidRPr="00501641">
        <w:t>grandes</w:t>
      </w:r>
      <w:proofErr w:type="spellEnd"/>
      <w:r w:rsidRPr="00501641">
        <w:t xml:space="preserve"> </w:t>
      </w:r>
      <w:proofErr w:type="spellStart"/>
      <w:r w:rsidRPr="00501641">
        <w:t>ecosistemas</w:t>
      </w:r>
      <w:proofErr w:type="spellEnd"/>
      <w:r w:rsidRPr="00501641">
        <w:t xml:space="preserve"> </w:t>
      </w:r>
      <w:proofErr w:type="spellStart"/>
      <w:r w:rsidRPr="00501641">
        <w:t>marinos</w:t>
      </w:r>
      <w:proofErr w:type="spellEnd"/>
      <w:r w:rsidRPr="00501641">
        <w:t xml:space="preserve">, a fin de que las </w:t>
      </w:r>
      <w:proofErr w:type="spellStart"/>
      <w:r w:rsidRPr="00501641">
        <w:t>partes</w:t>
      </w:r>
      <w:proofErr w:type="spellEnd"/>
      <w:r w:rsidRPr="00501641">
        <w:t xml:space="preserve"> </w:t>
      </w:r>
      <w:proofErr w:type="spellStart"/>
      <w:r w:rsidRPr="00501641">
        <w:t>interesadas</w:t>
      </w:r>
      <w:proofErr w:type="spellEnd"/>
      <w:r w:rsidRPr="00501641">
        <w:t xml:space="preserve"> </w:t>
      </w:r>
      <w:proofErr w:type="spellStart"/>
      <w:r w:rsidRPr="00501641">
        <w:t>en</w:t>
      </w:r>
      <w:proofErr w:type="spellEnd"/>
      <w:r w:rsidRPr="00501641">
        <w:t xml:space="preserve"> el </w:t>
      </w:r>
      <w:proofErr w:type="spellStart"/>
      <w:r w:rsidRPr="00501641">
        <w:t>océano</w:t>
      </w:r>
      <w:proofErr w:type="spellEnd"/>
      <w:r w:rsidRPr="00501641">
        <w:t xml:space="preserve"> </w:t>
      </w:r>
      <w:proofErr w:type="spellStart"/>
      <w:r w:rsidRPr="00501641">
        <w:t>puedan</w:t>
      </w:r>
      <w:proofErr w:type="spellEnd"/>
      <w:r w:rsidRPr="00501641">
        <w:t xml:space="preserve"> </w:t>
      </w:r>
      <w:proofErr w:type="spellStart"/>
      <w:r w:rsidRPr="00501641">
        <w:t>establecer</w:t>
      </w:r>
      <w:proofErr w:type="spellEnd"/>
      <w:r w:rsidRPr="00501641">
        <w:t xml:space="preserve"> </w:t>
      </w:r>
      <w:proofErr w:type="spellStart"/>
      <w:r w:rsidRPr="00501641">
        <w:t>objetivos</w:t>
      </w:r>
      <w:proofErr w:type="spellEnd"/>
      <w:r w:rsidRPr="00501641">
        <w:t xml:space="preserve"> </w:t>
      </w:r>
      <w:proofErr w:type="spellStart"/>
      <w:r w:rsidRPr="00501641">
        <w:t>ambientales</w:t>
      </w:r>
      <w:proofErr w:type="spellEnd"/>
      <w:r w:rsidRPr="00501641">
        <w:t xml:space="preserve"> y </w:t>
      </w:r>
      <w:proofErr w:type="spellStart"/>
      <w:r w:rsidRPr="00501641">
        <w:t>socioeconómicos</w:t>
      </w:r>
      <w:proofErr w:type="spellEnd"/>
      <w:r w:rsidRPr="00501641">
        <w:t xml:space="preserve">, </w:t>
      </w:r>
      <w:proofErr w:type="spellStart"/>
      <w:r w:rsidRPr="00501641">
        <w:t>elaborar</w:t>
      </w:r>
      <w:proofErr w:type="spellEnd"/>
      <w:r w:rsidRPr="00501641">
        <w:t xml:space="preserve"> planes </w:t>
      </w:r>
      <w:proofErr w:type="spellStart"/>
      <w:r w:rsidRPr="00501641">
        <w:t>operacionales</w:t>
      </w:r>
      <w:proofErr w:type="spellEnd"/>
      <w:r w:rsidRPr="00501641">
        <w:t xml:space="preserve">, </w:t>
      </w:r>
      <w:proofErr w:type="spellStart"/>
      <w:r w:rsidRPr="00501641">
        <w:t>definir</w:t>
      </w:r>
      <w:proofErr w:type="spellEnd"/>
      <w:r w:rsidRPr="00501641">
        <w:t xml:space="preserve"> </w:t>
      </w:r>
      <w:proofErr w:type="spellStart"/>
      <w:r w:rsidRPr="00501641">
        <w:t>límites</w:t>
      </w:r>
      <w:proofErr w:type="spellEnd"/>
      <w:r w:rsidRPr="00501641">
        <w:t xml:space="preserve"> y directrices </w:t>
      </w:r>
      <w:proofErr w:type="spellStart"/>
      <w:r w:rsidRPr="00501641">
        <w:t>seguros</w:t>
      </w:r>
      <w:proofErr w:type="spellEnd"/>
      <w:r w:rsidRPr="00501641">
        <w:t xml:space="preserve"> para las </w:t>
      </w:r>
      <w:proofErr w:type="spellStart"/>
      <w:r w:rsidRPr="00501641">
        <w:t>operaciones</w:t>
      </w:r>
      <w:proofErr w:type="spellEnd"/>
      <w:r w:rsidRPr="00501641">
        <w:t xml:space="preserve">, </w:t>
      </w:r>
      <w:proofErr w:type="spellStart"/>
      <w:r w:rsidRPr="00501641">
        <w:t>así</w:t>
      </w:r>
      <w:proofErr w:type="spellEnd"/>
      <w:r w:rsidRPr="00501641">
        <w:t xml:space="preserve"> </w:t>
      </w:r>
      <w:proofErr w:type="spellStart"/>
      <w:r w:rsidRPr="00501641">
        <w:t>como</w:t>
      </w:r>
      <w:proofErr w:type="spellEnd"/>
      <w:r w:rsidRPr="00501641">
        <w:t xml:space="preserve"> </w:t>
      </w:r>
      <w:proofErr w:type="spellStart"/>
      <w:r w:rsidRPr="00501641">
        <w:t>reducir</w:t>
      </w:r>
      <w:proofErr w:type="spellEnd"/>
      <w:r w:rsidRPr="00501641">
        <w:t xml:space="preserve"> los </w:t>
      </w:r>
      <w:proofErr w:type="spellStart"/>
      <w:r w:rsidRPr="00501641">
        <w:t>conflictos</w:t>
      </w:r>
      <w:proofErr w:type="spellEnd"/>
      <w:r w:rsidRPr="00501641">
        <w:t xml:space="preserve"> entre los </w:t>
      </w:r>
      <w:proofErr w:type="spellStart"/>
      <w:r w:rsidRPr="00501641">
        <w:t>múltiples</w:t>
      </w:r>
      <w:proofErr w:type="spellEnd"/>
      <w:r w:rsidRPr="00501641">
        <w:t xml:space="preserve"> </w:t>
      </w:r>
      <w:proofErr w:type="spellStart"/>
      <w:r w:rsidRPr="00501641">
        <w:t>usos</w:t>
      </w:r>
      <w:proofErr w:type="spellEnd"/>
      <w:r w:rsidRPr="00501641">
        <w:t xml:space="preserve"> del </w:t>
      </w:r>
      <w:proofErr w:type="spellStart"/>
      <w:r w:rsidRPr="00501641">
        <w:t>espacio</w:t>
      </w:r>
      <w:proofErr w:type="spellEnd"/>
      <w:r w:rsidRPr="00501641">
        <w:t xml:space="preserve"> </w:t>
      </w:r>
      <w:proofErr w:type="spellStart"/>
      <w:r w:rsidRPr="00501641">
        <w:t>oceánico</w:t>
      </w:r>
      <w:proofErr w:type="spellEnd"/>
      <w:r w:rsidRPr="00501641">
        <w:t>.</w:t>
      </w:r>
    </w:p>
    <w:p w14:paraId="5BA7A128" w14:textId="7805C278" w:rsidR="00FA2C9C" w:rsidRPr="00501641" w:rsidRDefault="00C864D9" w:rsidP="00FA2C9C">
      <w:pPr>
        <w:pStyle w:val="Marge"/>
        <w:tabs>
          <w:tab w:val="clear" w:pos="567"/>
          <w:tab w:val="left" w:pos="1162"/>
        </w:tabs>
        <w:spacing w:line="240" w:lineRule="auto"/>
        <w:rPr>
          <w:b/>
          <w:bCs/>
          <w:i/>
          <w:iCs/>
        </w:rPr>
      </w:pPr>
      <w:proofErr w:type="spellStart"/>
      <w:r w:rsidRPr="00501641">
        <w:rPr>
          <w:b/>
          <w:bCs/>
          <w:i/>
          <w:iCs/>
        </w:rPr>
        <w:t>Objetivo</w:t>
      </w:r>
      <w:proofErr w:type="spellEnd"/>
      <w:r w:rsidRPr="00501641">
        <w:rPr>
          <w:b/>
          <w:bCs/>
          <w:i/>
          <w:iCs/>
        </w:rPr>
        <w:t xml:space="preserve"> 5 – </w:t>
      </w:r>
      <w:proofErr w:type="spellStart"/>
      <w:r w:rsidRPr="00501641">
        <w:rPr>
          <w:b/>
          <w:bCs/>
          <w:i/>
          <w:iCs/>
        </w:rPr>
        <w:t>Prospectiva</w:t>
      </w:r>
      <w:proofErr w:type="spellEnd"/>
      <w:r w:rsidRPr="00501641">
        <w:rPr>
          <w:b/>
          <w:bCs/>
          <w:i/>
          <w:iCs/>
        </w:rPr>
        <w:t xml:space="preserve"> </w:t>
      </w:r>
      <w:proofErr w:type="spellStart"/>
      <w:r w:rsidRPr="00501641">
        <w:rPr>
          <w:b/>
          <w:bCs/>
          <w:i/>
          <w:iCs/>
        </w:rPr>
        <w:t>sobre</w:t>
      </w:r>
      <w:proofErr w:type="spellEnd"/>
      <w:r w:rsidRPr="00501641">
        <w:rPr>
          <w:b/>
          <w:bCs/>
          <w:i/>
          <w:iCs/>
        </w:rPr>
        <w:t xml:space="preserve"> </w:t>
      </w:r>
      <w:proofErr w:type="spellStart"/>
      <w:r w:rsidRPr="00501641">
        <w:rPr>
          <w:b/>
          <w:bCs/>
          <w:i/>
          <w:iCs/>
        </w:rPr>
        <w:t>cuestiones</w:t>
      </w:r>
      <w:proofErr w:type="spellEnd"/>
      <w:r w:rsidRPr="00501641">
        <w:rPr>
          <w:b/>
          <w:bCs/>
          <w:i/>
          <w:iCs/>
        </w:rPr>
        <w:t xml:space="preserve"> </w:t>
      </w:r>
      <w:proofErr w:type="spellStart"/>
      <w:r w:rsidRPr="00501641">
        <w:rPr>
          <w:b/>
          <w:bCs/>
          <w:i/>
          <w:iCs/>
        </w:rPr>
        <w:t>emergentes</w:t>
      </w:r>
      <w:proofErr w:type="spellEnd"/>
      <w:r w:rsidRPr="00501641">
        <w:rPr>
          <w:b/>
          <w:bCs/>
          <w:i/>
          <w:iCs/>
        </w:rPr>
        <w:t xml:space="preserve"> </w:t>
      </w:r>
      <w:proofErr w:type="spellStart"/>
      <w:r w:rsidRPr="00501641">
        <w:rPr>
          <w:b/>
          <w:bCs/>
          <w:i/>
          <w:iCs/>
        </w:rPr>
        <w:t>en</w:t>
      </w:r>
      <w:proofErr w:type="spellEnd"/>
      <w:r w:rsidRPr="00501641">
        <w:rPr>
          <w:b/>
          <w:bCs/>
          <w:i/>
          <w:iCs/>
        </w:rPr>
        <w:t xml:space="preserve"> el </w:t>
      </w:r>
      <w:proofErr w:type="spellStart"/>
      <w:r w:rsidRPr="00501641">
        <w:rPr>
          <w:b/>
          <w:bCs/>
          <w:i/>
          <w:iCs/>
        </w:rPr>
        <w:t>ámbito</w:t>
      </w:r>
      <w:proofErr w:type="spellEnd"/>
      <w:r w:rsidRPr="00501641">
        <w:rPr>
          <w:b/>
          <w:bCs/>
          <w:i/>
          <w:iCs/>
        </w:rPr>
        <w:t xml:space="preserve"> de las </w:t>
      </w:r>
      <w:proofErr w:type="spellStart"/>
      <w:r w:rsidRPr="00501641">
        <w:rPr>
          <w:b/>
          <w:bCs/>
          <w:i/>
          <w:iCs/>
        </w:rPr>
        <w:t>ciencias</w:t>
      </w:r>
      <w:proofErr w:type="spellEnd"/>
      <w:r w:rsidRPr="00501641">
        <w:rPr>
          <w:b/>
          <w:bCs/>
          <w:i/>
          <w:iCs/>
        </w:rPr>
        <w:t xml:space="preserve"> </w:t>
      </w:r>
      <w:proofErr w:type="spellStart"/>
      <w:r w:rsidRPr="00501641">
        <w:rPr>
          <w:b/>
          <w:bCs/>
          <w:i/>
          <w:iCs/>
        </w:rPr>
        <w:t>oceánicas</w:t>
      </w:r>
      <w:proofErr w:type="spellEnd"/>
    </w:p>
    <w:p w14:paraId="41085CB5" w14:textId="40CF7694" w:rsidR="00FA2C9C" w:rsidRPr="00501641" w:rsidRDefault="00FA2C9C" w:rsidP="00FA2C9C">
      <w:pPr>
        <w:pStyle w:val="Marge"/>
        <w:tabs>
          <w:tab w:val="clear" w:pos="567"/>
          <w:tab w:val="left" w:pos="1162"/>
        </w:tabs>
        <w:spacing w:line="240" w:lineRule="auto"/>
      </w:pPr>
      <w:r w:rsidRPr="00501641">
        <w:rPr>
          <w:bdr w:val="single" w:sz="4" w:space="0" w:color="auto"/>
        </w:rPr>
        <w:t>03020</w:t>
      </w:r>
      <w:r w:rsidRPr="00501641">
        <w:tab/>
        <w:t xml:space="preserve">El </w:t>
      </w:r>
      <w:proofErr w:type="spellStart"/>
      <w:r w:rsidRPr="00501641">
        <w:t>océano</w:t>
      </w:r>
      <w:proofErr w:type="spellEnd"/>
      <w:r w:rsidRPr="00501641">
        <w:t xml:space="preserve"> </w:t>
      </w:r>
      <w:proofErr w:type="spellStart"/>
      <w:r w:rsidRPr="00501641">
        <w:t>sigue</w:t>
      </w:r>
      <w:proofErr w:type="spellEnd"/>
      <w:r w:rsidRPr="00501641">
        <w:t xml:space="preserve"> </w:t>
      </w:r>
      <w:proofErr w:type="spellStart"/>
      <w:r w:rsidRPr="00501641">
        <w:t>siendo</w:t>
      </w:r>
      <w:proofErr w:type="spellEnd"/>
      <w:r w:rsidRPr="00501641">
        <w:t xml:space="preserve"> uno de los </w:t>
      </w:r>
      <w:proofErr w:type="spellStart"/>
      <w:r w:rsidRPr="00501641">
        <w:t>dominios</w:t>
      </w:r>
      <w:proofErr w:type="spellEnd"/>
      <w:r w:rsidRPr="00501641">
        <w:t xml:space="preserve"> </w:t>
      </w:r>
      <w:proofErr w:type="spellStart"/>
      <w:r w:rsidRPr="00501641">
        <w:t>ambientales</w:t>
      </w:r>
      <w:proofErr w:type="spellEnd"/>
      <w:r w:rsidRPr="00501641">
        <w:t xml:space="preserve"> </w:t>
      </w:r>
      <w:proofErr w:type="spellStart"/>
      <w:r w:rsidRPr="00501641">
        <w:t>menos</w:t>
      </w:r>
      <w:proofErr w:type="spellEnd"/>
      <w:r w:rsidRPr="00501641">
        <w:t xml:space="preserve"> </w:t>
      </w:r>
      <w:proofErr w:type="spellStart"/>
      <w:r w:rsidRPr="00501641">
        <w:t>estudiados</w:t>
      </w:r>
      <w:proofErr w:type="spellEnd"/>
      <w:r w:rsidRPr="00501641">
        <w:t xml:space="preserve"> del </w:t>
      </w:r>
      <w:proofErr w:type="spellStart"/>
      <w:r w:rsidRPr="00501641">
        <w:t>sistema</w:t>
      </w:r>
      <w:proofErr w:type="spellEnd"/>
      <w:r w:rsidRPr="00501641">
        <w:t xml:space="preserve"> </w:t>
      </w:r>
      <w:proofErr w:type="spellStart"/>
      <w:r w:rsidRPr="00501641">
        <w:lastRenderedPageBreak/>
        <w:t>terrestre</w:t>
      </w:r>
      <w:proofErr w:type="spellEnd"/>
      <w:r w:rsidRPr="00501641">
        <w:t xml:space="preserve">. </w:t>
      </w:r>
      <w:proofErr w:type="spellStart"/>
      <w:r w:rsidRPr="00501641">
        <w:t>Aún</w:t>
      </w:r>
      <w:proofErr w:type="spellEnd"/>
      <w:r w:rsidRPr="00501641">
        <w:t xml:space="preserve"> son </w:t>
      </w:r>
      <w:proofErr w:type="spellStart"/>
      <w:r w:rsidRPr="00501641">
        <w:t>posibles</w:t>
      </w:r>
      <w:proofErr w:type="spellEnd"/>
      <w:r w:rsidRPr="00501641">
        <w:t xml:space="preserve"> </w:t>
      </w:r>
      <w:proofErr w:type="spellStart"/>
      <w:r w:rsidRPr="00501641">
        <w:t>nuevos</w:t>
      </w:r>
      <w:proofErr w:type="spellEnd"/>
      <w:r w:rsidRPr="00501641">
        <w:t xml:space="preserve"> </w:t>
      </w:r>
      <w:proofErr w:type="spellStart"/>
      <w:r w:rsidRPr="00501641">
        <w:t>descubrimientos</w:t>
      </w:r>
      <w:proofErr w:type="spellEnd"/>
      <w:r w:rsidRPr="00501641">
        <w:t xml:space="preserve"> </w:t>
      </w:r>
      <w:proofErr w:type="spellStart"/>
      <w:r w:rsidRPr="00501641">
        <w:t>oceanográficos</w:t>
      </w:r>
      <w:proofErr w:type="spellEnd"/>
      <w:r w:rsidRPr="00501641">
        <w:t xml:space="preserve">. </w:t>
      </w:r>
      <w:proofErr w:type="spellStart"/>
      <w:r w:rsidRPr="00501641">
        <w:t>Constantemente</w:t>
      </w:r>
      <w:proofErr w:type="spellEnd"/>
      <w:r w:rsidRPr="00501641">
        <w:t xml:space="preserve"> </w:t>
      </w:r>
      <w:proofErr w:type="spellStart"/>
      <w:r w:rsidRPr="00501641">
        <w:t>surgen</w:t>
      </w:r>
      <w:proofErr w:type="spellEnd"/>
      <w:r w:rsidRPr="00501641">
        <w:t xml:space="preserve"> </w:t>
      </w:r>
      <w:proofErr w:type="spellStart"/>
      <w:r w:rsidRPr="00501641">
        <w:t>nuevas</w:t>
      </w:r>
      <w:proofErr w:type="spellEnd"/>
      <w:r w:rsidRPr="00501641">
        <w:t xml:space="preserve"> </w:t>
      </w:r>
      <w:proofErr w:type="spellStart"/>
      <w:r w:rsidRPr="00501641">
        <w:t>cuestiones</w:t>
      </w:r>
      <w:proofErr w:type="spellEnd"/>
      <w:r w:rsidRPr="00501641">
        <w:t xml:space="preserve"> </w:t>
      </w:r>
      <w:proofErr w:type="spellStart"/>
      <w:r w:rsidRPr="00501641">
        <w:t>relacionadas</w:t>
      </w:r>
      <w:proofErr w:type="spellEnd"/>
      <w:r w:rsidRPr="00501641">
        <w:t xml:space="preserve"> con el </w:t>
      </w:r>
      <w:proofErr w:type="spellStart"/>
      <w:r w:rsidRPr="00501641">
        <w:t>océano</w:t>
      </w:r>
      <w:proofErr w:type="spellEnd"/>
      <w:r w:rsidRPr="00501641">
        <w:t xml:space="preserve"> que </w:t>
      </w:r>
      <w:proofErr w:type="spellStart"/>
      <w:r w:rsidRPr="00501641">
        <w:t>pueden</w:t>
      </w:r>
      <w:proofErr w:type="spellEnd"/>
      <w:r w:rsidRPr="00501641">
        <w:t xml:space="preserve"> </w:t>
      </w:r>
      <w:proofErr w:type="spellStart"/>
      <w:r w:rsidRPr="00501641">
        <w:t>afectar</w:t>
      </w:r>
      <w:proofErr w:type="spellEnd"/>
      <w:r w:rsidRPr="00501641">
        <w:t xml:space="preserve"> </w:t>
      </w:r>
      <w:proofErr w:type="spellStart"/>
      <w:r w:rsidRPr="00501641">
        <w:t>potencialmente</w:t>
      </w:r>
      <w:proofErr w:type="spellEnd"/>
      <w:r w:rsidRPr="00501641">
        <w:t xml:space="preserve"> a la </w:t>
      </w:r>
      <w:proofErr w:type="spellStart"/>
      <w:r w:rsidRPr="00501641">
        <w:t>salud</w:t>
      </w:r>
      <w:proofErr w:type="spellEnd"/>
      <w:r w:rsidRPr="00501641">
        <w:t xml:space="preserve"> de los </w:t>
      </w:r>
      <w:proofErr w:type="spellStart"/>
      <w:r w:rsidRPr="00501641">
        <w:t>ecosistemas</w:t>
      </w:r>
      <w:proofErr w:type="spellEnd"/>
      <w:r w:rsidRPr="00501641">
        <w:t xml:space="preserve"> </w:t>
      </w:r>
      <w:proofErr w:type="spellStart"/>
      <w:r w:rsidRPr="00501641">
        <w:t>oceánicos</w:t>
      </w:r>
      <w:proofErr w:type="spellEnd"/>
      <w:r w:rsidRPr="00501641">
        <w:t xml:space="preserve">, </w:t>
      </w:r>
      <w:proofErr w:type="spellStart"/>
      <w:r w:rsidRPr="00501641">
        <w:t>así</w:t>
      </w:r>
      <w:proofErr w:type="spellEnd"/>
      <w:r w:rsidRPr="00501641">
        <w:t xml:space="preserve"> </w:t>
      </w:r>
      <w:proofErr w:type="spellStart"/>
      <w:r w:rsidRPr="00501641">
        <w:t>como</w:t>
      </w:r>
      <w:proofErr w:type="spellEnd"/>
      <w:r w:rsidRPr="00501641">
        <w:t xml:space="preserve"> al </w:t>
      </w:r>
      <w:proofErr w:type="spellStart"/>
      <w:r w:rsidRPr="00501641">
        <w:t>bienestar</w:t>
      </w:r>
      <w:proofErr w:type="spellEnd"/>
      <w:r w:rsidRPr="00501641">
        <w:t xml:space="preserve"> </w:t>
      </w:r>
      <w:proofErr w:type="spellStart"/>
      <w:r w:rsidRPr="00501641">
        <w:t>humano</w:t>
      </w:r>
      <w:proofErr w:type="spellEnd"/>
      <w:r w:rsidRPr="00501641">
        <w:t xml:space="preserve">. </w:t>
      </w:r>
      <w:proofErr w:type="spellStart"/>
      <w:r w:rsidRPr="00501641">
        <w:t>Nuevos</w:t>
      </w:r>
      <w:proofErr w:type="spellEnd"/>
      <w:r w:rsidRPr="00501641">
        <w:t xml:space="preserve"> </w:t>
      </w:r>
      <w:proofErr w:type="spellStart"/>
      <w:r w:rsidRPr="00501641">
        <w:t>factores</w:t>
      </w:r>
      <w:proofErr w:type="spellEnd"/>
      <w:r w:rsidRPr="00501641">
        <w:t xml:space="preserve"> de </w:t>
      </w:r>
      <w:proofErr w:type="spellStart"/>
      <w:r w:rsidRPr="00501641">
        <w:t>perturbación</w:t>
      </w:r>
      <w:proofErr w:type="spellEnd"/>
      <w:r w:rsidRPr="00501641">
        <w:t xml:space="preserve">, </w:t>
      </w:r>
      <w:proofErr w:type="spellStart"/>
      <w:r w:rsidRPr="00501641">
        <w:t>como</w:t>
      </w:r>
      <w:proofErr w:type="spellEnd"/>
      <w:r w:rsidRPr="00501641">
        <w:t xml:space="preserve"> </w:t>
      </w:r>
      <w:proofErr w:type="spellStart"/>
      <w:r w:rsidRPr="00501641">
        <w:t>nuevos</w:t>
      </w:r>
      <w:proofErr w:type="spellEnd"/>
      <w:r w:rsidRPr="00501641">
        <w:t xml:space="preserve"> </w:t>
      </w:r>
      <w:proofErr w:type="spellStart"/>
      <w:r w:rsidRPr="00501641">
        <w:t>contaminantes</w:t>
      </w:r>
      <w:proofErr w:type="spellEnd"/>
      <w:r w:rsidRPr="00501641">
        <w:t xml:space="preserve"> o </w:t>
      </w:r>
      <w:proofErr w:type="spellStart"/>
      <w:r w:rsidRPr="00501641">
        <w:t>presiones</w:t>
      </w:r>
      <w:proofErr w:type="spellEnd"/>
      <w:r w:rsidRPr="00501641">
        <w:t xml:space="preserve"> de </w:t>
      </w:r>
      <w:proofErr w:type="spellStart"/>
      <w:r w:rsidRPr="00501641">
        <w:t>nuevas</w:t>
      </w:r>
      <w:proofErr w:type="spellEnd"/>
      <w:r w:rsidRPr="00501641">
        <w:t xml:space="preserve"> </w:t>
      </w:r>
      <w:proofErr w:type="spellStart"/>
      <w:r w:rsidRPr="00501641">
        <w:t>industrias</w:t>
      </w:r>
      <w:proofErr w:type="spellEnd"/>
      <w:r w:rsidRPr="00501641">
        <w:t xml:space="preserve">, </w:t>
      </w:r>
      <w:proofErr w:type="spellStart"/>
      <w:r w:rsidRPr="00501641">
        <w:t>pueden</w:t>
      </w:r>
      <w:proofErr w:type="spellEnd"/>
      <w:r w:rsidRPr="00501641">
        <w:t xml:space="preserve"> </w:t>
      </w:r>
      <w:proofErr w:type="spellStart"/>
      <w:r w:rsidRPr="00501641">
        <w:t>combinarse</w:t>
      </w:r>
      <w:proofErr w:type="spellEnd"/>
      <w:r w:rsidRPr="00501641">
        <w:t xml:space="preserve"> con </w:t>
      </w:r>
      <w:proofErr w:type="spellStart"/>
      <w:r w:rsidRPr="00501641">
        <w:t>factores</w:t>
      </w:r>
      <w:proofErr w:type="spellEnd"/>
      <w:r w:rsidRPr="00501641">
        <w:t xml:space="preserve"> </w:t>
      </w:r>
      <w:proofErr w:type="spellStart"/>
      <w:r w:rsidRPr="00501641">
        <w:t>conocidos</w:t>
      </w:r>
      <w:proofErr w:type="spellEnd"/>
      <w:r w:rsidRPr="00501641">
        <w:t xml:space="preserve">, </w:t>
      </w:r>
      <w:proofErr w:type="spellStart"/>
      <w:r w:rsidRPr="00501641">
        <w:t>como</w:t>
      </w:r>
      <w:proofErr w:type="spellEnd"/>
      <w:r w:rsidRPr="00501641">
        <w:t xml:space="preserve"> la </w:t>
      </w:r>
      <w:proofErr w:type="spellStart"/>
      <w:r w:rsidRPr="00501641">
        <w:t>acidificación</w:t>
      </w:r>
      <w:proofErr w:type="spellEnd"/>
      <w:r w:rsidRPr="00501641">
        <w:t xml:space="preserve"> del </w:t>
      </w:r>
      <w:proofErr w:type="spellStart"/>
      <w:r w:rsidRPr="00501641">
        <w:t>océano</w:t>
      </w:r>
      <w:proofErr w:type="spellEnd"/>
      <w:r w:rsidRPr="00501641">
        <w:t xml:space="preserve">, la </w:t>
      </w:r>
      <w:proofErr w:type="spellStart"/>
      <w:r w:rsidRPr="00501641">
        <w:t>alteración</w:t>
      </w:r>
      <w:proofErr w:type="spellEnd"/>
      <w:r w:rsidRPr="00501641">
        <w:t xml:space="preserve"> de los </w:t>
      </w:r>
      <w:proofErr w:type="spellStart"/>
      <w:r w:rsidRPr="00501641">
        <w:t>patrones</w:t>
      </w:r>
      <w:proofErr w:type="spellEnd"/>
      <w:r w:rsidRPr="00501641">
        <w:t xml:space="preserve"> del </w:t>
      </w:r>
      <w:proofErr w:type="spellStart"/>
      <w:r w:rsidRPr="00501641">
        <w:t>ciclo</w:t>
      </w:r>
      <w:proofErr w:type="spellEnd"/>
      <w:r w:rsidRPr="00501641">
        <w:t xml:space="preserve"> del </w:t>
      </w:r>
      <w:proofErr w:type="spellStart"/>
      <w:r w:rsidRPr="00501641">
        <w:t>carbono</w:t>
      </w:r>
      <w:proofErr w:type="spellEnd"/>
      <w:r w:rsidRPr="00501641">
        <w:t xml:space="preserve"> </w:t>
      </w:r>
      <w:proofErr w:type="spellStart"/>
      <w:r w:rsidRPr="00501641">
        <w:t>oceánico</w:t>
      </w:r>
      <w:proofErr w:type="spellEnd"/>
      <w:r w:rsidRPr="00501641">
        <w:t xml:space="preserve">, la </w:t>
      </w:r>
      <w:proofErr w:type="spellStart"/>
      <w:r w:rsidRPr="00501641">
        <w:t>desoxigenación</w:t>
      </w:r>
      <w:proofErr w:type="spellEnd"/>
      <w:r w:rsidRPr="00501641">
        <w:t xml:space="preserve"> y el </w:t>
      </w:r>
      <w:proofErr w:type="spellStart"/>
      <w:r w:rsidRPr="00501641">
        <w:t>cambio</w:t>
      </w:r>
      <w:proofErr w:type="spellEnd"/>
      <w:r w:rsidRPr="00501641">
        <w:t xml:space="preserve"> </w:t>
      </w:r>
      <w:proofErr w:type="spellStart"/>
      <w:r w:rsidRPr="00501641">
        <w:t>climático</w:t>
      </w:r>
      <w:proofErr w:type="spellEnd"/>
      <w:r w:rsidRPr="00501641">
        <w:t xml:space="preserve">, y </w:t>
      </w:r>
      <w:proofErr w:type="spellStart"/>
      <w:r w:rsidRPr="00501641">
        <w:t>crear</w:t>
      </w:r>
      <w:proofErr w:type="spellEnd"/>
      <w:r w:rsidRPr="00501641">
        <w:t xml:space="preserve"> </w:t>
      </w:r>
      <w:proofErr w:type="spellStart"/>
      <w:r w:rsidRPr="00501641">
        <w:t>impactos</w:t>
      </w:r>
      <w:proofErr w:type="spellEnd"/>
      <w:r w:rsidRPr="00501641">
        <w:t xml:space="preserve"> </w:t>
      </w:r>
      <w:proofErr w:type="spellStart"/>
      <w:r w:rsidRPr="00501641">
        <w:t>complejos</w:t>
      </w:r>
      <w:proofErr w:type="spellEnd"/>
      <w:r w:rsidRPr="00501641">
        <w:t xml:space="preserve"> </w:t>
      </w:r>
      <w:proofErr w:type="spellStart"/>
      <w:r w:rsidRPr="00501641">
        <w:t>en</w:t>
      </w:r>
      <w:proofErr w:type="spellEnd"/>
      <w:r w:rsidRPr="00501641">
        <w:t xml:space="preserve"> los </w:t>
      </w:r>
      <w:proofErr w:type="spellStart"/>
      <w:r w:rsidRPr="00501641">
        <w:t>ecosistemas</w:t>
      </w:r>
      <w:proofErr w:type="spellEnd"/>
      <w:r w:rsidRPr="00501641">
        <w:t xml:space="preserve">. La </w:t>
      </w:r>
      <w:proofErr w:type="spellStart"/>
      <w:r w:rsidRPr="00501641">
        <w:t>investigación</w:t>
      </w:r>
      <w:proofErr w:type="spellEnd"/>
      <w:r w:rsidRPr="00501641">
        <w:t xml:space="preserve">, la </w:t>
      </w:r>
      <w:proofErr w:type="spellStart"/>
      <w:r w:rsidRPr="00501641">
        <w:t>innovación</w:t>
      </w:r>
      <w:proofErr w:type="spellEnd"/>
      <w:r w:rsidRPr="00501641">
        <w:t xml:space="preserve"> y el </w:t>
      </w:r>
      <w:proofErr w:type="spellStart"/>
      <w:r w:rsidRPr="00501641">
        <w:t>desarrollo</w:t>
      </w:r>
      <w:proofErr w:type="spellEnd"/>
      <w:r w:rsidRPr="00501641">
        <w:t xml:space="preserve"> </w:t>
      </w:r>
      <w:proofErr w:type="spellStart"/>
      <w:r w:rsidRPr="00501641">
        <w:t>tecnológico</w:t>
      </w:r>
      <w:proofErr w:type="spellEnd"/>
      <w:r w:rsidRPr="00501641">
        <w:t xml:space="preserve"> de </w:t>
      </w:r>
      <w:proofErr w:type="spellStart"/>
      <w:r w:rsidRPr="00501641">
        <w:t>vanguardia</w:t>
      </w:r>
      <w:proofErr w:type="spellEnd"/>
      <w:r w:rsidRPr="00501641">
        <w:t xml:space="preserve">, </w:t>
      </w:r>
      <w:proofErr w:type="spellStart"/>
      <w:r w:rsidRPr="00501641">
        <w:t>en</w:t>
      </w:r>
      <w:proofErr w:type="spellEnd"/>
      <w:r w:rsidRPr="00501641">
        <w:t xml:space="preserve"> particular por lo que </w:t>
      </w:r>
      <w:proofErr w:type="spellStart"/>
      <w:r w:rsidRPr="00501641">
        <w:t>respecta</w:t>
      </w:r>
      <w:proofErr w:type="spellEnd"/>
      <w:r w:rsidRPr="00501641">
        <w:t xml:space="preserve"> a las </w:t>
      </w:r>
      <w:proofErr w:type="spellStart"/>
      <w:r w:rsidRPr="00501641">
        <w:t>observaciones</w:t>
      </w:r>
      <w:proofErr w:type="spellEnd"/>
      <w:r w:rsidRPr="00501641">
        <w:t xml:space="preserve"> y al </w:t>
      </w:r>
      <w:proofErr w:type="spellStart"/>
      <w:r w:rsidRPr="00501641">
        <w:t>desarrollo</w:t>
      </w:r>
      <w:proofErr w:type="spellEnd"/>
      <w:r w:rsidRPr="00501641">
        <w:t xml:space="preserve"> de un “</w:t>
      </w:r>
      <w:proofErr w:type="spellStart"/>
      <w:r w:rsidRPr="00501641">
        <w:t>ecosistema</w:t>
      </w:r>
      <w:proofErr w:type="spellEnd"/>
      <w:r w:rsidRPr="00501641">
        <w:t xml:space="preserve"> </w:t>
      </w:r>
      <w:proofErr w:type="spellStart"/>
      <w:r w:rsidRPr="00501641">
        <w:t>mundial</w:t>
      </w:r>
      <w:proofErr w:type="spellEnd"/>
      <w:r w:rsidRPr="00501641">
        <w:t xml:space="preserve"> de </w:t>
      </w:r>
      <w:proofErr w:type="spellStart"/>
      <w:r w:rsidRPr="00501641">
        <w:t>datos</w:t>
      </w:r>
      <w:proofErr w:type="spellEnd"/>
      <w:r w:rsidRPr="00501641">
        <w:t xml:space="preserve"> e </w:t>
      </w:r>
      <w:proofErr w:type="spellStart"/>
      <w:r w:rsidRPr="00501641">
        <w:t>información</w:t>
      </w:r>
      <w:proofErr w:type="spellEnd"/>
      <w:r w:rsidRPr="00501641">
        <w:t xml:space="preserve">”, </w:t>
      </w:r>
      <w:proofErr w:type="spellStart"/>
      <w:r w:rsidRPr="00501641">
        <w:t>deberían</w:t>
      </w:r>
      <w:proofErr w:type="spellEnd"/>
      <w:r w:rsidRPr="00501641">
        <w:t xml:space="preserve"> </w:t>
      </w:r>
      <w:proofErr w:type="spellStart"/>
      <w:r w:rsidRPr="00501641">
        <w:t>aumentar</w:t>
      </w:r>
      <w:proofErr w:type="spellEnd"/>
      <w:r w:rsidRPr="00501641">
        <w:t xml:space="preserve"> </w:t>
      </w:r>
      <w:proofErr w:type="spellStart"/>
      <w:r w:rsidRPr="00501641">
        <w:t>nuestra</w:t>
      </w:r>
      <w:proofErr w:type="spellEnd"/>
      <w:r w:rsidRPr="00501641">
        <w:t xml:space="preserve"> </w:t>
      </w:r>
      <w:proofErr w:type="spellStart"/>
      <w:r w:rsidRPr="00501641">
        <w:t>capacidad</w:t>
      </w:r>
      <w:proofErr w:type="spellEnd"/>
      <w:r w:rsidRPr="00501641">
        <w:t xml:space="preserve"> para </w:t>
      </w:r>
      <w:proofErr w:type="spellStart"/>
      <w:r w:rsidRPr="00501641">
        <w:t>prever</w:t>
      </w:r>
      <w:proofErr w:type="spellEnd"/>
      <w:r w:rsidRPr="00501641">
        <w:t xml:space="preserve"> </w:t>
      </w:r>
      <w:proofErr w:type="spellStart"/>
      <w:r w:rsidRPr="00501641">
        <w:t>esas</w:t>
      </w:r>
      <w:proofErr w:type="spellEnd"/>
      <w:r w:rsidRPr="00501641">
        <w:t xml:space="preserve"> </w:t>
      </w:r>
      <w:proofErr w:type="spellStart"/>
      <w:r w:rsidRPr="00501641">
        <w:t>cuestiones</w:t>
      </w:r>
      <w:proofErr w:type="spellEnd"/>
      <w:r w:rsidRPr="00501641">
        <w:t xml:space="preserve"> </w:t>
      </w:r>
      <w:proofErr w:type="spellStart"/>
      <w:r w:rsidRPr="00501641">
        <w:t>emergentes</w:t>
      </w:r>
      <w:proofErr w:type="spellEnd"/>
      <w:r w:rsidRPr="00501641">
        <w:t xml:space="preserve">, </w:t>
      </w:r>
      <w:proofErr w:type="spellStart"/>
      <w:r w:rsidRPr="00501641">
        <w:t>contribuir</w:t>
      </w:r>
      <w:proofErr w:type="spellEnd"/>
      <w:r w:rsidRPr="00501641">
        <w:t xml:space="preserve"> a la </w:t>
      </w:r>
      <w:proofErr w:type="spellStart"/>
      <w:r w:rsidRPr="00501641">
        <w:t>formulación</w:t>
      </w:r>
      <w:proofErr w:type="spellEnd"/>
      <w:r w:rsidRPr="00501641">
        <w:t xml:space="preserve"> de </w:t>
      </w:r>
      <w:proofErr w:type="spellStart"/>
      <w:r w:rsidRPr="00501641">
        <w:t>políticas</w:t>
      </w:r>
      <w:proofErr w:type="spellEnd"/>
      <w:r w:rsidRPr="00501641">
        <w:t xml:space="preserve">, </w:t>
      </w:r>
      <w:proofErr w:type="spellStart"/>
      <w:r w:rsidRPr="00501641">
        <w:t>especialmente</w:t>
      </w:r>
      <w:proofErr w:type="spellEnd"/>
      <w:r w:rsidRPr="00501641">
        <w:t xml:space="preserve"> </w:t>
      </w:r>
      <w:proofErr w:type="spellStart"/>
      <w:r w:rsidRPr="00501641">
        <w:t>en</w:t>
      </w:r>
      <w:proofErr w:type="spellEnd"/>
      <w:r w:rsidRPr="00501641">
        <w:t xml:space="preserve"> el </w:t>
      </w:r>
      <w:proofErr w:type="spellStart"/>
      <w:r w:rsidRPr="00501641">
        <w:t>contexto</w:t>
      </w:r>
      <w:proofErr w:type="spellEnd"/>
      <w:r w:rsidRPr="00501641">
        <w:t xml:space="preserve"> de las </w:t>
      </w:r>
      <w:proofErr w:type="spellStart"/>
      <w:r w:rsidRPr="00501641">
        <w:t>convenciones</w:t>
      </w:r>
      <w:proofErr w:type="spellEnd"/>
      <w:r w:rsidRPr="00501641">
        <w:t xml:space="preserve"> </w:t>
      </w:r>
      <w:proofErr w:type="spellStart"/>
      <w:r w:rsidRPr="00501641">
        <w:t>regionales</w:t>
      </w:r>
      <w:proofErr w:type="spellEnd"/>
      <w:r w:rsidRPr="00501641">
        <w:t xml:space="preserve"> y </w:t>
      </w:r>
      <w:proofErr w:type="spellStart"/>
      <w:r w:rsidRPr="00501641">
        <w:t>mundiales</w:t>
      </w:r>
      <w:proofErr w:type="spellEnd"/>
      <w:r w:rsidRPr="00501641">
        <w:t xml:space="preserve"> </w:t>
      </w:r>
      <w:proofErr w:type="spellStart"/>
      <w:r w:rsidRPr="00501641">
        <w:t>pertinentes</w:t>
      </w:r>
      <w:proofErr w:type="spellEnd"/>
      <w:r w:rsidRPr="00501641">
        <w:t xml:space="preserve">, y </w:t>
      </w:r>
      <w:proofErr w:type="spellStart"/>
      <w:r w:rsidRPr="00501641">
        <w:t>promover</w:t>
      </w:r>
      <w:proofErr w:type="spellEnd"/>
      <w:r w:rsidRPr="00501641">
        <w:t xml:space="preserve"> </w:t>
      </w:r>
      <w:proofErr w:type="spellStart"/>
      <w:r w:rsidRPr="00501641">
        <w:t>soluciones</w:t>
      </w:r>
      <w:proofErr w:type="spellEnd"/>
      <w:r w:rsidRPr="00501641">
        <w:t xml:space="preserve"> </w:t>
      </w:r>
      <w:proofErr w:type="spellStart"/>
      <w:r w:rsidRPr="00501641">
        <w:t>oportunas</w:t>
      </w:r>
      <w:proofErr w:type="spellEnd"/>
      <w:r w:rsidRPr="00501641">
        <w:t xml:space="preserve"> </w:t>
      </w:r>
      <w:proofErr w:type="spellStart"/>
      <w:r w:rsidRPr="00501641">
        <w:t>en</w:t>
      </w:r>
      <w:proofErr w:type="spellEnd"/>
      <w:r w:rsidRPr="00501641">
        <w:t xml:space="preserve"> las que </w:t>
      </w:r>
      <w:proofErr w:type="spellStart"/>
      <w:r w:rsidRPr="00501641">
        <w:t>participen</w:t>
      </w:r>
      <w:proofErr w:type="spellEnd"/>
      <w:r w:rsidRPr="00501641">
        <w:t xml:space="preserve"> las </w:t>
      </w:r>
      <w:proofErr w:type="spellStart"/>
      <w:r w:rsidRPr="00501641">
        <w:t>partes</w:t>
      </w:r>
      <w:proofErr w:type="spellEnd"/>
      <w:r w:rsidRPr="00501641">
        <w:t xml:space="preserve"> </w:t>
      </w:r>
      <w:proofErr w:type="spellStart"/>
      <w:r w:rsidRPr="00501641">
        <w:t>interesadas</w:t>
      </w:r>
      <w:proofErr w:type="spellEnd"/>
      <w:r w:rsidRPr="00501641">
        <w:t xml:space="preserve"> </w:t>
      </w:r>
      <w:proofErr w:type="spellStart"/>
      <w:r w:rsidRPr="00501641">
        <w:t>pertinentes</w:t>
      </w:r>
      <w:proofErr w:type="spellEnd"/>
      <w:r w:rsidRPr="00501641">
        <w:t>.</w:t>
      </w:r>
    </w:p>
    <w:p w14:paraId="497F8E58" w14:textId="61F33A49" w:rsidR="00FA2C9C" w:rsidRPr="00501641" w:rsidRDefault="00BF4F8D" w:rsidP="00714BDA">
      <w:pPr>
        <w:pStyle w:val="ListParagraph"/>
        <w:numPr>
          <w:ilvl w:val="0"/>
          <w:numId w:val="5"/>
        </w:numPr>
        <w:pBdr>
          <w:bottom w:val="single" w:sz="4" w:space="1" w:color="auto"/>
        </w:pBdr>
        <w:tabs>
          <w:tab w:val="clear" w:pos="567"/>
          <w:tab w:val="left" w:pos="709"/>
        </w:tabs>
        <w:ind w:left="709" w:hanging="709"/>
        <w:jc w:val="left"/>
        <w:rPr>
          <w:rFonts w:cs="Arial"/>
          <w:b/>
          <w:bCs/>
          <w:snapToGrid/>
          <w:sz w:val="24"/>
        </w:rPr>
      </w:pPr>
      <w:proofErr w:type="spellStart"/>
      <w:r w:rsidRPr="00501641">
        <w:rPr>
          <w:rFonts w:cs="Arial"/>
          <w:b/>
          <w:bCs/>
          <w:snapToGrid/>
          <w:sz w:val="24"/>
        </w:rPr>
        <w:t>Matriz</w:t>
      </w:r>
      <w:proofErr w:type="spellEnd"/>
      <w:r w:rsidRPr="00501641">
        <w:rPr>
          <w:rFonts w:cs="Arial"/>
          <w:b/>
          <w:bCs/>
          <w:snapToGrid/>
          <w:sz w:val="24"/>
        </w:rPr>
        <w:t xml:space="preserve"> de </w:t>
      </w:r>
      <w:proofErr w:type="spellStart"/>
      <w:r w:rsidRPr="00501641">
        <w:rPr>
          <w:rFonts w:cs="Arial"/>
          <w:b/>
          <w:bCs/>
          <w:snapToGrid/>
          <w:sz w:val="24"/>
        </w:rPr>
        <w:t>resultados</w:t>
      </w:r>
      <w:proofErr w:type="spellEnd"/>
      <w:r w:rsidRPr="00501641">
        <w:rPr>
          <w:rFonts w:cs="Arial"/>
          <w:b/>
          <w:bCs/>
          <w:snapToGrid/>
          <w:sz w:val="24"/>
        </w:rPr>
        <w:t xml:space="preserve"> de la Comisión </w:t>
      </w:r>
      <w:proofErr w:type="spellStart"/>
      <w:r w:rsidRPr="00501641">
        <w:rPr>
          <w:rFonts w:cs="Arial"/>
          <w:b/>
          <w:bCs/>
          <w:snapToGrid/>
          <w:sz w:val="24"/>
        </w:rPr>
        <w:t>Oceanográfica</w:t>
      </w:r>
      <w:proofErr w:type="spellEnd"/>
      <w:r w:rsidRPr="00501641">
        <w:rPr>
          <w:rFonts w:cs="Arial"/>
          <w:b/>
          <w:bCs/>
          <w:snapToGrid/>
          <w:sz w:val="24"/>
        </w:rPr>
        <w:t xml:space="preserve"> </w:t>
      </w:r>
      <w:proofErr w:type="spellStart"/>
      <w:r w:rsidRPr="00501641">
        <w:rPr>
          <w:rFonts w:cs="Arial"/>
          <w:b/>
          <w:bCs/>
          <w:snapToGrid/>
          <w:sz w:val="24"/>
        </w:rPr>
        <w:t>Intergubernamental</w:t>
      </w:r>
      <w:proofErr w:type="spellEnd"/>
    </w:p>
    <w:p w14:paraId="249492A1" w14:textId="72CA0347" w:rsidR="00FA2C9C" w:rsidRPr="00501641" w:rsidRDefault="00FA2C9C" w:rsidP="007D5503">
      <w:pPr>
        <w:pStyle w:val="Marge"/>
        <w:tabs>
          <w:tab w:val="clear" w:pos="567"/>
          <w:tab w:val="left" w:pos="1162"/>
        </w:tabs>
        <w:spacing w:after="0" w:line="240" w:lineRule="auto"/>
      </w:pPr>
    </w:p>
    <w:p w14:paraId="0CACAD15" w14:textId="5C3F0CBA" w:rsidR="007D5503" w:rsidRPr="00501641" w:rsidRDefault="00BF4F8D"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r w:rsidRPr="00501641">
        <w:rPr>
          <w:rFonts w:ascii="MyriadPro-Bold" w:hAnsi="MyriadPro-Bold" w:cs="MyriadPro-Bold"/>
          <w:b/>
          <w:bCs/>
          <w:snapToGrid/>
          <w:color w:val="365F91" w:themeColor="accent1" w:themeShade="BF"/>
          <w:sz w:val="24"/>
        </w:rPr>
        <w:t>RESULTADO 3</w:t>
      </w:r>
    </w:p>
    <w:p w14:paraId="4AEC9DFF" w14:textId="65E9BB83" w:rsidR="00FA2C9C" w:rsidRPr="00501641" w:rsidRDefault="00E50FFA"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proofErr w:type="spellStart"/>
      <w:r w:rsidRPr="00501641">
        <w:rPr>
          <w:rFonts w:ascii="MyriadPro-Bold" w:hAnsi="MyriadPro-Bold" w:cs="MyriadPro-Bold"/>
          <w:b/>
          <w:bCs/>
          <w:snapToGrid/>
          <w:color w:val="365F91" w:themeColor="accent1" w:themeShade="BF"/>
          <w:sz w:val="24"/>
        </w:rPr>
        <w:t>Mejora</w:t>
      </w:r>
      <w:proofErr w:type="spellEnd"/>
      <w:r w:rsidRPr="00501641">
        <w:rPr>
          <w:rFonts w:ascii="MyriadPro-Bold" w:hAnsi="MyriadPro-Bold" w:cs="MyriadPro-Bold"/>
          <w:b/>
          <w:bCs/>
          <w:snapToGrid/>
          <w:color w:val="365F91" w:themeColor="accent1" w:themeShade="BF"/>
          <w:sz w:val="24"/>
        </w:rPr>
        <w:t xml:space="preserve"> de los </w:t>
      </w:r>
      <w:proofErr w:type="spellStart"/>
      <w:r w:rsidRPr="00501641">
        <w:rPr>
          <w:rFonts w:ascii="MyriadPro-Bold" w:hAnsi="MyriadPro-Bold" w:cs="MyriadPro-Bold"/>
          <w:b/>
          <w:bCs/>
          <w:snapToGrid/>
          <w:color w:val="365F91" w:themeColor="accent1" w:themeShade="BF"/>
          <w:sz w:val="24"/>
        </w:rPr>
        <w:t>conocimientos</w:t>
      </w:r>
      <w:proofErr w:type="spellEnd"/>
      <w:r w:rsidRPr="00501641">
        <w:rPr>
          <w:rFonts w:ascii="MyriadPro-Bold" w:hAnsi="MyriadPro-Bold" w:cs="MyriadPro-Bold"/>
          <w:b/>
          <w:bCs/>
          <w:snapToGrid/>
          <w:color w:val="365F91" w:themeColor="accent1" w:themeShade="BF"/>
          <w:sz w:val="24"/>
        </w:rPr>
        <w:t xml:space="preserve"> para </w:t>
      </w:r>
      <w:proofErr w:type="spellStart"/>
      <w:r w:rsidRPr="00501641">
        <w:rPr>
          <w:rFonts w:ascii="MyriadPro-Bold" w:hAnsi="MyriadPro-Bold" w:cs="MyriadPro-Bold"/>
          <w:b/>
          <w:bCs/>
          <w:snapToGrid/>
          <w:color w:val="365F91" w:themeColor="accent1" w:themeShade="BF"/>
          <w:sz w:val="24"/>
        </w:rPr>
        <w:t>favorecer</w:t>
      </w:r>
      <w:proofErr w:type="spellEnd"/>
      <w:r w:rsidRPr="00501641">
        <w:rPr>
          <w:rFonts w:ascii="MyriadPro-Bold" w:hAnsi="MyriadPro-Bold" w:cs="MyriadPro-Bold"/>
          <w:b/>
          <w:bCs/>
          <w:snapToGrid/>
          <w:color w:val="365F91" w:themeColor="accent1" w:themeShade="BF"/>
          <w:sz w:val="24"/>
        </w:rPr>
        <w:t xml:space="preserve"> la acción </w:t>
      </w:r>
      <w:proofErr w:type="spellStart"/>
      <w:r w:rsidRPr="00501641">
        <w:rPr>
          <w:rFonts w:ascii="MyriadPro-Bold" w:hAnsi="MyriadPro-Bold" w:cs="MyriadPro-Bold"/>
          <w:b/>
          <w:bCs/>
          <w:snapToGrid/>
          <w:color w:val="365F91" w:themeColor="accent1" w:themeShade="BF"/>
          <w:sz w:val="24"/>
        </w:rPr>
        <w:t>climática</w:t>
      </w:r>
      <w:proofErr w:type="spellEnd"/>
      <w:r w:rsidRPr="00501641">
        <w:rPr>
          <w:rFonts w:ascii="MyriadPro-Bold" w:hAnsi="MyriadPro-Bold" w:cs="MyriadPro-Bold"/>
          <w:b/>
          <w:bCs/>
          <w:snapToGrid/>
          <w:color w:val="365F91" w:themeColor="accent1" w:themeShade="BF"/>
          <w:sz w:val="24"/>
        </w:rPr>
        <w:t xml:space="preserve">, la </w:t>
      </w:r>
      <w:proofErr w:type="spellStart"/>
      <w:r w:rsidRPr="00501641">
        <w:rPr>
          <w:rFonts w:ascii="MyriadPro-Bold" w:hAnsi="MyriadPro-Bold" w:cs="MyriadPro-Bold"/>
          <w:b/>
          <w:bCs/>
          <w:snapToGrid/>
          <w:color w:val="365F91" w:themeColor="accent1" w:themeShade="BF"/>
          <w:sz w:val="24"/>
        </w:rPr>
        <w:t>biodiversidad</w:t>
      </w:r>
      <w:proofErr w:type="spellEnd"/>
      <w:r w:rsidRPr="00501641">
        <w:rPr>
          <w:rFonts w:ascii="MyriadPro-Bold" w:hAnsi="MyriadPro-Bold" w:cs="MyriadPro-Bold"/>
          <w:b/>
          <w:bCs/>
          <w:snapToGrid/>
          <w:color w:val="365F91" w:themeColor="accent1" w:themeShade="BF"/>
          <w:sz w:val="24"/>
        </w:rPr>
        <w:t xml:space="preserve">, la </w:t>
      </w:r>
      <w:proofErr w:type="spellStart"/>
      <w:r w:rsidRPr="00501641">
        <w:rPr>
          <w:rFonts w:ascii="MyriadPro-Bold" w:hAnsi="MyriadPro-Bold" w:cs="MyriadPro-Bold"/>
          <w:b/>
          <w:bCs/>
          <w:snapToGrid/>
          <w:color w:val="365F91" w:themeColor="accent1" w:themeShade="BF"/>
          <w:sz w:val="24"/>
        </w:rPr>
        <w:t>gestión</w:t>
      </w:r>
      <w:proofErr w:type="spellEnd"/>
      <w:r w:rsidRPr="00501641">
        <w:rPr>
          <w:rFonts w:ascii="MyriadPro-Bold" w:hAnsi="MyriadPro-Bold" w:cs="MyriadPro-Bold"/>
          <w:b/>
          <w:bCs/>
          <w:snapToGrid/>
          <w:color w:val="365F91" w:themeColor="accent1" w:themeShade="BF"/>
          <w:sz w:val="24"/>
        </w:rPr>
        <w:t xml:space="preserve"> del </w:t>
      </w:r>
      <w:proofErr w:type="spellStart"/>
      <w:r w:rsidRPr="00501641">
        <w:rPr>
          <w:rFonts w:ascii="MyriadPro-Bold" w:hAnsi="MyriadPro-Bold" w:cs="MyriadPro-Bold"/>
          <w:b/>
          <w:bCs/>
          <w:snapToGrid/>
          <w:color w:val="365F91" w:themeColor="accent1" w:themeShade="BF"/>
          <w:sz w:val="24"/>
        </w:rPr>
        <w:t>agua</w:t>
      </w:r>
      <w:proofErr w:type="spellEnd"/>
      <w:r w:rsidRPr="00501641">
        <w:rPr>
          <w:rFonts w:ascii="MyriadPro-Bold" w:hAnsi="MyriadPro-Bold" w:cs="MyriadPro-Bold"/>
          <w:b/>
          <w:bCs/>
          <w:snapToGrid/>
          <w:color w:val="365F91" w:themeColor="accent1" w:themeShade="BF"/>
          <w:sz w:val="24"/>
        </w:rPr>
        <w:t xml:space="preserve"> y del </w:t>
      </w:r>
      <w:proofErr w:type="spellStart"/>
      <w:r w:rsidRPr="00501641">
        <w:rPr>
          <w:rFonts w:ascii="MyriadPro-Bold" w:hAnsi="MyriadPro-Bold" w:cs="MyriadPro-Bold"/>
          <w:b/>
          <w:bCs/>
          <w:snapToGrid/>
          <w:color w:val="365F91" w:themeColor="accent1" w:themeShade="BF"/>
          <w:sz w:val="24"/>
        </w:rPr>
        <w:t>océano</w:t>
      </w:r>
      <w:proofErr w:type="spellEnd"/>
      <w:r w:rsidRPr="00501641">
        <w:rPr>
          <w:rFonts w:ascii="MyriadPro-Bold" w:hAnsi="MyriadPro-Bold" w:cs="MyriadPro-Bold"/>
          <w:b/>
          <w:bCs/>
          <w:snapToGrid/>
          <w:color w:val="365F91" w:themeColor="accent1" w:themeShade="BF"/>
          <w:sz w:val="24"/>
        </w:rPr>
        <w:t xml:space="preserve"> y la </w:t>
      </w:r>
      <w:proofErr w:type="spellStart"/>
      <w:r w:rsidRPr="00501641">
        <w:rPr>
          <w:rFonts w:ascii="MyriadPro-Bold" w:hAnsi="MyriadPro-Bold" w:cs="MyriadPro-Bold"/>
          <w:b/>
          <w:bCs/>
          <w:snapToGrid/>
          <w:color w:val="365F91" w:themeColor="accent1" w:themeShade="BF"/>
          <w:sz w:val="24"/>
        </w:rPr>
        <w:t>reducción</w:t>
      </w:r>
      <w:proofErr w:type="spellEnd"/>
      <w:r w:rsidRPr="00501641">
        <w:rPr>
          <w:rFonts w:ascii="MyriadPro-Bold" w:hAnsi="MyriadPro-Bold" w:cs="MyriadPro-Bold"/>
          <w:b/>
          <w:bCs/>
          <w:snapToGrid/>
          <w:color w:val="365F91" w:themeColor="accent1" w:themeShade="BF"/>
          <w:sz w:val="24"/>
        </w:rPr>
        <w:t xml:space="preserve"> del </w:t>
      </w:r>
      <w:proofErr w:type="spellStart"/>
      <w:r w:rsidRPr="00501641">
        <w:rPr>
          <w:rFonts w:ascii="MyriadPro-Bold" w:hAnsi="MyriadPro-Bold" w:cs="MyriadPro-Bold"/>
          <w:b/>
          <w:bCs/>
          <w:snapToGrid/>
          <w:color w:val="365F91" w:themeColor="accent1" w:themeShade="BF"/>
          <w:sz w:val="24"/>
        </w:rPr>
        <w:t>riesgo</w:t>
      </w:r>
      <w:proofErr w:type="spellEnd"/>
      <w:r w:rsidRPr="00501641">
        <w:rPr>
          <w:rFonts w:ascii="MyriadPro-Bold" w:hAnsi="MyriadPro-Bold" w:cs="MyriadPro-Bold"/>
          <w:b/>
          <w:bCs/>
          <w:snapToGrid/>
          <w:color w:val="365F91" w:themeColor="accent1" w:themeShade="BF"/>
          <w:sz w:val="24"/>
        </w:rPr>
        <w:t xml:space="preserve"> de </w:t>
      </w:r>
      <w:proofErr w:type="spellStart"/>
      <w:r w:rsidRPr="00501641">
        <w:rPr>
          <w:rFonts w:ascii="MyriadPro-Bold" w:hAnsi="MyriadPro-Bold" w:cs="MyriadPro-Bold"/>
          <w:b/>
          <w:bCs/>
          <w:snapToGrid/>
          <w:color w:val="365F91" w:themeColor="accent1" w:themeShade="BF"/>
          <w:sz w:val="24"/>
        </w:rPr>
        <w:t>desastres</w:t>
      </w:r>
      <w:proofErr w:type="spellEnd"/>
    </w:p>
    <w:p w14:paraId="3A908E67" w14:textId="5C7AF021" w:rsidR="00FA2C9C" w:rsidRPr="00501641" w:rsidRDefault="00FA2C9C" w:rsidP="007D5503">
      <w:pPr>
        <w:widowControl/>
        <w:tabs>
          <w:tab w:val="clear" w:pos="567"/>
        </w:tabs>
        <w:autoSpaceDE w:val="0"/>
        <w:autoSpaceDN w:val="0"/>
        <w:snapToGrid/>
        <w:spacing w:line="240" w:lineRule="auto"/>
        <w:jc w:val="left"/>
        <w:textAlignment w:val="auto"/>
      </w:pPr>
    </w:p>
    <w:p w14:paraId="735B10E1" w14:textId="3AFDED11" w:rsidR="007D5503" w:rsidRPr="00501641" w:rsidRDefault="00E50FFA"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Cs w:val="22"/>
        </w:rPr>
      </w:pPr>
      <w:r w:rsidRPr="00501641">
        <w:rPr>
          <w:rFonts w:ascii="MyriadPro-Bold" w:hAnsi="MyriadPro-Bold" w:cs="MyriadPro-Bold"/>
          <w:b/>
          <w:bCs/>
          <w:snapToGrid/>
          <w:szCs w:val="22"/>
        </w:rPr>
        <w:t xml:space="preserve">PRODUCTO 3.IOC1: </w:t>
      </w:r>
      <w:proofErr w:type="spellStart"/>
      <w:r w:rsidRPr="00501641">
        <w:rPr>
          <w:rFonts w:ascii="MyriadPro-Bold" w:hAnsi="MyriadPro-Bold" w:cs="MyriadPro-Bold"/>
          <w:b/>
          <w:bCs/>
          <w:snapToGrid/>
          <w:szCs w:val="22"/>
        </w:rPr>
        <w:t>Prestación</w:t>
      </w:r>
      <w:proofErr w:type="spellEnd"/>
      <w:r w:rsidRPr="00501641">
        <w:rPr>
          <w:rFonts w:ascii="MyriadPro-Bold" w:hAnsi="MyriadPro-Bold" w:cs="MyriadPro-Bold"/>
          <w:b/>
          <w:bCs/>
          <w:snapToGrid/>
          <w:szCs w:val="22"/>
        </w:rPr>
        <w:t xml:space="preserve"> de un </w:t>
      </w:r>
      <w:proofErr w:type="spellStart"/>
      <w:r w:rsidRPr="00501641">
        <w:rPr>
          <w:rFonts w:ascii="MyriadPro-Bold" w:hAnsi="MyriadPro-Bold" w:cs="MyriadPro-Bold"/>
          <w:b/>
          <w:bCs/>
          <w:snapToGrid/>
          <w:szCs w:val="22"/>
        </w:rPr>
        <w:t>apoyo</w:t>
      </w:r>
      <w:proofErr w:type="spellEnd"/>
      <w:r w:rsidRPr="00501641">
        <w:rPr>
          <w:rFonts w:ascii="MyriadPro-Bold" w:hAnsi="MyriadPro-Bold" w:cs="MyriadPro-Bold"/>
          <w:b/>
          <w:bCs/>
          <w:snapToGrid/>
          <w:szCs w:val="22"/>
        </w:rPr>
        <w:t xml:space="preserve"> fundamental a los </w:t>
      </w:r>
      <w:proofErr w:type="spellStart"/>
      <w:r w:rsidRPr="00501641">
        <w:rPr>
          <w:rFonts w:ascii="MyriadPro-Bold" w:hAnsi="MyriadPro-Bold" w:cs="MyriadPro-Bold"/>
          <w:b/>
          <w:bCs/>
          <w:snapToGrid/>
          <w:szCs w:val="22"/>
        </w:rPr>
        <w:t>Estados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Miembros</w:t>
      </w:r>
      <w:proofErr w:type="spellEnd"/>
      <w:r w:rsidRPr="00501641">
        <w:rPr>
          <w:rFonts w:ascii="MyriadPro-Bold" w:hAnsi="MyriadPro-Bold" w:cs="MyriadPro-Bold"/>
          <w:b/>
          <w:bCs/>
          <w:snapToGrid/>
          <w:szCs w:val="22"/>
        </w:rPr>
        <w:t xml:space="preserve"> para </w:t>
      </w:r>
      <w:proofErr w:type="spellStart"/>
      <w:r w:rsidRPr="00501641">
        <w:rPr>
          <w:rFonts w:ascii="MyriadPro-Bold" w:hAnsi="MyriadPro-Bold" w:cs="MyriadPro-Bold"/>
          <w:b/>
          <w:bCs/>
          <w:snapToGrid/>
          <w:szCs w:val="22"/>
        </w:rPr>
        <w:t>fortalecer</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su</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capacidad</w:t>
      </w:r>
      <w:proofErr w:type="spellEnd"/>
      <w:r w:rsidRPr="00501641">
        <w:rPr>
          <w:rFonts w:ascii="MyriadPro-Bold" w:hAnsi="MyriadPro-Bold" w:cs="MyriadPro-Bold"/>
          <w:b/>
          <w:bCs/>
          <w:snapToGrid/>
          <w:szCs w:val="22"/>
        </w:rPr>
        <w:t xml:space="preserve"> de </w:t>
      </w:r>
      <w:proofErr w:type="spellStart"/>
      <w:r w:rsidRPr="00501641">
        <w:rPr>
          <w:rFonts w:ascii="MyriadPro-Bold" w:hAnsi="MyriadPro-Bold" w:cs="MyriadPro-Bold"/>
          <w:b/>
          <w:bCs/>
          <w:snapToGrid/>
          <w:szCs w:val="22"/>
        </w:rPr>
        <w:t>realizar</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investigaciones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científicas</w:t>
      </w:r>
      <w:proofErr w:type="spellEnd"/>
      <w:r w:rsidRPr="00501641">
        <w:rPr>
          <w:rFonts w:ascii="MyriadPro-Bold" w:hAnsi="MyriadPro-Bold" w:cs="MyriadPro-Bold"/>
          <w:b/>
          <w:bCs/>
          <w:snapToGrid/>
          <w:szCs w:val="22"/>
        </w:rPr>
        <w:t xml:space="preserve"> marinas, </w:t>
      </w:r>
      <w:proofErr w:type="spellStart"/>
      <w:r w:rsidRPr="00501641">
        <w:rPr>
          <w:rFonts w:ascii="MyriadPro-Bold" w:hAnsi="MyriadPro-Bold" w:cs="MyriadPro-Bold"/>
          <w:b/>
          <w:bCs/>
          <w:snapToGrid/>
          <w:szCs w:val="22"/>
        </w:rPr>
        <w:t>generar</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conocimientos</w:t>
      </w:r>
      <w:proofErr w:type="spellEnd"/>
      <w:r w:rsidRPr="00501641">
        <w:rPr>
          <w:rFonts w:ascii="MyriadPro-Bold" w:hAnsi="MyriadPro-Bold" w:cs="MyriadPro-Bold"/>
          <w:b/>
          <w:bCs/>
          <w:snapToGrid/>
          <w:szCs w:val="22"/>
        </w:rPr>
        <w:t xml:space="preserve"> y </w:t>
      </w:r>
      <w:proofErr w:type="spellStart"/>
      <w:r w:rsidRPr="00501641">
        <w:rPr>
          <w:rFonts w:ascii="MyriadPro-Bold" w:hAnsi="MyriadPro-Bold" w:cs="MyriadPro-Bold"/>
          <w:b/>
          <w:bCs/>
          <w:snapToGrid/>
          <w:szCs w:val="22"/>
        </w:rPr>
        <w:t>elaborar</w:t>
      </w:r>
      <w:proofErr w:type="spellEnd"/>
      <w:r w:rsidRPr="00501641">
        <w:rPr>
          <w:rFonts w:ascii="MyriadPro-Bold" w:hAnsi="MyriadPro-Bold" w:cs="MyriadPro-Bold"/>
          <w:b/>
          <w:bCs/>
          <w:snapToGrid/>
          <w:szCs w:val="22"/>
        </w:rPr>
        <w:t xml:space="preserve"> y </w:t>
      </w:r>
      <w:proofErr w:type="spellStart"/>
      <w:r w:rsidRPr="00501641">
        <w:rPr>
          <w:rFonts w:ascii="MyriadPro-Bold" w:hAnsi="MyriadPro-Bold" w:cs="MyriadPro-Bold"/>
          <w:b/>
          <w:bCs/>
          <w:snapToGrid/>
          <w:szCs w:val="22"/>
        </w:rPr>
        <w:t>aplicar</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herramientas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servicios</w:t>
      </w:r>
      <w:proofErr w:type="spellEnd"/>
      <w:r w:rsidRPr="00501641">
        <w:rPr>
          <w:rFonts w:ascii="MyriadPro-Bold" w:hAnsi="MyriadPro-Bold" w:cs="MyriadPro-Bold"/>
          <w:b/>
          <w:bCs/>
          <w:snapToGrid/>
          <w:szCs w:val="22"/>
        </w:rPr>
        <w:t xml:space="preserve"> y </w:t>
      </w:r>
      <w:proofErr w:type="spellStart"/>
      <w:r w:rsidRPr="00501641">
        <w:rPr>
          <w:rFonts w:ascii="MyriadPro-Bold" w:hAnsi="MyriadPro-Bold" w:cs="MyriadPro-Bold"/>
          <w:b/>
          <w:bCs/>
          <w:snapToGrid/>
          <w:szCs w:val="22"/>
        </w:rPr>
        <w:t>políticas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basados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en</w:t>
      </w:r>
      <w:proofErr w:type="spellEnd"/>
      <w:r w:rsidRPr="00501641">
        <w:rPr>
          <w:rFonts w:ascii="MyriadPro-Bold" w:hAnsi="MyriadPro-Bold" w:cs="MyriadPro-Bold"/>
          <w:b/>
          <w:bCs/>
          <w:snapToGrid/>
          <w:szCs w:val="22"/>
        </w:rPr>
        <w:t xml:space="preserve"> la </w:t>
      </w:r>
      <w:proofErr w:type="spellStart"/>
      <w:r w:rsidRPr="00501641">
        <w:rPr>
          <w:rFonts w:ascii="MyriadPro-Bold" w:hAnsi="MyriadPro-Bold" w:cs="MyriadPro-Bold"/>
          <w:b/>
          <w:bCs/>
          <w:snapToGrid/>
          <w:szCs w:val="22"/>
        </w:rPr>
        <w:t>ciencia</w:t>
      </w:r>
      <w:proofErr w:type="spellEnd"/>
      <w:r w:rsidRPr="00501641">
        <w:rPr>
          <w:rFonts w:ascii="MyriadPro-Bold" w:hAnsi="MyriadPro-Bold" w:cs="MyriadPro-Bold"/>
          <w:b/>
          <w:bCs/>
          <w:snapToGrid/>
          <w:szCs w:val="22"/>
        </w:rPr>
        <w:t xml:space="preserve"> a fin de </w:t>
      </w:r>
      <w:proofErr w:type="spellStart"/>
      <w:r w:rsidRPr="00501641">
        <w:rPr>
          <w:rFonts w:ascii="MyriadPro-Bold" w:hAnsi="MyriadPro-Bold" w:cs="MyriadPro-Bold"/>
          <w:b/>
          <w:bCs/>
          <w:snapToGrid/>
          <w:szCs w:val="22"/>
        </w:rPr>
        <w:t>invertir</w:t>
      </w:r>
      <w:proofErr w:type="spellEnd"/>
      <w:r w:rsidRPr="00501641">
        <w:rPr>
          <w:rFonts w:ascii="MyriadPro-Bold" w:hAnsi="MyriadPro-Bold" w:cs="MyriadPro-Bold"/>
          <w:b/>
          <w:bCs/>
          <w:snapToGrid/>
          <w:szCs w:val="22"/>
        </w:rPr>
        <w:t xml:space="preserve"> el </w:t>
      </w:r>
      <w:proofErr w:type="spellStart"/>
      <w:r w:rsidRPr="00501641">
        <w:rPr>
          <w:rFonts w:ascii="MyriadPro-Bold" w:hAnsi="MyriadPro-Bold" w:cs="MyriadPro-Bold"/>
          <w:b/>
          <w:bCs/>
          <w:snapToGrid/>
          <w:szCs w:val="22"/>
        </w:rPr>
        <w:t>deterioro</w:t>
      </w:r>
      <w:proofErr w:type="spellEnd"/>
      <w:r w:rsidRPr="00501641">
        <w:rPr>
          <w:rFonts w:ascii="MyriadPro-Bold" w:hAnsi="MyriadPro-Bold" w:cs="MyriadPro-Bold"/>
          <w:b/>
          <w:bCs/>
          <w:snapToGrid/>
          <w:szCs w:val="22"/>
        </w:rPr>
        <w:t xml:space="preserve"> de la </w:t>
      </w:r>
      <w:proofErr w:type="spellStart"/>
      <w:r w:rsidRPr="00501641">
        <w:rPr>
          <w:rFonts w:ascii="MyriadPro-Bold" w:hAnsi="MyriadPro-Bold" w:cs="MyriadPro-Bold"/>
          <w:b/>
          <w:bCs/>
          <w:snapToGrid/>
          <w:szCs w:val="22"/>
        </w:rPr>
        <w:t>salud</w:t>
      </w:r>
      <w:proofErr w:type="spellEnd"/>
      <w:r w:rsidRPr="00501641">
        <w:rPr>
          <w:rFonts w:ascii="MyriadPro-Bold" w:hAnsi="MyriadPro-Bold" w:cs="MyriadPro-Bold"/>
          <w:b/>
          <w:bCs/>
          <w:snapToGrid/>
          <w:szCs w:val="22"/>
        </w:rPr>
        <w:t xml:space="preserve"> del </w:t>
      </w:r>
      <w:proofErr w:type="spellStart"/>
      <w:r w:rsidRPr="00501641">
        <w:rPr>
          <w:rFonts w:ascii="MyriadPro-Bold" w:hAnsi="MyriadPro-Bold" w:cs="MyriadPro-Bold"/>
          <w:b/>
          <w:bCs/>
          <w:snapToGrid/>
          <w:szCs w:val="22"/>
        </w:rPr>
        <w:t>océano</w:t>
      </w:r>
      <w:proofErr w:type="spellEnd"/>
      <w:r w:rsidRPr="00501641">
        <w:rPr>
          <w:rFonts w:ascii="MyriadPro-Bold" w:hAnsi="MyriadPro-Bold" w:cs="MyriadPro-Bold"/>
          <w:b/>
          <w:bCs/>
          <w:snapToGrid/>
          <w:szCs w:val="22"/>
        </w:rPr>
        <w:t xml:space="preserve"> y </w:t>
      </w:r>
      <w:proofErr w:type="spellStart"/>
      <w:r w:rsidRPr="00501641">
        <w:rPr>
          <w:rFonts w:ascii="MyriadPro-Bold" w:hAnsi="MyriadPro-Bold" w:cs="MyriadPro-Bold"/>
          <w:b/>
          <w:bCs/>
          <w:snapToGrid/>
          <w:szCs w:val="22"/>
        </w:rPr>
        <w:t>acelerar</w:t>
      </w:r>
      <w:proofErr w:type="spellEnd"/>
      <w:r w:rsidRPr="00501641">
        <w:rPr>
          <w:rFonts w:ascii="MyriadPro-Bold" w:hAnsi="MyriadPro-Bold" w:cs="MyriadPro-Bold"/>
          <w:b/>
          <w:bCs/>
          <w:snapToGrid/>
          <w:szCs w:val="22"/>
        </w:rPr>
        <w:t xml:space="preserve"> la </w:t>
      </w:r>
      <w:proofErr w:type="spellStart"/>
      <w:r w:rsidRPr="00501641">
        <w:rPr>
          <w:rFonts w:ascii="MyriadPro-Bold" w:hAnsi="MyriadPro-Bold" w:cs="MyriadPro-Bold"/>
          <w:b/>
          <w:bCs/>
          <w:snapToGrid/>
          <w:szCs w:val="22"/>
        </w:rPr>
        <w:t>transición</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hacia</w:t>
      </w:r>
      <w:proofErr w:type="spellEnd"/>
      <w:r w:rsidRPr="00501641">
        <w:rPr>
          <w:rFonts w:ascii="MyriadPro-Bold" w:hAnsi="MyriadPro-Bold" w:cs="MyriadPro-Bold"/>
          <w:b/>
          <w:bCs/>
          <w:snapToGrid/>
          <w:szCs w:val="22"/>
        </w:rPr>
        <w:t xml:space="preserve"> una </w:t>
      </w:r>
      <w:proofErr w:type="spellStart"/>
      <w:r w:rsidRPr="00501641">
        <w:rPr>
          <w:rFonts w:ascii="MyriadPro-Bold" w:hAnsi="MyriadPro-Bold" w:cs="MyriadPro-Bold"/>
          <w:b/>
          <w:bCs/>
          <w:snapToGrid/>
          <w:szCs w:val="22"/>
        </w:rPr>
        <w:t>gestión</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sostenible</w:t>
      </w:r>
      <w:proofErr w:type="spellEnd"/>
      <w:r w:rsidRPr="00501641">
        <w:rPr>
          <w:rFonts w:ascii="MyriadPro-Bold" w:hAnsi="MyriadPro-Bold" w:cs="MyriadPro-Bold"/>
          <w:b/>
          <w:bCs/>
          <w:snapToGrid/>
          <w:szCs w:val="22"/>
        </w:rPr>
        <w:t xml:space="preserve"> de los </w:t>
      </w:r>
      <w:proofErr w:type="spellStart"/>
      <w:r w:rsidRPr="00501641">
        <w:rPr>
          <w:rFonts w:ascii="MyriadPro-Bold" w:hAnsi="MyriadPro-Bold" w:cs="MyriadPro-Bold"/>
          <w:b/>
          <w:bCs/>
          <w:snapToGrid/>
          <w:szCs w:val="22"/>
        </w:rPr>
        <w:t>riesgos</w:t>
      </w:r>
      <w:proofErr w:type="spellEnd"/>
      <w:r w:rsidRPr="00501641">
        <w:rPr>
          <w:rFonts w:ascii="MyriadPro-Bold" w:hAnsi="MyriadPro-Bold" w:cs="MyriadPro-Bold"/>
          <w:b/>
          <w:bCs/>
          <w:snapToGrid/>
          <w:szCs w:val="22"/>
        </w:rPr>
        <w:t xml:space="preserve"> y las </w:t>
      </w:r>
      <w:proofErr w:type="spellStart"/>
      <w:r w:rsidRPr="00501641">
        <w:rPr>
          <w:rFonts w:ascii="MyriadPro-Bold" w:hAnsi="MyriadPro-Bold" w:cs="MyriadPro-Bold"/>
          <w:b/>
          <w:bCs/>
          <w:snapToGrid/>
          <w:szCs w:val="22"/>
        </w:rPr>
        <w:t>oportunidades</w:t>
      </w:r>
      <w:proofErr w:type="spellEnd"/>
      <w:r w:rsidRPr="00501641">
        <w:rPr>
          <w:rFonts w:ascii="MyriadPro-Bold" w:hAnsi="MyriadPro-Bold" w:cs="MyriadPro-Bold"/>
          <w:b/>
          <w:bCs/>
          <w:snapToGrid/>
          <w:szCs w:val="22"/>
        </w:rPr>
        <w:t xml:space="preserve"> </w:t>
      </w:r>
      <w:proofErr w:type="spellStart"/>
      <w:r w:rsidRPr="00501641">
        <w:rPr>
          <w:rFonts w:ascii="MyriadPro-Bold" w:hAnsi="MyriadPro-Bold" w:cs="MyriadPro-Bold"/>
          <w:b/>
          <w:bCs/>
          <w:snapToGrid/>
          <w:szCs w:val="22"/>
        </w:rPr>
        <w:t>relacionados</w:t>
      </w:r>
      <w:proofErr w:type="spellEnd"/>
      <w:r w:rsidRPr="00501641">
        <w:rPr>
          <w:rFonts w:ascii="MyriadPro-Bold" w:hAnsi="MyriadPro-Bold" w:cs="MyriadPro-Bold"/>
          <w:b/>
          <w:bCs/>
          <w:snapToGrid/>
          <w:szCs w:val="22"/>
        </w:rPr>
        <w:t xml:space="preserve"> con el </w:t>
      </w:r>
      <w:proofErr w:type="spellStart"/>
      <w:r w:rsidRPr="00501641">
        <w:rPr>
          <w:rFonts w:ascii="MyriadPro-Bold" w:hAnsi="MyriadPro-Bold" w:cs="MyriadPro-Bold"/>
          <w:b/>
          <w:bCs/>
          <w:snapToGrid/>
          <w:szCs w:val="22"/>
        </w:rPr>
        <w:t>océano</w:t>
      </w:r>
      <w:proofErr w:type="spellEnd"/>
    </w:p>
    <w:p w14:paraId="315D38ED" w14:textId="3D8AAF75" w:rsidR="007D5503" w:rsidRPr="00501641" w:rsidRDefault="007D5503"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rPr>
      </w:pPr>
    </w:p>
    <w:p w14:paraId="0C79FCFD" w14:textId="77777777" w:rsidR="00493800" w:rsidRPr="00501641" w:rsidRDefault="00493800"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rPr>
      </w:pPr>
    </w:p>
    <w:tbl>
      <w:tblPr>
        <w:tblW w:w="9657" w:type="dxa"/>
        <w:tblInd w:w="113" w:type="dxa"/>
        <w:tblBorders>
          <w:top w:val="single" w:sz="6" w:space="0" w:color="A1DAF8"/>
          <w:left w:val="single" w:sz="6" w:space="0" w:color="A1DAF8"/>
          <w:bottom w:val="single" w:sz="6" w:space="0" w:color="A1DAF8"/>
          <w:right w:val="single" w:sz="6" w:space="0" w:color="A1DAF8"/>
          <w:insideH w:val="single" w:sz="6" w:space="0" w:color="A1DAF8"/>
          <w:insideV w:val="single" w:sz="6" w:space="0" w:color="A1DAF8"/>
        </w:tblBorders>
        <w:tblLayout w:type="fixed"/>
        <w:tblCellMar>
          <w:left w:w="0" w:type="dxa"/>
          <w:right w:w="0" w:type="dxa"/>
        </w:tblCellMar>
        <w:tblLook w:val="01E0" w:firstRow="1" w:lastRow="1" w:firstColumn="1" w:lastColumn="1" w:noHBand="0" w:noVBand="0"/>
      </w:tblPr>
      <w:tblGrid>
        <w:gridCol w:w="3855"/>
        <w:gridCol w:w="3024"/>
        <w:gridCol w:w="2778"/>
      </w:tblGrid>
      <w:tr w:rsidR="00E50FFA" w:rsidRPr="00501641" w14:paraId="43626D3F" w14:textId="77777777" w:rsidTr="0047242D">
        <w:trPr>
          <w:trHeight w:val="354"/>
        </w:trPr>
        <w:tc>
          <w:tcPr>
            <w:tcW w:w="3855" w:type="dxa"/>
            <w:tcBorders>
              <w:top w:val="nil"/>
              <w:left w:val="nil"/>
            </w:tcBorders>
          </w:tcPr>
          <w:p w14:paraId="21AD0A44" w14:textId="77777777" w:rsidR="00E50FFA" w:rsidRPr="00501641" w:rsidRDefault="00E50FFA" w:rsidP="0047242D">
            <w:pPr>
              <w:pStyle w:val="TableParagraph"/>
              <w:spacing w:before="77"/>
              <w:ind w:left="838"/>
              <w:rPr>
                <w:b/>
                <w:i/>
                <w:sz w:val="18"/>
              </w:rPr>
            </w:pPr>
            <w:proofErr w:type="spellStart"/>
            <w:r w:rsidRPr="00501641">
              <w:rPr>
                <w:b/>
                <w:bCs/>
                <w:i/>
                <w:iCs/>
                <w:sz w:val="18"/>
              </w:rPr>
              <w:t>Indicador</w:t>
            </w:r>
            <w:proofErr w:type="spellEnd"/>
            <w:r w:rsidRPr="00501641">
              <w:rPr>
                <w:b/>
                <w:bCs/>
                <w:i/>
                <w:iCs/>
                <w:sz w:val="18"/>
              </w:rPr>
              <w:t xml:space="preserve"> clave del </w:t>
            </w:r>
            <w:proofErr w:type="spellStart"/>
            <w:r w:rsidRPr="00501641">
              <w:rPr>
                <w:b/>
                <w:bCs/>
                <w:i/>
                <w:iCs/>
                <w:sz w:val="18"/>
              </w:rPr>
              <w:t>desempeño</w:t>
            </w:r>
            <w:proofErr w:type="spellEnd"/>
          </w:p>
        </w:tc>
        <w:tc>
          <w:tcPr>
            <w:tcW w:w="3024" w:type="dxa"/>
            <w:tcBorders>
              <w:top w:val="nil"/>
            </w:tcBorders>
          </w:tcPr>
          <w:p w14:paraId="066F90F9" w14:textId="77777777" w:rsidR="00E50FFA" w:rsidRPr="00501641" w:rsidRDefault="00E50FFA" w:rsidP="0047242D">
            <w:pPr>
              <w:pStyle w:val="TableParagraph"/>
              <w:spacing w:before="77"/>
              <w:ind w:left="831"/>
              <w:rPr>
                <w:b/>
                <w:i/>
                <w:sz w:val="18"/>
              </w:rPr>
            </w:pPr>
            <w:r w:rsidRPr="00501641">
              <w:rPr>
                <w:b/>
                <w:bCs/>
                <w:i/>
                <w:iCs/>
                <w:sz w:val="18"/>
              </w:rPr>
              <w:t xml:space="preserve">Bases de </w:t>
            </w:r>
            <w:proofErr w:type="spellStart"/>
            <w:r w:rsidRPr="00501641">
              <w:rPr>
                <w:b/>
                <w:bCs/>
                <w:i/>
                <w:iCs/>
                <w:sz w:val="18"/>
              </w:rPr>
              <w:t>referencia</w:t>
            </w:r>
            <w:proofErr w:type="spellEnd"/>
          </w:p>
        </w:tc>
        <w:tc>
          <w:tcPr>
            <w:tcW w:w="2778" w:type="dxa"/>
            <w:tcBorders>
              <w:top w:val="nil"/>
              <w:right w:val="nil"/>
            </w:tcBorders>
          </w:tcPr>
          <w:p w14:paraId="011951C4" w14:textId="77777777" w:rsidR="00E50FFA" w:rsidRPr="00501641" w:rsidRDefault="00E50FFA" w:rsidP="0047242D">
            <w:pPr>
              <w:pStyle w:val="TableParagraph"/>
              <w:spacing w:before="77"/>
              <w:ind w:left="928" w:right="922"/>
              <w:jc w:val="center"/>
              <w:rPr>
                <w:b/>
                <w:i/>
                <w:sz w:val="18"/>
              </w:rPr>
            </w:pPr>
            <w:proofErr w:type="spellStart"/>
            <w:r w:rsidRPr="00501641">
              <w:rPr>
                <w:b/>
                <w:bCs/>
                <w:i/>
                <w:iCs/>
                <w:sz w:val="18"/>
              </w:rPr>
              <w:t>Metas</w:t>
            </w:r>
            <w:proofErr w:type="spellEnd"/>
            <w:r w:rsidRPr="00501641">
              <w:rPr>
                <w:b/>
                <w:bCs/>
                <w:i/>
                <w:iCs/>
                <w:sz w:val="18"/>
              </w:rPr>
              <w:t xml:space="preserve"> 2023</w:t>
            </w:r>
          </w:p>
        </w:tc>
      </w:tr>
      <w:tr w:rsidR="00E50FFA" w:rsidRPr="00501641" w14:paraId="1F7C0A3B" w14:textId="77777777" w:rsidTr="0047242D">
        <w:trPr>
          <w:trHeight w:val="1666"/>
        </w:trPr>
        <w:tc>
          <w:tcPr>
            <w:tcW w:w="3855" w:type="dxa"/>
            <w:tcBorders>
              <w:left w:val="nil"/>
            </w:tcBorders>
          </w:tcPr>
          <w:p w14:paraId="3205E7B3" w14:textId="77777777" w:rsidR="00E50FFA" w:rsidRPr="00501641" w:rsidRDefault="00E50FFA" w:rsidP="0047242D">
            <w:pPr>
              <w:pStyle w:val="TableParagraph"/>
              <w:spacing w:before="69"/>
              <w:ind w:left="347" w:right="180" w:hanging="227"/>
              <w:rPr>
                <w:sz w:val="18"/>
              </w:rPr>
            </w:pPr>
            <w:r w:rsidRPr="00501641">
              <w:rPr>
                <w:sz w:val="18"/>
              </w:rPr>
              <w:t xml:space="preserve">1. </w:t>
            </w:r>
            <w:proofErr w:type="spellStart"/>
            <w:r w:rsidRPr="00501641">
              <w:rPr>
                <w:sz w:val="18"/>
              </w:rPr>
              <w:t>Número</w:t>
            </w:r>
            <w:proofErr w:type="spellEnd"/>
            <w:r w:rsidRPr="00501641">
              <w:rPr>
                <w:sz w:val="18"/>
              </w:rPr>
              <w:t xml:space="preserve"> de </w:t>
            </w:r>
            <w:proofErr w:type="spellStart"/>
            <w:r w:rsidRPr="00501641">
              <w:rPr>
                <w:sz w:val="18"/>
              </w:rPr>
              <w:t>Estados</w:t>
            </w:r>
            <w:proofErr w:type="spellEnd"/>
            <w:r w:rsidRPr="00501641">
              <w:rPr>
                <w:sz w:val="18"/>
              </w:rPr>
              <w:t xml:space="preserve"> </w:t>
            </w:r>
            <w:proofErr w:type="spellStart"/>
            <w:r w:rsidRPr="00501641">
              <w:rPr>
                <w:sz w:val="18"/>
              </w:rPr>
              <w:t>Miembros</w:t>
            </w:r>
            <w:proofErr w:type="spellEnd"/>
            <w:r w:rsidRPr="00501641">
              <w:rPr>
                <w:sz w:val="18"/>
              </w:rPr>
              <w:t xml:space="preserve"> con </w:t>
            </w:r>
            <w:proofErr w:type="spellStart"/>
            <w:r w:rsidRPr="00501641">
              <w:rPr>
                <w:sz w:val="18"/>
              </w:rPr>
              <w:t>expertos</w:t>
            </w:r>
            <w:proofErr w:type="spellEnd"/>
            <w:r w:rsidRPr="00501641">
              <w:rPr>
                <w:sz w:val="18"/>
              </w:rPr>
              <w:t xml:space="preserve"> que </w:t>
            </w:r>
            <w:proofErr w:type="spellStart"/>
            <w:r w:rsidRPr="00501641">
              <w:rPr>
                <w:sz w:val="18"/>
              </w:rPr>
              <w:t>participan</w:t>
            </w:r>
            <w:proofErr w:type="spellEnd"/>
            <w:r w:rsidRPr="00501641">
              <w:rPr>
                <w:sz w:val="18"/>
              </w:rPr>
              <w:t xml:space="preserve"> </w:t>
            </w:r>
            <w:proofErr w:type="spellStart"/>
            <w:r w:rsidRPr="00501641">
              <w:rPr>
                <w:sz w:val="18"/>
              </w:rPr>
              <w:t>activamente</w:t>
            </w:r>
            <w:proofErr w:type="spellEnd"/>
            <w:r w:rsidRPr="00501641">
              <w:rPr>
                <w:sz w:val="18"/>
              </w:rPr>
              <w:t xml:space="preserve"> en la </w:t>
            </w:r>
            <w:proofErr w:type="spellStart"/>
            <w:r w:rsidRPr="00501641">
              <w:rPr>
                <w:sz w:val="18"/>
              </w:rPr>
              <w:t>concepción</w:t>
            </w:r>
            <w:proofErr w:type="spellEnd"/>
            <w:r w:rsidRPr="00501641">
              <w:rPr>
                <w:sz w:val="18"/>
              </w:rPr>
              <w:t xml:space="preserve"> y la </w:t>
            </w:r>
            <w:proofErr w:type="spellStart"/>
            <w:r w:rsidRPr="00501641">
              <w:rPr>
                <w:sz w:val="18"/>
              </w:rPr>
              <w:t>ejecución</w:t>
            </w:r>
            <w:proofErr w:type="spellEnd"/>
            <w:r w:rsidRPr="00501641">
              <w:rPr>
                <w:sz w:val="18"/>
              </w:rPr>
              <w:t xml:space="preserve"> de </w:t>
            </w:r>
            <w:proofErr w:type="spellStart"/>
            <w:r w:rsidRPr="00501641">
              <w:rPr>
                <w:sz w:val="18"/>
              </w:rPr>
              <w:t>actividades</w:t>
            </w:r>
            <w:proofErr w:type="spellEnd"/>
            <w:r w:rsidRPr="00501641">
              <w:rPr>
                <w:sz w:val="18"/>
              </w:rPr>
              <w:t xml:space="preserve"> de </w:t>
            </w:r>
            <w:proofErr w:type="spellStart"/>
            <w:r w:rsidRPr="00501641">
              <w:rPr>
                <w:sz w:val="18"/>
              </w:rPr>
              <w:t>investigación</w:t>
            </w:r>
            <w:proofErr w:type="spellEnd"/>
            <w:r w:rsidRPr="00501641">
              <w:rPr>
                <w:sz w:val="18"/>
              </w:rPr>
              <w:t xml:space="preserve"> </w:t>
            </w:r>
            <w:proofErr w:type="spellStart"/>
            <w:r w:rsidRPr="00501641">
              <w:rPr>
                <w:sz w:val="18"/>
              </w:rPr>
              <w:t>oceánica</w:t>
            </w:r>
            <w:proofErr w:type="spellEnd"/>
            <w:r w:rsidRPr="00501641">
              <w:rPr>
                <w:sz w:val="18"/>
              </w:rPr>
              <w:t xml:space="preserve">, </w:t>
            </w:r>
            <w:proofErr w:type="spellStart"/>
            <w:r w:rsidRPr="00501641">
              <w:rPr>
                <w:sz w:val="18"/>
              </w:rPr>
              <w:t>generando</w:t>
            </w:r>
            <w:proofErr w:type="spellEnd"/>
            <w:r w:rsidRPr="00501641">
              <w:rPr>
                <w:sz w:val="18"/>
              </w:rPr>
              <w:t xml:space="preserve"> </w:t>
            </w:r>
            <w:proofErr w:type="spellStart"/>
            <w:r w:rsidRPr="00501641">
              <w:rPr>
                <w:sz w:val="18"/>
              </w:rPr>
              <w:t>conocimientos</w:t>
            </w:r>
            <w:proofErr w:type="spellEnd"/>
            <w:r w:rsidRPr="00501641">
              <w:rPr>
                <w:sz w:val="18"/>
              </w:rPr>
              <w:t xml:space="preserve"> para</w:t>
            </w:r>
          </w:p>
          <w:p w14:paraId="27968CDB" w14:textId="77777777" w:rsidR="00E50FFA" w:rsidRPr="00501641" w:rsidRDefault="00E50FFA" w:rsidP="0047242D">
            <w:pPr>
              <w:pStyle w:val="TableParagraph"/>
              <w:spacing w:before="1"/>
              <w:ind w:left="347" w:right="9"/>
              <w:rPr>
                <w:sz w:val="18"/>
              </w:rPr>
            </w:pPr>
            <w:proofErr w:type="spellStart"/>
            <w:proofErr w:type="gramStart"/>
            <w:r w:rsidRPr="00501641">
              <w:rPr>
                <w:sz w:val="18"/>
              </w:rPr>
              <w:t>abordar</w:t>
            </w:r>
            <w:proofErr w:type="spellEnd"/>
            <w:proofErr w:type="gramEnd"/>
            <w:r w:rsidRPr="00501641">
              <w:rPr>
                <w:sz w:val="18"/>
              </w:rPr>
              <w:t xml:space="preserve"> </w:t>
            </w:r>
            <w:proofErr w:type="spellStart"/>
            <w:r w:rsidRPr="00501641">
              <w:rPr>
                <w:sz w:val="18"/>
              </w:rPr>
              <w:t>cuestiones</w:t>
            </w:r>
            <w:proofErr w:type="spellEnd"/>
            <w:r w:rsidRPr="00501641">
              <w:rPr>
                <w:sz w:val="18"/>
              </w:rPr>
              <w:t xml:space="preserve"> </w:t>
            </w:r>
            <w:proofErr w:type="spellStart"/>
            <w:r w:rsidRPr="00501641">
              <w:rPr>
                <w:sz w:val="18"/>
              </w:rPr>
              <w:t>fundamentales</w:t>
            </w:r>
            <w:proofErr w:type="spellEnd"/>
            <w:r w:rsidRPr="00501641">
              <w:rPr>
                <w:sz w:val="18"/>
              </w:rPr>
              <w:t xml:space="preserve"> </w:t>
            </w:r>
            <w:proofErr w:type="spellStart"/>
            <w:r w:rsidRPr="00501641">
              <w:rPr>
                <w:sz w:val="18"/>
              </w:rPr>
              <w:t>relativas</w:t>
            </w:r>
            <w:proofErr w:type="spellEnd"/>
            <w:r w:rsidRPr="00501641">
              <w:rPr>
                <w:sz w:val="18"/>
              </w:rPr>
              <w:t xml:space="preserve"> a la </w:t>
            </w:r>
            <w:proofErr w:type="spellStart"/>
            <w:r w:rsidRPr="00501641">
              <w:rPr>
                <w:sz w:val="18"/>
              </w:rPr>
              <w:t>sostenibilidad</w:t>
            </w:r>
            <w:proofErr w:type="spellEnd"/>
          </w:p>
        </w:tc>
        <w:tc>
          <w:tcPr>
            <w:tcW w:w="3024" w:type="dxa"/>
          </w:tcPr>
          <w:p w14:paraId="55A66455" w14:textId="77777777" w:rsidR="00E50FFA" w:rsidRPr="00501641" w:rsidRDefault="00E50FFA" w:rsidP="00714BDA">
            <w:pPr>
              <w:pStyle w:val="TableParagraph"/>
              <w:numPr>
                <w:ilvl w:val="0"/>
                <w:numId w:val="12"/>
              </w:numPr>
              <w:tabs>
                <w:tab w:val="left" w:pos="284"/>
              </w:tabs>
              <w:spacing w:before="53" w:line="237" w:lineRule="auto"/>
              <w:ind w:right="131"/>
              <w:jc w:val="both"/>
              <w:rPr>
                <w:i/>
                <w:sz w:val="18"/>
              </w:rPr>
            </w:pPr>
            <w:r w:rsidRPr="00501641">
              <w:rPr>
                <w:i/>
                <w:iCs/>
                <w:sz w:val="18"/>
              </w:rPr>
              <w:t xml:space="preserve">i) </w:t>
            </w:r>
            <w:proofErr w:type="spellStart"/>
            <w:r w:rsidRPr="00501641">
              <w:rPr>
                <w:i/>
                <w:iCs/>
                <w:sz w:val="18"/>
              </w:rPr>
              <w:t>Expertos</w:t>
            </w:r>
            <w:proofErr w:type="spellEnd"/>
            <w:r w:rsidRPr="00501641">
              <w:rPr>
                <w:i/>
                <w:iCs/>
                <w:sz w:val="18"/>
              </w:rPr>
              <w:t xml:space="preserve"> de 51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13 de </w:t>
            </w:r>
            <w:proofErr w:type="spellStart"/>
            <w:r w:rsidRPr="00501641">
              <w:rPr>
                <w:i/>
                <w:iCs/>
                <w:sz w:val="18"/>
              </w:rPr>
              <w:t>África</w:t>
            </w:r>
            <w:proofErr w:type="spellEnd"/>
            <w:r w:rsidRPr="00501641">
              <w:rPr>
                <w:i/>
                <w:iCs/>
                <w:sz w:val="18"/>
              </w:rPr>
              <w:t xml:space="preserve"> y 5 de PEID (el 37% </w:t>
            </w:r>
            <w:proofErr w:type="spellStart"/>
            <w:r w:rsidRPr="00501641">
              <w:rPr>
                <w:i/>
                <w:iCs/>
                <w:sz w:val="18"/>
              </w:rPr>
              <w:t>mujeres</w:t>
            </w:r>
            <w:proofErr w:type="spellEnd"/>
            <w:r w:rsidRPr="00501641">
              <w:rPr>
                <w:i/>
                <w:iCs/>
                <w:sz w:val="18"/>
              </w:rPr>
              <w:t>)</w:t>
            </w:r>
          </w:p>
          <w:p w14:paraId="6B63E240" w14:textId="77777777" w:rsidR="00E50FFA" w:rsidRPr="00501641" w:rsidRDefault="00E50FFA" w:rsidP="00714BDA">
            <w:pPr>
              <w:pStyle w:val="TableParagraph"/>
              <w:numPr>
                <w:ilvl w:val="0"/>
                <w:numId w:val="12"/>
              </w:numPr>
              <w:tabs>
                <w:tab w:val="left" w:pos="284"/>
              </w:tabs>
              <w:spacing w:before="13" w:line="237" w:lineRule="auto"/>
              <w:ind w:right="209" w:hanging="170"/>
              <w:jc w:val="both"/>
              <w:rPr>
                <w:i/>
                <w:sz w:val="18"/>
              </w:rPr>
            </w:pPr>
            <w:r w:rsidRPr="00501641">
              <w:rPr>
                <w:i/>
                <w:iCs/>
                <w:sz w:val="18"/>
              </w:rPr>
              <w:t>ii) 14.3.1 (</w:t>
            </w:r>
            <w:proofErr w:type="spellStart"/>
            <w:r w:rsidRPr="00501641">
              <w:rPr>
                <w:i/>
                <w:iCs/>
                <w:sz w:val="18"/>
              </w:rPr>
              <w:t>acidificación</w:t>
            </w:r>
            <w:proofErr w:type="spellEnd"/>
            <w:r w:rsidRPr="00501641">
              <w:rPr>
                <w:i/>
                <w:iCs/>
                <w:sz w:val="18"/>
              </w:rPr>
              <w:t xml:space="preserve"> del </w:t>
            </w:r>
            <w:proofErr w:type="spellStart"/>
            <w:r w:rsidRPr="00501641">
              <w:rPr>
                <w:i/>
                <w:iCs/>
                <w:sz w:val="18"/>
              </w:rPr>
              <w:t>océano</w:t>
            </w:r>
            <w:proofErr w:type="spellEnd"/>
            <w:proofErr w:type="gramStart"/>
            <w:r w:rsidRPr="00501641">
              <w:rPr>
                <w:i/>
                <w:iCs/>
                <w:sz w:val="18"/>
              </w:rPr>
              <w:t>):</w:t>
            </w:r>
            <w:proofErr w:type="gramEnd"/>
            <w:r w:rsidRPr="00501641">
              <w:rPr>
                <w:i/>
                <w:iCs/>
                <w:sz w:val="18"/>
              </w:rPr>
              <w:t xml:space="preserve"> 25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5 de </w:t>
            </w:r>
            <w:proofErr w:type="spellStart"/>
            <w:r w:rsidRPr="00501641">
              <w:rPr>
                <w:i/>
                <w:iCs/>
                <w:sz w:val="18"/>
              </w:rPr>
              <w:t>África</w:t>
            </w:r>
            <w:proofErr w:type="spellEnd"/>
            <w:r w:rsidRPr="00501641">
              <w:rPr>
                <w:i/>
                <w:iCs/>
                <w:sz w:val="18"/>
              </w:rPr>
              <w:t xml:space="preserve"> y 1 PEID</w:t>
            </w:r>
          </w:p>
        </w:tc>
        <w:tc>
          <w:tcPr>
            <w:tcW w:w="2778" w:type="dxa"/>
            <w:tcBorders>
              <w:right w:val="nil"/>
            </w:tcBorders>
          </w:tcPr>
          <w:p w14:paraId="71EB9520" w14:textId="77777777" w:rsidR="00E50FFA" w:rsidRPr="00501641" w:rsidRDefault="00E50FFA" w:rsidP="00714BDA">
            <w:pPr>
              <w:pStyle w:val="TableParagraph"/>
              <w:numPr>
                <w:ilvl w:val="0"/>
                <w:numId w:val="11"/>
              </w:numPr>
              <w:tabs>
                <w:tab w:val="left" w:pos="241"/>
              </w:tabs>
              <w:spacing w:before="69"/>
              <w:ind w:right="104" w:firstLine="0"/>
              <w:rPr>
                <w:i/>
                <w:sz w:val="18"/>
              </w:rPr>
            </w:pPr>
            <w:proofErr w:type="spellStart"/>
            <w:r w:rsidRPr="00501641">
              <w:rPr>
                <w:i/>
                <w:iCs/>
                <w:sz w:val="18"/>
              </w:rPr>
              <w:t>Expertos</w:t>
            </w:r>
            <w:proofErr w:type="spellEnd"/>
            <w:r w:rsidRPr="00501641">
              <w:rPr>
                <w:i/>
                <w:iCs/>
                <w:sz w:val="18"/>
              </w:rPr>
              <w:t xml:space="preserve"> de 60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15 de </w:t>
            </w:r>
            <w:proofErr w:type="spellStart"/>
            <w:r w:rsidRPr="00501641">
              <w:rPr>
                <w:i/>
                <w:iCs/>
                <w:sz w:val="18"/>
              </w:rPr>
              <w:t>África</w:t>
            </w:r>
            <w:proofErr w:type="spellEnd"/>
            <w:r w:rsidRPr="00501641">
              <w:rPr>
                <w:i/>
                <w:iCs/>
                <w:sz w:val="18"/>
              </w:rPr>
              <w:t xml:space="preserve"> y 10 de PEID (el 45% </w:t>
            </w:r>
            <w:proofErr w:type="spellStart"/>
            <w:r w:rsidRPr="00501641">
              <w:rPr>
                <w:i/>
                <w:iCs/>
                <w:sz w:val="18"/>
              </w:rPr>
              <w:t>mujeres</w:t>
            </w:r>
            <w:proofErr w:type="spellEnd"/>
            <w:r w:rsidRPr="00501641">
              <w:rPr>
                <w:i/>
                <w:iCs/>
                <w:sz w:val="18"/>
              </w:rPr>
              <w:t>)</w:t>
            </w:r>
          </w:p>
          <w:p w14:paraId="75C4F1C5" w14:textId="77777777" w:rsidR="00E50FFA" w:rsidRPr="00501641" w:rsidRDefault="00E50FFA" w:rsidP="00714BDA">
            <w:pPr>
              <w:pStyle w:val="TableParagraph"/>
              <w:numPr>
                <w:ilvl w:val="0"/>
                <w:numId w:val="11"/>
              </w:numPr>
              <w:tabs>
                <w:tab w:val="left" w:pos="284"/>
              </w:tabs>
              <w:spacing w:before="29"/>
              <w:ind w:right="475" w:firstLine="0"/>
              <w:rPr>
                <w:i/>
                <w:sz w:val="18"/>
              </w:rPr>
            </w:pPr>
            <w:r w:rsidRPr="00501641">
              <w:rPr>
                <w:i/>
                <w:iCs/>
                <w:sz w:val="18"/>
              </w:rPr>
              <w:t xml:space="preserve">40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4 de </w:t>
            </w:r>
            <w:proofErr w:type="spellStart"/>
            <w:r w:rsidRPr="00501641">
              <w:rPr>
                <w:i/>
                <w:iCs/>
                <w:sz w:val="18"/>
              </w:rPr>
              <w:t>África</w:t>
            </w:r>
            <w:proofErr w:type="spellEnd"/>
            <w:r w:rsidRPr="00501641">
              <w:rPr>
                <w:i/>
                <w:iCs/>
                <w:sz w:val="18"/>
              </w:rPr>
              <w:t xml:space="preserve"> y 2 PEID</w:t>
            </w:r>
          </w:p>
        </w:tc>
      </w:tr>
      <w:tr w:rsidR="00E50FFA" w:rsidRPr="00501641" w14:paraId="41899A96" w14:textId="77777777" w:rsidTr="0047242D">
        <w:trPr>
          <w:trHeight w:val="1886"/>
        </w:trPr>
        <w:tc>
          <w:tcPr>
            <w:tcW w:w="3855" w:type="dxa"/>
            <w:tcBorders>
              <w:left w:val="nil"/>
            </w:tcBorders>
          </w:tcPr>
          <w:p w14:paraId="74A1300E" w14:textId="77777777" w:rsidR="00E50FFA" w:rsidRPr="00501641" w:rsidRDefault="00E50FFA" w:rsidP="0047242D">
            <w:pPr>
              <w:pStyle w:val="TableParagraph"/>
              <w:spacing w:before="69"/>
              <w:ind w:left="347" w:right="61" w:hanging="227"/>
              <w:rPr>
                <w:sz w:val="18"/>
              </w:rPr>
            </w:pPr>
            <w:r w:rsidRPr="00501641">
              <w:rPr>
                <w:sz w:val="18"/>
              </w:rPr>
              <w:t xml:space="preserve">2. </w:t>
            </w:r>
            <w:proofErr w:type="spellStart"/>
            <w:r w:rsidRPr="00501641">
              <w:rPr>
                <w:sz w:val="18"/>
              </w:rPr>
              <w:t>Número</w:t>
            </w:r>
            <w:proofErr w:type="spellEnd"/>
            <w:r w:rsidRPr="00501641">
              <w:rPr>
                <w:sz w:val="18"/>
              </w:rPr>
              <w:t xml:space="preserve"> de </w:t>
            </w:r>
            <w:proofErr w:type="spellStart"/>
            <w:r w:rsidRPr="00501641">
              <w:rPr>
                <w:sz w:val="18"/>
              </w:rPr>
              <w:t>Estados</w:t>
            </w:r>
            <w:proofErr w:type="spellEnd"/>
            <w:r w:rsidRPr="00501641">
              <w:rPr>
                <w:sz w:val="18"/>
              </w:rPr>
              <w:t xml:space="preserve"> </w:t>
            </w:r>
            <w:proofErr w:type="spellStart"/>
            <w:r w:rsidRPr="00501641">
              <w:rPr>
                <w:sz w:val="18"/>
              </w:rPr>
              <w:t>Miembros</w:t>
            </w:r>
            <w:proofErr w:type="spellEnd"/>
            <w:r w:rsidRPr="00501641">
              <w:rPr>
                <w:sz w:val="18"/>
              </w:rPr>
              <w:t xml:space="preserve"> que </w:t>
            </w:r>
            <w:proofErr w:type="spellStart"/>
            <w:r w:rsidRPr="00501641">
              <w:rPr>
                <w:sz w:val="18"/>
              </w:rPr>
              <w:t>contribuyen</w:t>
            </w:r>
            <w:proofErr w:type="spellEnd"/>
            <w:r w:rsidRPr="00501641">
              <w:rPr>
                <w:sz w:val="18"/>
              </w:rPr>
              <w:t xml:space="preserve"> a la </w:t>
            </w:r>
            <w:proofErr w:type="spellStart"/>
            <w:r w:rsidRPr="00501641">
              <w:rPr>
                <w:sz w:val="18"/>
              </w:rPr>
              <w:t>promoción</w:t>
            </w:r>
            <w:proofErr w:type="spellEnd"/>
            <w:r w:rsidRPr="00501641">
              <w:rPr>
                <w:sz w:val="18"/>
              </w:rPr>
              <w:t xml:space="preserve"> de la </w:t>
            </w:r>
            <w:proofErr w:type="spellStart"/>
            <w:r w:rsidRPr="00501641">
              <w:rPr>
                <w:sz w:val="18"/>
              </w:rPr>
              <w:t>observación</w:t>
            </w:r>
            <w:proofErr w:type="spellEnd"/>
            <w:r w:rsidRPr="00501641">
              <w:rPr>
                <w:sz w:val="18"/>
              </w:rPr>
              <w:t xml:space="preserve"> del </w:t>
            </w:r>
            <w:proofErr w:type="spellStart"/>
            <w:r w:rsidRPr="00501641">
              <w:rPr>
                <w:sz w:val="18"/>
              </w:rPr>
              <w:t>océano</w:t>
            </w:r>
            <w:proofErr w:type="spellEnd"/>
          </w:p>
          <w:p w14:paraId="66BD72E2" w14:textId="77777777" w:rsidR="00E50FFA" w:rsidRPr="00501641" w:rsidRDefault="00E50FFA" w:rsidP="0047242D">
            <w:pPr>
              <w:pStyle w:val="TableParagraph"/>
              <w:spacing w:before="1"/>
              <w:ind w:left="347" w:right="215"/>
              <w:rPr>
                <w:sz w:val="18"/>
              </w:rPr>
            </w:pPr>
            <w:proofErr w:type="gramStart"/>
            <w:r w:rsidRPr="00501641">
              <w:rPr>
                <w:sz w:val="18"/>
              </w:rPr>
              <w:t>y</w:t>
            </w:r>
            <w:proofErr w:type="gramEnd"/>
            <w:r w:rsidRPr="00501641">
              <w:rPr>
                <w:sz w:val="18"/>
              </w:rPr>
              <w:t xml:space="preserve"> la </w:t>
            </w:r>
            <w:proofErr w:type="spellStart"/>
            <w:r w:rsidRPr="00501641">
              <w:rPr>
                <w:sz w:val="18"/>
              </w:rPr>
              <w:t>gestión</w:t>
            </w:r>
            <w:proofErr w:type="spellEnd"/>
            <w:r w:rsidRPr="00501641">
              <w:rPr>
                <w:sz w:val="18"/>
              </w:rPr>
              <w:t xml:space="preserve"> de los </w:t>
            </w:r>
            <w:proofErr w:type="spellStart"/>
            <w:r w:rsidRPr="00501641">
              <w:rPr>
                <w:sz w:val="18"/>
              </w:rPr>
              <w:t>datos</w:t>
            </w:r>
            <w:proofErr w:type="spellEnd"/>
            <w:r w:rsidRPr="00501641">
              <w:rPr>
                <w:sz w:val="18"/>
              </w:rPr>
              <w:t xml:space="preserve"> </w:t>
            </w:r>
            <w:proofErr w:type="spellStart"/>
            <w:r w:rsidRPr="00501641">
              <w:rPr>
                <w:sz w:val="18"/>
              </w:rPr>
              <w:t>oceánicos</w:t>
            </w:r>
            <w:proofErr w:type="spellEnd"/>
            <w:r w:rsidRPr="00501641">
              <w:rPr>
                <w:sz w:val="18"/>
              </w:rPr>
              <w:t xml:space="preserve"> a </w:t>
            </w:r>
            <w:proofErr w:type="spellStart"/>
            <w:r w:rsidRPr="00501641">
              <w:rPr>
                <w:sz w:val="18"/>
              </w:rPr>
              <w:t>través</w:t>
            </w:r>
            <w:proofErr w:type="spellEnd"/>
            <w:r w:rsidRPr="00501641">
              <w:rPr>
                <w:sz w:val="18"/>
              </w:rPr>
              <w:t xml:space="preserve"> del </w:t>
            </w:r>
            <w:proofErr w:type="spellStart"/>
            <w:r w:rsidRPr="00501641">
              <w:rPr>
                <w:sz w:val="18"/>
              </w:rPr>
              <w:t>Sistema</w:t>
            </w:r>
            <w:proofErr w:type="spellEnd"/>
            <w:r w:rsidRPr="00501641">
              <w:rPr>
                <w:sz w:val="18"/>
              </w:rPr>
              <w:t xml:space="preserve"> </w:t>
            </w:r>
            <w:proofErr w:type="spellStart"/>
            <w:r w:rsidRPr="00501641">
              <w:rPr>
                <w:sz w:val="18"/>
              </w:rPr>
              <w:t>Mundial</w:t>
            </w:r>
            <w:proofErr w:type="spellEnd"/>
            <w:r w:rsidRPr="00501641">
              <w:rPr>
                <w:sz w:val="18"/>
              </w:rPr>
              <w:t xml:space="preserve"> de </w:t>
            </w:r>
            <w:proofErr w:type="spellStart"/>
            <w:r w:rsidRPr="00501641">
              <w:rPr>
                <w:sz w:val="18"/>
              </w:rPr>
              <w:t>Observación</w:t>
            </w:r>
            <w:proofErr w:type="spellEnd"/>
            <w:r w:rsidRPr="00501641">
              <w:rPr>
                <w:sz w:val="18"/>
              </w:rPr>
              <w:t xml:space="preserve"> del </w:t>
            </w:r>
            <w:proofErr w:type="spellStart"/>
            <w:r w:rsidRPr="00501641">
              <w:rPr>
                <w:sz w:val="18"/>
              </w:rPr>
              <w:t>Océano</w:t>
            </w:r>
            <w:proofErr w:type="spellEnd"/>
            <w:r w:rsidRPr="00501641">
              <w:rPr>
                <w:sz w:val="18"/>
              </w:rPr>
              <w:t xml:space="preserve"> (GOOS) y el </w:t>
            </w:r>
            <w:proofErr w:type="spellStart"/>
            <w:r w:rsidRPr="00501641">
              <w:rPr>
                <w:sz w:val="18"/>
              </w:rPr>
              <w:t>Sistema</w:t>
            </w:r>
            <w:proofErr w:type="spellEnd"/>
            <w:r w:rsidRPr="00501641">
              <w:rPr>
                <w:sz w:val="18"/>
              </w:rPr>
              <w:t xml:space="preserve"> de </w:t>
            </w:r>
            <w:proofErr w:type="spellStart"/>
            <w:r w:rsidRPr="00501641">
              <w:rPr>
                <w:sz w:val="18"/>
              </w:rPr>
              <w:t>Datos</w:t>
            </w:r>
            <w:proofErr w:type="spellEnd"/>
            <w:r w:rsidRPr="00501641">
              <w:rPr>
                <w:sz w:val="18"/>
              </w:rPr>
              <w:t xml:space="preserve"> e </w:t>
            </w:r>
            <w:proofErr w:type="spellStart"/>
            <w:r w:rsidRPr="00501641">
              <w:rPr>
                <w:sz w:val="18"/>
              </w:rPr>
              <w:t>Información</w:t>
            </w:r>
            <w:proofErr w:type="spellEnd"/>
            <w:r w:rsidRPr="00501641">
              <w:rPr>
                <w:sz w:val="18"/>
              </w:rPr>
              <w:t xml:space="preserve"> </w:t>
            </w:r>
            <w:proofErr w:type="spellStart"/>
            <w:r w:rsidRPr="00501641">
              <w:rPr>
                <w:sz w:val="18"/>
              </w:rPr>
              <w:t>Oceanográficos</w:t>
            </w:r>
            <w:proofErr w:type="spellEnd"/>
            <w:r w:rsidRPr="00501641">
              <w:rPr>
                <w:sz w:val="18"/>
              </w:rPr>
              <w:t xml:space="preserve"> (ODIS) de la COI, </w:t>
            </w:r>
            <w:proofErr w:type="spellStart"/>
            <w:r w:rsidRPr="00501641">
              <w:rPr>
                <w:sz w:val="18"/>
              </w:rPr>
              <w:t>proporcionando</w:t>
            </w:r>
            <w:proofErr w:type="spellEnd"/>
            <w:r w:rsidRPr="00501641">
              <w:rPr>
                <w:sz w:val="18"/>
              </w:rPr>
              <w:t xml:space="preserve"> </w:t>
            </w:r>
            <w:proofErr w:type="spellStart"/>
            <w:r w:rsidRPr="00501641">
              <w:rPr>
                <w:sz w:val="18"/>
              </w:rPr>
              <w:t>información</w:t>
            </w:r>
            <w:proofErr w:type="spellEnd"/>
            <w:r w:rsidRPr="00501641">
              <w:rPr>
                <w:sz w:val="18"/>
              </w:rPr>
              <w:t xml:space="preserve"> </w:t>
            </w:r>
            <w:proofErr w:type="spellStart"/>
            <w:r w:rsidRPr="00501641">
              <w:rPr>
                <w:sz w:val="18"/>
              </w:rPr>
              <w:t>fundamental</w:t>
            </w:r>
            <w:proofErr w:type="spellEnd"/>
            <w:r w:rsidRPr="00501641">
              <w:rPr>
                <w:sz w:val="18"/>
              </w:rPr>
              <w:t xml:space="preserve"> para </w:t>
            </w:r>
            <w:proofErr w:type="spellStart"/>
            <w:r w:rsidRPr="00501641">
              <w:rPr>
                <w:sz w:val="18"/>
              </w:rPr>
              <w:t>las</w:t>
            </w:r>
            <w:proofErr w:type="spellEnd"/>
            <w:r w:rsidRPr="00501641">
              <w:rPr>
                <w:sz w:val="18"/>
              </w:rPr>
              <w:t xml:space="preserve"> </w:t>
            </w:r>
            <w:proofErr w:type="spellStart"/>
            <w:r w:rsidRPr="00501641">
              <w:rPr>
                <w:sz w:val="18"/>
              </w:rPr>
              <w:t>soluciones</w:t>
            </w:r>
            <w:proofErr w:type="spellEnd"/>
            <w:r w:rsidRPr="00501641">
              <w:rPr>
                <w:sz w:val="18"/>
              </w:rPr>
              <w:t xml:space="preserve"> </w:t>
            </w:r>
            <w:proofErr w:type="spellStart"/>
            <w:r w:rsidRPr="00501641">
              <w:rPr>
                <w:sz w:val="18"/>
              </w:rPr>
              <w:t>basadas</w:t>
            </w:r>
            <w:proofErr w:type="spellEnd"/>
            <w:r w:rsidRPr="00501641">
              <w:rPr>
                <w:sz w:val="18"/>
              </w:rPr>
              <w:t xml:space="preserve"> en la </w:t>
            </w:r>
            <w:proofErr w:type="spellStart"/>
            <w:r w:rsidRPr="00501641">
              <w:rPr>
                <w:sz w:val="18"/>
              </w:rPr>
              <w:t>ciencia</w:t>
            </w:r>
            <w:proofErr w:type="spellEnd"/>
          </w:p>
        </w:tc>
        <w:tc>
          <w:tcPr>
            <w:tcW w:w="3024" w:type="dxa"/>
          </w:tcPr>
          <w:p w14:paraId="0CED343A" w14:textId="77777777" w:rsidR="00E50FFA" w:rsidRPr="00501641" w:rsidRDefault="00E50FFA" w:rsidP="00714BDA">
            <w:pPr>
              <w:pStyle w:val="TableParagraph"/>
              <w:numPr>
                <w:ilvl w:val="0"/>
                <w:numId w:val="10"/>
              </w:numPr>
              <w:tabs>
                <w:tab w:val="left" w:pos="242"/>
              </w:tabs>
              <w:spacing w:before="69"/>
              <w:ind w:right="363" w:firstLine="0"/>
              <w:rPr>
                <w:i/>
                <w:sz w:val="18"/>
              </w:rPr>
            </w:pPr>
            <w:proofErr w:type="gramStart"/>
            <w:r w:rsidRPr="00501641">
              <w:rPr>
                <w:i/>
                <w:iCs/>
                <w:sz w:val="18"/>
              </w:rPr>
              <w:t>ODIS:</w:t>
            </w:r>
            <w:proofErr w:type="gramEnd"/>
            <w:r w:rsidRPr="00501641">
              <w:rPr>
                <w:i/>
                <w:iCs/>
                <w:sz w:val="18"/>
              </w:rPr>
              <w:t xml:space="preserve"> no existe base de </w:t>
            </w:r>
            <w:proofErr w:type="spellStart"/>
            <w:r w:rsidRPr="00501641">
              <w:rPr>
                <w:i/>
                <w:iCs/>
                <w:sz w:val="18"/>
              </w:rPr>
              <w:t>referencia</w:t>
            </w:r>
            <w:proofErr w:type="spellEnd"/>
            <w:r w:rsidRPr="00501641">
              <w:rPr>
                <w:i/>
                <w:iCs/>
                <w:sz w:val="18"/>
              </w:rPr>
              <w:t xml:space="preserve"> (</w:t>
            </w:r>
            <w:proofErr w:type="spellStart"/>
            <w:r w:rsidRPr="00501641">
              <w:rPr>
                <w:i/>
                <w:iCs/>
                <w:sz w:val="18"/>
              </w:rPr>
              <w:t>actividad</w:t>
            </w:r>
            <w:proofErr w:type="spellEnd"/>
            <w:r w:rsidRPr="00501641">
              <w:rPr>
                <w:i/>
                <w:iCs/>
                <w:sz w:val="18"/>
              </w:rPr>
              <w:t xml:space="preserve"> </w:t>
            </w:r>
            <w:proofErr w:type="spellStart"/>
            <w:r w:rsidRPr="00501641">
              <w:rPr>
                <w:i/>
                <w:iCs/>
                <w:sz w:val="18"/>
              </w:rPr>
              <w:t>nueva</w:t>
            </w:r>
            <w:proofErr w:type="spellEnd"/>
            <w:r w:rsidRPr="00501641">
              <w:rPr>
                <w:i/>
                <w:iCs/>
                <w:sz w:val="18"/>
              </w:rPr>
              <w:t>)</w:t>
            </w:r>
          </w:p>
          <w:p w14:paraId="02F94CAC" w14:textId="77777777" w:rsidR="00E50FFA" w:rsidRPr="00501641" w:rsidRDefault="00E50FFA" w:rsidP="00714BDA">
            <w:pPr>
              <w:pStyle w:val="TableParagraph"/>
              <w:numPr>
                <w:ilvl w:val="0"/>
                <w:numId w:val="10"/>
              </w:numPr>
              <w:tabs>
                <w:tab w:val="left" w:pos="284"/>
              </w:tabs>
              <w:spacing w:before="29"/>
              <w:ind w:right="206" w:firstLine="0"/>
              <w:rPr>
                <w:i/>
                <w:sz w:val="18"/>
              </w:rPr>
            </w:pPr>
            <w:proofErr w:type="gramStart"/>
            <w:r w:rsidRPr="00501641">
              <w:rPr>
                <w:i/>
                <w:iCs/>
                <w:sz w:val="18"/>
              </w:rPr>
              <w:t>GOOS:</w:t>
            </w:r>
            <w:proofErr w:type="gramEnd"/>
            <w:r w:rsidRPr="00501641">
              <w:rPr>
                <w:i/>
                <w:iCs/>
                <w:sz w:val="18"/>
              </w:rPr>
              <w:t xml:space="preserve"> 66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11 de </w:t>
            </w:r>
            <w:proofErr w:type="spellStart"/>
            <w:r w:rsidRPr="00501641">
              <w:rPr>
                <w:i/>
                <w:iCs/>
                <w:sz w:val="18"/>
              </w:rPr>
              <w:t>África</w:t>
            </w:r>
            <w:proofErr w:type="spellEnd"/>
            <w:r w:rsidRPr="00501641">
              <w:rPr>
                <w:i/>
                <w:iCs/>
                <w:sz w:val="18"/>
              </w:rPr>
              <w:t xml:space="preserve"> y 8 PEID</w:t>
            </w:r>
          </w:p>
        </w:tc>
        <w:tc>
          <w:tcPr>
            <w:tcW w:w="2778" w:type="dxa"/>
            <w:tcBorders>
              <w:right w:val="nil"/>
            </w:tcBorders>
          </w:tcPr>
          <w:p w14:paraId="30FF0D6B" w14:textId="77777777" w:rsidR="00E50FFA" w:rsidRPr="00501641" w:rsidRDefault="00E50FFA" w:rsidP="00714BDA">
            <w:pPr>
              <w:pStyle w:val="TableParagraph"/>
              <w:numPr>
                <w:ilvl w:val="0"/>
                <w:numId w:val="9"/>
              </w:numPr>
              <w:tabs>
                <w:tab w:val="left" w:pos="242"/>
              </w:tabs>
              <w:spacing w:before="69"/>
              <w:ind w:right="273" w:firstLine="0"/>
              <w:rPr>
                <w:i/>
                <w:sz w:val="18"/>
              </w:rPr>
            </w:pPr>
            <w:r w:rsidRPr="00501641">
              <w:rPr>
                <w:i/>
                <w:iCs/>
                <w:sz w:val="18"/>
              </w:rPr>
              <w:t xml:space="preserve">25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5 PEID (</w:t>
            </w:r>
            <w:proofErr w:type="spellStart"/>
            <w:r w:rsidRPr="00501641">
              <w:rPr>
                <w:i/>
                <w:iCs/>
                <w:sz w:val="18"/>
              </w:rPr>
              <w:t>incluidos</w:t>
            </w:r>
            <w:proofErr w:type="spellEnd"/>
            <w:r w:rsidRPr="00501641">
              <w:rPr>
                <w:i/>
                <w:iCs/>
                <w:sz w:val="18"/>
              </w:rPr>
              <w:t xml:space="preserve"> 2 PEID de </w:t>
            </w:r>
            <w:proofErr w:type="spellStart"/>
            <w:r w:rsidRPr="00501641">
              <w:rPr>
                <w:i/>
                <w:iCs/>
                <w:sz w:val="18"/>
              </w:rPr>
              <w:t>África</w:t>
            </w:r>
            <w:proofErr w:type="spellEnd"/>
            <w:r w:rsidRPr="00501641">
              <w:rPr>
                <w:i/>
                <w:iCs/>
                <w:sz w:val="18"/>
              </w:rPr>
              <w:t xml:space="preserve">) (40% de </w:t>
            </w:r>
            <w:proofErr w:type="spellStart"/>
            <w:r w:rsidRPr="00501641">
              <w:rPr>
                <w:i/>
                <w:iCs/>
                <w:sz w:val="18"/>
              </w:rPr>
              <w:t>mujeres</w:t>
            </w:r>
            <w:proofErr w:type="spellEnd"/>
            <w:r w:rsidRPr="00501641">
              <w:rPr>
                <w:i/>
                <w:iCs/>
                <w:sz w:val="18"/>
              </w:rPr>
              <w:t xml:space="preserve"> entre los </w:t>
            </w:r>
            <w:proofErr w:type="spellStart"/>
            <w:r w:rsidRPr="00501641">
              <w:rPr>
                <w:i/>
                <w:iCs/>
                <w:sz w:val="18"/>
              </w:rPr>
              <w:t>expertos</w:t>
            </w:r>
            <w:proofErr w:type="spellEnd"/>
            <w:r w:rsidRPr="00501641">
              <w:rPr>
                <w:i/>
                <w:iCs/>
                <w:sz w:val="18"/>
              </w:rPr>
              <w:t>)</w:t>
            </w:r>
          </w:p>
          <w:p w14:paraId="43B29EC9" w14:textId="77777777" w:rsidR="00E50FFA" w:rsidRPr="00501641" w:rsidRDefault="00E50FFA" w:rsidP="00714BDA">
            <w:pPr>
              <w:pStyle w:val="TableParagraph"/>
              <w:numPr>
                <w:ilvl w:val="0"/>
                <w:numId w:val="9"/>
              </w:numPr>
              <w:tabs>
                <w:tab w:val="left" w:pos="284"/>
              </w:tabs>
              <w:spacing w:before="29"/>
              <w:ind w:right="475" w:firstLine="0"/>
              <w:rPr>
                <w:i/>
                <w:sz w:val="18"/>
              </w:rPr>
            </w:pPr>
            <w:r w:rsidRPr="00501641">
              <w:rPr>
                <w:i/>
                <w:iCs/>
                <w:sz w:val="18"/>
              </w:rPr>
              <w:t xml:space="preserve">70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13 de </w:t>
            </w:r>
            <w:proofErr w:type="spellStart"/>
            <w:r w:rsidRPr="00501641">
              <w:rPr>
                <w:i/>
                <w:iCs/>
                <w:sz w:val="18"/>
              </w:rPr>
              <w:t>África</w:t>
            </w:r>
            <w:proofErr w:type="spellEnd"/>
            <w:r w:rsidRPr="00501641">
              <w:rPr>
                <w:i/>
                <w:iCs/>
                <w:sz w:val="18"/>
              </w:rPr>
              <w:t xml:space="preserve"> y 10 PEID</w:t>
            </w:r>
          </w:p>
          <w:p w14:paraId="3682587E" w14:textId="77777777" w:rsidR="00E50FFA" w:rsidRPr="00501641" w:rsidRDefault="00E50FFA" w:rsidP="0047242D">
            <w:pPr>
              <w:pStyle w:val="TableParagraph"/>
              <w:spacing w:before="1"/>
              <w:rPr>
                <w:i/>
                <w:sz w:val="18"/>
              </w:rPr>
            </w:pPr>
            <w:r w:rsidRPr="00501641">
              <w:rPr>
                <w:i/>
                <w:iCs/>
                <w:sz w:val="18"/>
              </w:rPr>
              <w:t xml:space="preserve">(40% de </w:t>
            </w:r>
            <w:proofErr w:type="spellStart"/>
            <w:r w:rsidRPr="00501641">
              <w:rPr>
                <w:i/>
                <w:iCs/>
                <w:sz w:val="18"/>
              </w:rPr>
              <w:t>mujeres</w:t>
            </w:r>
            <w:proofErr w:type="spellEnd"/>
            <w:r w:rsidRPr="00501641">
              <w:rPr>
                <w:i/>
                <w:iCs/>
                <w:sz w:val="18"/>
              </w:rPr>
              <w:t xml:space="preserve"> entre los </w:t>
            </w:r>
            <w:proofErr w:type="spellStart"/>
            <w:r w:rsidRPr="00501641">
              <w:rPr>
                <w:i/>
                <w:iCs/>
                <w:sz w:val="18"/>
              </w:rPr>
              <w:t>expertos</w:t>
            </w:r>
            <w:proofErr w:type="spellEnd"/>
            <w:r w:rsidRPr="00501641">
              <w:rPr>
                <w:i/>
                <w:iCs/>
                <w:sz w:val="18"/>
              </w:rPr>
              <w:t>)</w:t>
            </w:r>
          </w:p>
        </w:tc>
      </w:tr>
      <w:tr w:rsidR="00E50FFA" w:rsidRPr="00501641" w14:paraId="26093E9A" w14:textId="77777777" w:rsidTr="0047242D">
        <w:trPr>
          <w:trHeight w:val="1446"/>
        </w:trPr>
        <w:tc>
          <w:tcPr>
            <w:tcW w:w="3855" w:type="dxa"/>
            <w:tcBorders>
              <w:left w:val="nil"/>
            </w:tcBorders>
          </w:tcPr>
          <w:p w14:paraId="56FC4AE7" w14:textId="77777777" w:rsidR="00E50FFA" w:rsidRPr="00501641" w:rsidRDefault="00E50FFA" w:rsidP="0047242D">
            <w:pPr>
              <w:pStyle w:val="TableParagraph"/>
              <w:spacing w:before="69"/>
              <w:ind w:left="347" w:right="143" w:hanging="227"/>
              <w:rPr>
                <w:sz w:val="18"/>
              </w:rPr>
            </w:pPr>
            <w:r w:rsidRPr="00501641">
              <w:rPr>
                <w:sz w:val="18"/>
              </w:rPr>
              <w:t xml:space="preserve">3. </w:t>
            </w:r>
            <w:proofErr w:type="spellStart"/>
            <w:r w:rsidRPr="00501641">
              <w:rPr>
                <w:sz w:val="18"/>
              </w:rPr>
              <w:t>Número</w:t>
            </w:r>
            <w:proofErr w:type="spellEnd"/>
            <w:r w:rsidRPr="00501641">
              <w:rPr>
                <w:sz w:val="18"/>
              </w:rPr>
              <w:t xml:space="preserve"> de </w:t>
            </w:r>
            <w:proofErr w:type="spellStart"/>
            <w:r w:rsidRPr="00501641">
              <w:rPr>
                <w:sz w:val="18"/>
              </w:rPr>
              <w:t>Estados</w:t>
            </w:r>
            <w:proofErr w:type="spellEnd"/>
            <w:r w:rsidRPr="00501641">
              <w:rPr>
                <w:sz w:val="18"/>
              </w:rPr>
              <w:t xml:space="preserve"> </w:t>
            </w:r>
            <w:proofErr w:type="spellStart"/>
            <w:r w:rsidRPr="00501641">
              <w:rPr>
                <w:sz w:val="18"/>
              </w:rPr>
              <w:t>Miembros</w:t>
            </w:r>
            <w:proofErr w:type="spellEnd"/>
            <w:r w:rsidRPr="00501641">
              <w:rPr>
                <w:sz w:val="18"/>
              </w:rPr>
              <w:t xml:space="preserve"> que </w:t>
            </w:r>
            <w:proofErr w:type="spellStart"/>
            <w:r w:rsidRPr="00501641">
              <w:rPr>
                <w:sz w:val="18"/>
              </w:rPr>
              <w:t>disponen</w:t>
            </w:r>
            <w:proofErr w:type="spellEnd"/>
            <w:r w:rsidRPr="00501641">
              <w:rPr>
                <w:sz w:val="18"/>
              </w:rPr>
              <w:t xml:space="preserve"> de </w:t>
            </w:r>
            <w:proofErr w:type="spellStart"/>
            <w:r w:rsidRPr="00501641">
              <w:rPr>
                <w:sz w:val="18"/>
              </w:rPr>
              <w:t>capacidades</w:t>
            </w:r>
            <w:proofErr w:type="spellEnd"/>
            <w:r w:rsidRPr="00501641">
              <w:rPr>
                <w:sz w:val="18"/>
              </w:rPr>
              <w:t xml:space="preserve"> </w:t>
            </w:r>
            <w:proofErr w:type="spellStart"/>
            <w:r w:rsidRPr="00501641">
              <w:rPr>
                <w:sz w:val="18"/>
              </w:rPr>
              <w:t>reforzadas</w:t>
            </w:r>
            <w:proofErr w:type="spellEnd"/>
            <w:r w:rsidRPr="00501641">
              <w:rPr>
                <w:sz w:val="18"/>
              </w:rPr>
              <w:t xml:space="preserve"> para </w:t>
            </w:r>
            <w:proofErr w:type="spellStart"/>
            <w:r w:rsidRPr="00501641">
              <w:rPr>
                <w:sz w:val="18"/>
              </w:rPr>
              <w:t>diseñar</w:t>
            </w:r>
            <w:proofErr w:type="spellEnd"/>
            <w:r w:rsidRPr="00501641">
              <w:rPr>
                <w:sz w:val="18"/>
              </w:rPr>
              <w:t xml:space="preserve"> y </w:t>
            </w:r>
            <w:proofErr w:type="spellStart"/>
            <w:r w:rsidRPr="00501641">
              <w:rPr>
                <w:sz w:val="18"/>
              </w:rPr>
              <w:t>poner</w:t>
            </w:r>
            <w:proofErr w:type="spellEnd"/>
            <w:r w:rsidRPr="00501641">
              <w:rPr>
                <w:sz w:val="18"/>
              </w:rPr>
              <w:t xml:space="preserve"> en marcha </w:t>
            </w:r>
            <w:proofErr w:type="spellStart"/>
            <w:r w:rsidRPr="00501641">
              <w:rPr>
                <w:sz w:val="18"/>
              </w:rPr>
              <w:t>sistemas</w:t>
            </w:r>
            <w:proofErr w:type="spellEnd"/>
            <w:r w:rsidRPr="00501641">
              <w:rPr>
                <w:sz w:val="18"/>
              </w:rPr>
              <w:t xml:space="preserve"> de alerta </w:t>
            </w:r>
            <w:proofErr w:type="spellStart"/>
            <w:r w:rsidRPr="00501641">
              <w:rPr>
                <w:sz w:val="18"/>
              </w:rPr>
              <w:t>temprana</w:t>
            </w:r>
            <w:proofErr w:type="spellEnd"/>
            <w:r w:rsidRPr="00501641">
              <w:rPr>
                <w:sz w:val="18"/>
              </w:rPr>
              <w:t xml:space="preserve"> y </w:t>
            </w:r>
            <w:proofErr w:type="spellStart"/>
            <w:r w:rsidRPr="00501641">
              <w:rPr>
                <w:sz w:val="18"/>
              </w:rPr>
              <w:t>aumentar</w:t>
            </w:r>
            <w:proofErr w:type="spellEnd"/>
            <w:r w:rsidRPr="00501641">
              <w:rPr>
                <w:sz w:val="18"/>
              </w:rPr>
              <w:t xml:space="preserve"> la </w:t>
            </w:r>
            <w:proofErr w:type="spellStart"/>
            <w:r w:rsidRPr="00501641">
              <w:rPr>
                <w:sz w:val="18"/>
              </w:rPr>
              <w:t>preparación</w:t>
            </w:r>
            <w:proofErr w:type="spellEnd"/>
            <w:r w:rsidRPr="00501641">
              <w:rPr>
                <w:sz w:val="18"/>
              </w:rPr>
              <w:t xml:space="preserve"> y la </w:t>
            </w:r>
            <w:proofErr w:type="spellStart"/>
            <w:r w:rsidRPr="00501641">
              <w:rPr>
                <w:sz w:val="18"/>
              </w:rPr>
              <w:t>resiliencia</w:t>
            </w:r>
            <w:proofErr w:type="spellEnd"/>
          </w:p>
          <w:p w14:paraId="27D254AA" w14:textId="77777777" w:rsidR="00E50FFA" w:rsidRPr="00501641" w:rsidRDefault="00E50FFA" w:rsidP="0047242D">
            <w:pPr>
              <w:pStyle w:val="TableParagraph"/>
              <w:spacing w:before="1"/>
              <w:ind w:left="347" w:right="324"/>
              <w:rPr>
                <w:sz w:val="18"/>
              </w:rPr>
            </w:pPr>
            <w:proofErr w:type="gramStart"/>
            <w:r w:rsidRPr="00501641">
              <w:rPr>
                <w:sz w:val="18"/>
              </w:rPr>
              <w:t>ante</w:t>
            </w:r>
            <w:proofErr w:type="gramEnd"/>
            <w:r w:rsidRPr="00501641">
              <w:rPr>
                <w:sz w:val="18"/>
              </w:rPr>
              <w:t xml:space="preserve"> los </w:t>
            </w:r>
            <w:proofErr w:type="spellStart"/>
            <w:r w:rsidRPr="00501641">
              <w:rPr>
                <w:sz w:val="18"/>
              </w:rPr>
              <w:t>riesgos</w:t>
            </w:r>
            <w:proofErr w:type="spellEnd"/>
            <w:r w:rsidRPr="00501641">
              <w:rPr>
                <w:sz w:val="18"/>
              </w:rPr>
              <w:t xml:space="preserve"> de tsunami y </w:t>
            </w:r>
            <w:proofErr w:type="spellStart"/>
            <w:r w:rsidRPr="00501641">
              <w:rPr>
                <w:sz w:val="18"/>
              </w:rPr>
              <w:t>otros</w:t>
            </w:r>
            <w:proofErr w:type="spellEnd"/>
            <w:r w:rsidRPr="00501641">
              <w:rPr>
                <w:sz w:val="18"/>
              </w:rPr>
              <w:t xml:space="preserve"> </w:t>
            </w:r>
            <w:proofErr w:type="spellStart"/>
            <w:r w:rsidRPr="00501641">
              <w:rPr>
                <w:sz w:val="18"/>
              </w:rPr>
              <w:t>peligros</w:t>
            </w:r>
            <w:proofErr w:type="spellEnd"/>
            <w:r w:rsidRPr="00501641">
              <w:rPr>
                <w:sz w:val="18"/>
              </w:rPr>
              <w:t xml:space="preserve"> </w:t>
            </w:r>
            <w:proofErr w:type="spellStart"/>
            <w:r w:rsidRPr="00501641">
              <w:rPr>
                <w:sz w:val="18"/>
              </w:rPr>
              <w:t>relacionados</w:t>
            </w:r>
            <w:proofErr w:type="spellEnd"/>
            <w:r w:rsidRPr="00501641">
              <w:rPr>
                <w:sz w:val="18"/>
              </w:rPr>
              <w:t xml:space="preserve"> con el </w:t>
            </w:r>
            <w:proofErr w:type="spellStart"/>
            <w:r w:rsidRPr="00501641">
              <w:rPr>
                <w:sz w:val="18"/>
              </w:rPr>
              <w:t>océano</w:t>
            </w:r>
            <w:proofErr w:type="spellEnd"/>
          </w:p>
        </w:tc>
        <w:tc>
          <w:tcPr>
            <w:tcW w:w="3024" w:type="dxa"/>
          </w:tcPr>
          <w:p w14:paraId="4B06C1F1" w14:textId="77777777" w:rsidR="00E50FFA" w:rsidRPr="00501641" w:rsidRDefault="00E50FFA" w:rsidP="0047242D">
            <w:pPr>
              <w:pStyle w:val="TableParagraph"/>
              <w:spacing w:before="69"/>
              <w:ind w:right="303"/>
              <w:rPr>
                <w:i/>
                <w:sz w:val="18"/>
              </w:rPr>
            </w:pPr>
            <w:r w:rsidRPr="00501641">
              <w:rPr>
                <w:i/>
                <w:iCs/>
                <w:sz w:val="18"/>
              </w:rPr>
              <w:t xml:space="preserve">139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9 de </w:t>
            </w:r>
            <w:proofErr w:type="spellStart"/>
            <w:r w:rsidRPr="00501641">
              <w:rPr>
                <w:i/>
                <w:iCs/>
                <w:sz w:val="18"/>
              </w:rPr>
              <w:t>África</w:t>
            </w:r>
            <w:proofErr w:type="spellEnd"/>
            <w:r w:rsidRPr="00501641">
              <w:rPr>
                <w:i/>
                <w:iCs/>
                <w:sz w:val="18"/>
              </w:rPr>
              <w:t xml:space="preserve"> y 28 PEID</w:t>
            </w:r>
          </w:p>
        </w:tc>
        <w:tc>
          <w:tcPr>
            <w:tcW w:w="2778" w:type="dxa"/>
            <w:tcBorders>
              <w:right w:val="nil"/>
            </w:tcBorders>
          </w:tcPr>
          <w:p w14:paraId="5D4B1FA1" w14:textId="77777777" w:rsidR="00E50FFA" w:rsidRPr="00501641" w:rsidRDefault="00E50FFA" w:rsidP="0047242D">
            <w:pPr>
              <w:pStyle w:val="TableParagraph"/>
              <w:spacing w:before="69"/>
              <w:ind w:right="467"/>
              <w:rPr>
                <w:i/>
                <w:sz w:val="18"/>
              </w:rPr>
            </w:pPr>
            <w:r w:rsidRPr="00501641">
              <w:rPr>
                <w:i/>
                <w:iCs/>
                <w:sz w:val="18"/>
              </w:rPr>
              <w:t xml:space="preserve">142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12 de </w:t>
            </w:r>
            <w:proofErr w:type="spellStart"/>
            <w:r w:rsidRPr="00501641">
              <w:rPr>
                <w:i/>
                <w:iCs/>
                <w:sz w:val="18"/>
              </w:rPr>
              <w:t>África</w:t>
            </w:r>
            <w:proofErr w:type="spellEnd"/>
            <w:r w:rsidRPr="00501641">
              <w:rPr>
                <w:i/>
                <w:iCs/>
                <w:sz w:val="18"/>
              </w:rPr>
              <w:t xml:space="preserve"> y 29 PEID</w:t>
            </w:r>
          </w:p>
        </w:tc>
      </w:tr>
      <w:tr w:rsidR="00E50FFA" w:rsidRPr="00501641" w14:paraId="2ED5DD2F" w14:textId="77777777" w:rsidTr="0047242D">
        <w:trPr>
          <w:trHeight w:val="1446"/>
        </w:trPr>
        <w:tc>
          <w:tcPr>
            <w:tcW w:w="3855" w:type="dxa"/>
            <w:tcBorders>
              <w:left w:val="nil"/>
            </w:tcBorders>
          </w:tcPr>
          <w:p w14:paraId="4BB36EFD" w14:textId="77777777" w:rsidR="00E50FFA" w:rsidRPr="00501641" w:rsidRDefault="00E50FFA" w:rsidP="0047242D">
            <w:pPr>
              <w:pStyle w:val="TableParagraph"/>
              <w:spacing w:before="69"/>
              <w:ind w:left="347" w:right="117" w:hanging="227"/>
              <w:rPr>
                <w:sz w:val="18"/>
              </w:rPr>
            </w:pPr>
            <w:r w:rsidRPr="00501641">
              <w:rPr>
                <w:sz w:val="18"/>
              </w:rPr>
              <w:t xml:space="preserve">4. </w:t>
            </w:r>
            <w:proofErr w:type="spellStart"/>
            <w:r w:rsidRPr="00501641">
              <w:rPr>
                <w:sz w:val="18"/>
              </w:rPr>
              <w:t>Número</w:t>
            </w:r>
            <w:proofErr w:type="spellEnd"/>
            <w:r w:rsidRPr="00501641">
              <w:rPr>
                <w:sz w:val="18"/>
              </w:rPr>
              <w:t xml:space="preserve"> de </w:t>
            </w:r>
            <w:proofErr w:type="spellStart"/>
            <w:r w:rsidRPr="00501641">
              <w:rPr>
                <w:sz w:val="18"/>
              </w:rPr>
              <w:t>Estados</w:t>
            </w:r>
            <w:proofErr w:type="spellEnd"/>
            <w:r w:rsidRPr="00501641">
              <w:rPr>
                <w:sz w:val="18"/>
              </w:rPr>
              <w:t xml:space="preserve"> </w:t>
            </w:r>
            <w:proofErr w:type="spellStart"/>
            <w:r w:rsidRPr="00501641">
              <w:rPr>
                <w:sz w:val="18"/>
              </w:rPr>
              <w:t>Miembros</w:t>
            </w:r>
            <w:proofErr w:type="spellEnd"/>
            <w:r w:rsidRPr="00501641">
              <w:rPr>
                <w:sz w:val="18"/>
              </w:rPr>
              <w:t xml:space="preserve"> </w:t>
            </w:r>
            <w:proofErr w:type="spellStart"/>
            <w:r w:rsidRPr="00501641">
              <w:rPr>
                <w:sz w:val="18"/>
              </w:rPr>
              <w:t>beneficiarios</w:t>
            </w:r>
            <w:proofErr w:type="spellEnd"/>
            <w:r w:rsidRPr="00501641">
              <w:rPr>
                <w:sz w:val="18"/>
              </w:rPr>
              <w:t xml:space="preserve"> de </w:t>
            </w:r>
            <w:proofErr w:type="spellStart"/>
            <w:r w:rsidRPr="00501641">
              <w:rPr>
                <w:sz w:val="18"/>
              </w:rPr>
              <w:t>apoyo</w:t>
            </w:r>
            <w:proofErr w:type="spellEnd"/>
            <w:r w:rsidRPr="00501641">
              <w:rPr>
                <w:sz w:val="18"/>
              </w:rPr>
              <w:t xml:space="preserve"> que </w:t>
            </w:r>
            <w:proofErr w:type="spellStart"/>
            <w:r w:rsidRPr="00501641">
              <w:rPr>
                <w:sz w:val="18"/>
              </w:rPr>
              <w:t>aportan</w:t>
            </w:r>
            <w:proofErr w:type="spellEnd"/>
            <w:r w:rsidRPr="00501641">
              <w:rPr>
                <w:sz w:val="18"/>
              </w:rPr>
              <w:t xml:space="preserve"> </w:t>
            </w:r>
            <w:proofErr w:type="spellStart"/>
            <w:r w:rsidRPr="00501641">
              <w:rPr>
                <w:sz w:val="18"/>
              </w:rPr>
              <w:t>datos</w:t>
            </w:r>
            <w:proofErr w:type="spellEnd"/>
            <w:r w:rsidRPr="00501641">
              <w:rPr>
                <w:sz w:val="18"/>
              </w:rPr>
              <w:t xml:space="preserve"> e </w:t>
            </w:r>
            <w:proofErr w:type="spellStart"/>
            <w:r w:rsidRPr="00501641">
              <w:rPr>
                <w:sz w:val="18"/>
              </w:rPr>
              <w:t>información</w:t>
            </w:r>
            <w:proofErr w:type="spellEnd"/>
            <w:r w:rsidRPr="00501641">
              <w:rPr>
                <w:sz w:val="18"/>
              </w:rPr>
              <w:t xml:space="preserve"> para </w:t>
            </w:r>
            <w:proofErr w:type="spellStart"/>
            <w:r w:rsidRPr="00501641">
              <w:rPr>
                <w:sz w:val="18"/>
              </w:rPr>
              <w:t>las</w:t>
            </w:r>
            <w:proofErr w:type="spellEnd"/>
            <w:r w:rsidRPr="00501641">
              <w:rPr>
                <w:sz w:val="18"/>
              </w:rPr>
              <w:t xml:space="preserve"> </w:t>
            </w:r>
            <w:proofErr w:type="spellStart"/>
            <w:r w:rsidRPr="00501641">
              <w:rPr>
                <w:sz w:val="18"/>
              </w:rPr>
              <w:t>evaluaciones</w:t>
            </w:r>
            <w:proofErr w:type="spellEnd"/>
            <w:r w:rsidRPr="00501641">
              <w:rPr>
                <w:sz w:val="18"/>
              </w:rPr>
              <w:t xml:space="preserve">, las bases de </w:t>
            </w:r>
            <w:proofErr w:type="spellStart"/>
            <w:r w:rsidRPr="00501641">
              <w:rPr>
                <w:sz w:val="18"/>
              </w:rPr>
              <w:t>datos</w:t>
            </w:r>
            <w:proofErr w:type="spellEnd"/>
            <w:r w:rsidRPr="00501641">
              <w:rPr>
                <w:sz w:val="18"/>
              </w:rPr>
              <w:t xml:space="preserve"> </w:t>
            </w:r>
            <w:proofErr w:type="spellStart"/>
            <w:r w:rsidRPr="00501641">
              <w:rPr>
                <w:sz w:val="18"/>
              </w:rPr>
              <w:t>mundiales</w:t>
            </w:r>
            <w:proofErr w:type="spellEnd"/>
            <w:r w:rsidRPr="00501641">
              <w:rPr>
                <w:sz w:val="18"/>
              </w:rPr>
              <w:t xml:space="preserve"> y la </w:t>
            </w:r>
            <w:proofErr w:type="spellStart"/>
            <w:r w:rsidRPr="00501641">
              <w:rPr>
                <w:sz w:val="18"/>
              </w:rPr>
              <w:t>interfaz</w:t>
            </w:r>
            <w:proofErr w:type="spellEnd"/>
            <w:r w:rsidRPr="00501641">
              <w:rPr>
                <w:sz w:val="18"/>
              </w:rPr>
              <w:t xml:space="preserve"> </w:t>
            </w:r>
            <w:proofErr w:type="spellStart"/>
            <w:r w:rsidRPr="00501641">
              <w:rPr>
                <w:sz w:val="18"/>
              </w:rPr>
              <w:t>ciencia-política</w:t>
            </w:r>
            <w:proofErr w:type="spellEnd"/>
            <w:r w:rsidRPr="00501641">
              <w:rPr>
                <w:sz w:val="18"/>
              </w:rPr>
              <w:t xml:space="preserve"> que </w:t>
            </w:r>
            <w:proofErr w:type="spellStart"/>
            <w:r w:rsidRPr="00501641">
              <w:rPr>
                <w:sz w:val="18"/>
              </w:rPr>
              <w:t>contribuyen</w:t>
            </w:r>
            <w:proofErr w:type="spellEnd"/>
            <w:r w:rsidRPr="00501641">
              <w:rPr>
                <w:sz w:val="18"/>
              </w:rPr>
              <w:t xml:space="preserve"> a la </w:t>
            </w:r>
            <w:proofErr w:type="spellStart"/>
            <w:r w:rsidRPr="00501641">
              <w:rPr>
                <w:sz w:val="18"/>
              </w:rPr>
              <w:t>gestión</w:t>
            </w:r>
            <w:proofErr w:type="spellEnd"/>
            <w:r w:rsidRPr="00501641">
              <w:rPr>
                <w:sz w:val="18"/>
              </w:rPr>
              <w:t xml:space="preserve"> </w:t>
            </w:r>
            <w:proofErr w:type="spellStart"/>
            <w:r w:rsidRPr="00501641">
              <w:rPr>
                <w:sz w:val="18"/>
              </w:rPr>
              <w:t>sostenible</w:t>
            </w:r>
            <w:proofErr w:type="spellEnd"/>
            <w:r w:rsidRPr="00501641">
              <w:rPr>
                <w:sz w:val="18"/>
              </w:rPr>
              <w:t xml:space="preserve"> del </w:t>
            </w:r>
            <w:proofErr w:type="spellStart"/>
            <w:r w:rsidRPr="00501641">
              <w:rPr>
                <w:sz w:val="18"/>
              </w:rPr>
              <w:t>océano</w:t>
            </w:r>
            <w:proofErr w:type="spellEnd"/>
            <w:r w:rsidRPr="00501641">
              <w:rPr>
                <w:sz w:val="18"/>
              </w:rPr>
              <w:t xml:space="preserve"> </w:t>
            </w:r>
            <w:proofErr w:type="gramStart"/>
            <w:r w:rsidRPr="00501641">
              <w:rPr>
                <w:sz w:val="18"/>
              </w:rPr>
              <w:t>y</w:t>
            </w:r>
            <w:proofErr w:type="gramEnd"/>
            <w:r w:rsidRPr="00501641">
              <w:rPr>
                <w:sz w:val="18"/>
              </w:rPr>
              <w:t xml:space="preserve"> la toma de </w:t>
            </w:r>
            <w:proofErr w:type="spellStart"/>
            <w:r w:rsidRPr="00501641">
              <w:rPr>
                <w:sz w:val="18"/>
              </w:rPr>
              <w:t>decisiones</w:t>
            </w:r>
            <w:proofErr w:type="spellEnd"/>
          </w:p>
        </w:tc>
        <w:tc>
          <w:tcPr>
            <w:tcW w:w="3024" w:type="dxa"/>
          </w:tcPr>
          <w:p w14:paraId="3DB5BFF8" w14:textId="77777777" w:rsidR="00E50FFA" w:rsidRPr="00501641" w:rsidRDefault="00E50FFA" w:rsidP="0047242D">
            <w:pPr>
              <w:pStyle w:val="TableParagraph"/>
              <w:spacing w:before="69"/>
              <w:ind w:right="379"/>
              <w:rPr>
                <w:i/>
                <w:sz w:val="18"/>
              </w:rPr>
            </w:pPr>
            <w:r w:rsidRPr="00501641">
              <w:rPr>
                <w:i/>
                <w:iCs/>
                <w:sz w:val="18"/>
              </w:rPr>
              <w:t xml:space="preserve">50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8 de </w:t>
            </w:r>
            <w:proofErr w:type="spellStart"/>
            <w:r w:rsidRPr="00501641">
              <w:rPr>
                <w:i/>
                <w:iCs/>
                <w:sz w:val="18"/>
              </w:rPr>
              <w:t>África</w:t>
            </w:r>
            <w:proofErr w:type="spellEnd"/>
            <w:r w:rsidRPr="00501641">
              <w:rPr>
                <w:i/>
                <w:iCs/>
                <w:sz w:val="18"/>
              </w:rPr>
              <w:t xml:space="preserve"> y 5 PEID, </w:t>
            </w:r>
            <w:proofErr w:type="spellStart"/>
            <w:r w:rsidRPr="00501641">
              <w:rPr>
                <w:i/>
                <w:iCs/>
                <w:sz w:val="18"/>
              </w:rPr>
              <w:t>aportan</w:t>
            </w:r>
            <w:proofErr w:type="spellEnd"/>
            <w:r w:rsidRPr="00501641">
              <w:rPr>
                <w:i/>
                <w:iCs/>
                <w:sz w:val="18"/>
              </w:rPr>
              <w:t xml:space="preserve"> </w:t>
            </w:r>
            <w:proofErr w:type="spellStart"/>
            <w:r w:rsidRPr="00501641">
              <w:rPr>
                <w:i/>
                <w:iCs/>
                <w:sz w:val="18"/>
              </w:rPr>
              <w:t>datos</w:t>
            </w:r>
            <w:proofErr w:type="spellEnd"/>
            <w:r w:rsidRPr="00501641">
              <w:rPr>
                <w:i/>
                <w:iCs/>
                <w:sz w:val="18"/>
              </w:rPr>
              <w:t xml:space="preserve"> a </w:t>
            </w:r>
            <w:proofErr w:type="spellStart"/>
            <w:r w:rsidRPr="00501641">
              <w:rPr>
                <w:i/>
                <w:iCs/>
                <w:sz w:val="18"/>
              </w:rPr>
              <w:t>través</w:t>
            </w:r>
            <w:proofErr w:type="spellEnd"/>
            <w:r w:rsidRPr="00501641">
              <w:rPr>
                <w:i/>
                <w:iCs/>
                <w:sz w:val="18"/>
              </w:rPr>
              <w:t xml:space="preserve"> del </w:t>
            </w:r>
            <w:proofErr w:type="spellStart"/>
            <w:r w:rsidRPr="00501641">
              <w:rPr>
                <w:i/>
                <w:iCs/>
                <w:sz w:val="18"/>
              </w:rPr>
              <w:t>Mapa</w:t>
            </w:r>
            <w:proofErr w:type="spellEnd"/>
            <w:r w:rsidRPr="00501641">
              <w:rPr>
                <w:i/>
                <w:iCs/>
                <w:sz w:val="18"/>
              </w:rPr>
              <w:t xml:space="preserve"> </w:t>
            </w:r>
            <w:proofErr w:type="spellStart"/>
            <w:r w:rsidRPr="00501641">
              <w:rPr>
                <w:i/>
                <w:iCs/>
                <w:sz w:val="18"/>
              </w:rPr>
              <w:t>Batimétrico</w:t>
            </w:r>
            <w:proofErr w:type="spellEnd"/>
            <w:r w:rsidRPr="00501641">
              <w:rPr>
                <w:i/>
                <w:iCs/>
                <w:sz w:val="18"/>
              </w:rPr>
              <w:t xml:space="preserve"> General de los </w:t>
            </w:r>
            <w:proofErr w:type="spellStart"/>
            <w:r w:rsidRPr="00501641">
              <w:rPr>
                <w:i/>
                <w:iCs/>
                <w:sz w:val="18"/>
              </w:rPr>
              <w:t>Océanos</w:t>
            </w:r>
            <w:proofErr w:type="spellEnd"/>
            <w:r w:rsidRPr="00501641">
              <w:rPr>
                <w:i/>
                <w:iCs/>
                <w:sz w:val="18"/>
              </w:rPr>
              <w:t xml:space="preserve"> (GEBCO), el</w:t>
            </w:r>
          </w:p>
          <w:p w14:paraId="009261B1" w14:textId="77777777" w:rsidR="00E50FFA" w:rsidRPr="00501641" w:rsidRDefault="00E50FFA" w:rsidP="0047242D">
            <w:pPr>
              <w:pStyle w:val="TableParagraph"/>
              <w:spacing w:before="1"/>
              <w:rPr>
                <w:i/>
                <w:sz w:val="18"/>
              </w:rPr>
            </w:pPr>
            <w:proofErr w:type="spellStart"/>
            <w:proofErr w:type="gramStart"/>
            <w:r w:rsidRPr="00501641">
              <w:rPr>
                <w:i/>
                <w:iCs/>
                <w:sz w:val="18"/>
              </w:rPr>
              <w:t>seguimiento</w:t>
            </w:r>
            <w:proofErr w:type="spellEnd"/>
            <w:proofErr w:type="gramEnd"/>
            <w:r w:rsidRPr="00501641">
              <w:rPr>
                <w:i/>
                <w:iCs/>
                <w:sz w:val="18"/>
              </w:rPr>
              <w:t xml:space="preserve"> de los ODS y la </w:t>
            </w:r>
            <w:proofErr w:type="spellStart"/>
            <w:r w:rsidRPr="00501641">
              <w:rPr>
                <w:i/>
                <w:iCs/>
                <w:sz w:val="18"/>
              </w:rPr>
              <w:t>Evaluación</w:t>
            </w:r>
            <w:proofErr w:type="spellEnd"/>
            <w:r w:rsidRPr="00501641">
              <w:rPr>
                <w:i/>
                <w:iCs/>
                <w:sz w:val="18"/>
              </w:rPr>
              <w:t xml:space="preserve"> </w:t>
            </w:r>
            <w:proofErr w:type="spellStart"/>
            <w:r w:rsidRPr="00501641">
              <w:rPr>
                <w:i/>
                <w:iCs/>
                <w:sz w:val="18"/>
              </w:rPr>
              <w:t>Mundial</w:t>
            </w:r>
            <w:proofErr w:type="spellEnd"/>
            <w:r w:rsidRPr="00501641">
              <w:rPr>
                <w:i/>
                <w:iCs/>
                <w:sz w:val="18"/>
              </w:rPr>
              <w:t xml:space="preserve"> de los </w:t>
            </w:r>
            <w:proofErr w:type="spellStart"/>
            <w:r w:rsidRPr="00501641">
              <w:rPr>
                <w:i/>
                <w:iCs/>
                <w:sz w:val="18"/>
              </w:rPr>
              <w:t>Océanos</w:t>
            </w:r>
            <w:proofErr w:type="spellEnd"/>
          </w:p>
        </w:tc>
        <w:tc>
          <w:tcPr>
            <w:tcW w:w="2778" w:type="dxa"/>
            <w:tcBorders>
              <w:right w:val="nil"/>
            </w:tcBorders>
          </w:tcPr>
          <w:p w14:paraId="0ABA798D" w14:textId="77777777" w:rsidR="00E50FFA" w:rsidRPr="00501641" w:rsidRDefault="00E50FFA" w:rsidP="0047242D">
            <w:pPr>
              <w:pStyle w:val="TableParagraph"/>
              <w:spacing w:before="69"/>
              <w:ind w:right="61"/>
              <w:rPr>
                <w:i/>
                <w:sz w:val="18"/>
              </w:rPr>
            </w:pPr>
            <w:r w:rsidRPr="00501641">
              <w:rPr>
                <w:i/>
                <w:iCs/>
                <w:sz w:val="18"/>
              </w:rPr>
              <w:t xml:space="preserve">70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10 de </w:t>
            </w:r>
            <w:proofErr w:type="spellStart"/>
            <w:r w:rsidRPr="00501641">
              <w:rPr>
                <w:i/>
                <w:iCs/>
                <w:sz w:val="18"/>
              </w:rPr>
              <w:t>África</w:t>
            </w:r>
            <w:proofErr w:type="spellEnd"/>
            <w:r w:rsidRPr="00501641">
              <w:rPr>
                <w:i/>
                <w:iCs/>
                <w:sz w:val="18"/>
              </w:rPr>
              <w:t xml:space="preserve"> y 8 PEID</w:t>
            </w:r>
          </w:p>
        </w:tc>
      </w:tr>
      <w:tr w:rsidR="00E50FFA" w:rsidRPr="00501641" w14:paraId="692B6CE7" w14:textId="77777777" w:rsidTr="0047242D">
        <w:trPr>
          <w:trHeight w:val="1695"/>
        </w:trPr>
        <w:tc>
          <w:tcPr>
            <w:tcW w:w="3855" w:type="dxa"/>
            <w:tcBorders>
              <w:left w:val="nil"/>
            </w:tcBorders>
          </w:tcPr>
          <w:p w14:paraId="5D931393" w14:textId="77777777" w:rsidR="00E50FFA" w:rsidRPr="00501641" w:rsidRDefault="00E50FFA" w:rsidP="0047242D">
            <w:pPr>
              <w:pStyle w:val="TableParagraph"/>
              <w:spacing w:before="69"/>
              <w:ind w:left="347" w:right="238" w:hanging="227"/>
              <w:rPr>
                <w:sz w:val="18"/>
              </w:rPr>
            </w:pPr>
            <w:r w:rsidRPr="00501641">
              <w:rPr>
                <w:sz w:val="18"/>
              </w:rPr>
              <w:lastRenderedPageBreak/>
              <w:t xml:space="preserve">5. </w:t>
            </w:r>
            <w:proofErr w:type="spellStart"/>
            <w:r w:rsidRPr="00501641">
              <w:rPr>
                <w:sz w:val="18"/>
              </w:rPr>
              <w:t>Número</w:t>
            </w:r>
            <w:proofErr w:type="spellEnd"/>
            <w:r w:rsidRPr="00501641">
              <w:rPr>
                <w:sz w:val="18"/>
              </w:rPr>
              <w:t xml:space="preserve"> de </w:t>
            </w:r>
            <w:proofErr w:type="spellStart"/>
            <w:r w:rsidRPr="00501641">
              <w:rPr>
                <w:sz w:val="18"/>
              </w:rPr>
              <w:t>Estados</w:t>
            </w:r>
            <w:proofErr w:type="spellEnd"/>
            <w:r w:rsidRPr="00501641">
              <w:rPr>
                <w:sz w:val="18"/>
              </w:rPr>
              <w:t xml:space="preserve"> </w:t>
            </w:r>
            <w:proofErr w:type="spellStart"/>
            <w:r w:rsidRPr="00501641">
              <w:rPr>
                <w:sz w:val="18"/>
              </w:rPr>
              <w:t>Miembros</w:t>
            </w:r>
            <w:proofErr w:type="spellEnd"/>
            <w:r w:rsidRPr="00501641">
              <w:rPr>
                <w:sz w:val="18"/>
              </w:rPr>
              <w:t xml:space="preserve"> que han </w:t>
            </w:r>
            <w:proofErr w:type="spellStart"/>
            <w:r w:rsidRPr="00501641">
              <w:rPr>
                <w:sz w:val="18"/>
              </w:rPr>
              <w:t>recibido</w:t>
            </w:r>
            <w:proofErr w:type="spellEnd"/>
            <w:r w:rsidRPr="00501641">
              <w:rPr>
                <w:sz w:val="18"/>
              </w:rPr>
              <w:t xml:space="preserve"> </w:t>
            </w:r>
            <w:proofErr w:type="spellStart"/>
            <w:r w:rsidRPr="00501641">
              <w:rPr>
                <w:sz w:val="18"/>
              </w:rPr>
              <w:t>apoyo</w:t>
            </w:r>
            <w:proofErr w:type="spellEnd"/>
            <w:r w:rsidRPr="00501641">
              <w:rPr>
                <w:sz w:val="18"/>
              </w:rPr>
              <w:t xml:space="preserve"> para la </w:t>
            </w:r>
            <w:proofErr w:type="spellStart"/>
            <w:r w:rsidRPr="00501641">
              <w:rPr>
                <w:sz w:val="18"/>
              </w:rPr>
              <w:t>aplicación</w:t>
            </w:r>
            <w:proofErr w:type="spellEnd"/>
            <w:r w:rsidRPr="00501641">
              <w:rPr>
                <w:sz w:val="18"/>
              </w:rPr>
              <w:t xml:space="preserve"> de planes de </w:t>
            </w:r>
            <w:proofErr w:type="spellStart"/>
            <w:r w:rsidRPr="00501641">
              <w:rPr>
                <w:sz w:val="18"/>
              </w:rPr>
              <w:t>gestión</w:t>
            </w:r>
            <w:proofErr w:type="spellEnd"/>
            <w:r w:rsidRPr="00501641">
              <w:rPr>
                <w:sz w:val="18"/>
              </w:rPr>
              <w:t xml:space="preserve"> del </w:t>
            </w:r>
            <w:proofErr w:type="spellStart"/>
            <w:r w:rsidRPr="00501641">
              <w:rPr>
                <w:sz w:val="18"/>
              </w:rPr>
              <w:t>océano</w:t>
            </w:r>
            <w:proofErr w:type="spellEnd"/>
            <w:r w:rsidRPr="00501641">
              <w:rPr>
                <w:sz w:val="18"/>
              </w:rPr>
              <w:t xml:space="preserve"> </w:t>
            </w:r>
            <w:proofErr w:type="spellStart"/>
            <w:r w:rsidRPr="00501641">
              <w:rPr>
                <w:sz w:val="18"/>
              </w:rPr>
              <w:t>basados</w:t>
            </w:r>
            <w:proofErr w:type="spellEnd"/>
            <w:r w:rsidRPr="00501641">
              <w:rPr>
                <w:sz w:val="18"/>
              </w:rPr>
              <w:t xml:space="preserve"> en la </w:t>
            </w:r>
            <w:proofErr w:type="spellStart"/>
            <w:r w:rsidRPr="00501641">
              <w:rPr>
                <w:sz w:val="18"/>
              </w:rPr>
              <w:t>ciencia</w:t>
            </w:r>
            <w:proofErr w:type="spellEnd"/>
            <w:r w:rsidRPr="00501641">
              <w:rPr>
                <w:sz w:val="18"/>
              </w:rPr>
              <w:t xml:space="preserve"> y </w:t>
            </w:r>
            <w:proofErr w:type="spellStart"/>
            <w:r w:rsidRPr="00501641">
              <w:rPr>
                <w:sz w:val="18"/>
              </w:rPr>
              <w:t>soluciones</w:t>
            </w:r>
            <w:proofErr w:type="spellEnd"/>
            <w:r w:rsidRPr="00501641">
              <w:rPr>
                <w:sz w:val="18"/>
              </w:rPr>
              <w:t xml:space="preserve"> </w:t>
            </w:r>
            <w:proofErr w:type="spellStart"/>
            <w:r w:rsidRPr="00501641">
              <w:rPr>
                <w:sz w:val="18"/>
              </w:rPr>
              <w:t>transformadoras</w:t>
            </w:r>
            <w:proofErr w:type="spellEnd"/>
            <w:r w:rsidRPr="00501641">
              <w:rPr>
                <w:sz w:val="18"/>
              </w:rPr>
              <w:t xml:space="preserve"> para el </w:t>
            </w:r>
            <w:proofErr w:type="spellStart"/>
            <w:r w:rsidRPr="00501641">
              <w:rPr>
                <w:sz w:val="18"/>
              </w:rPr>
              <w:t>desarrollo</w:t>
            </w:r>
            <w:proofErr w:type="spellEnd"/>
            <w:r w:rsidRPr="00501641">
              <w:rPr>
                <w:sz w:val="18"/>
              </w:rPr>
              <w:t xml:space="preserve"> </w:t>
            </w:r>
            <w:proofErr w:type="spellStart"/>
            <w:r w:rsidRPr="00501641">
              <w:rPr>
                <w:sz w:val="18"/>
              </w:rPr>
              <w:t>sostenible</w:t>
            </w:r>
            <w:proofErr w:type="spellEnd"/>
          </w:p>
        </w:tc>
        <w:tc>
          <w:tcPr>
            <w:tcW w:w="3024" w:type="dxa"/>
          </w:tcPr>
          <w:p w14:paraId="6E62D923" w14:textId="77777777" w:rsidR="00E50FFA" w:rsidRPr="00501641" w:rsidRDefault="00E50FFA" w:rsidP="00714BDA">
            <w:pPr>
              <w:pStyle w:val="TableParagraph"/>
              <w:numPr>
                <w:ilvl w:val="0"/>
                <w:numId w:val="8"/>
              </w:numPr>
              <w:tabs>
                <w:tab w:val="left" w:pos="242"/>
              </w:tabs>
              <w:spacing w:before="69"/>
              <w:ind w:right="266" w:firstLine="0"/>
              <w:rPr>
                <w:i/>
                <w:sz w:val="18"/>
              </w:rPr>
            </w:pPr>
            <w:r w:rsidRPr="00501641">
              <w:rPr>
                <w:i/>
                <w:iCs/>
                <w:sz w:val="18"/>
              </w:rPr>
              <w:t xml:space="preserve">53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11 de </w:t>
            </w:r>
            <w:proofErr w:type="spellStart"/>
            <w:r w:rsidRPr="00501641">
              <w:rPr>
                <w:i/>
                <w:iCs/>
                <w:sz w:val="18"/>
              </w:rPr>
              <w:t>África</w:t>
            </w:r>
            <w:proofErr w:type="spellEnd"/>
            <w:r w:rsidRPr="00501641">
              <w:rPr>
                <w:i/>
                <w:iCs/>
                <w:sz w:val="18"/>
              </w:rPr>
              <w:t xml:space="preserve"> y 7 PEID, </w:t>
            </w:r>
            <w:proofErr w:type="spellStart"/>
            <w:r w:rsidRPr="00501641">
              <w:rPr>
                <w:i/>
                <w:iCs/>
                <w:sz w:val="18"/>
              </w:rPr>
              <w:t>colaboran</w:t>
            </w:r>
            <w:proofErr w:type="spellEnd"/>
            <w:r w:rsidRPr="00501641">
              <w:rPr>
                <w:i/>
                <w:iCs/>
                <w:sz w:val="18"/>
              </w:rPr>
              <w:t xml:space="preserve"> a </w:t>
            </w:r>
            <w:proofErr w:type="spellStart"/>
            <w:r w:rsidRPr="00501641">
              <w:rPr>
                <w:i/>
                <w:iCs/>
                <w:sz w:val="18"/>
              </w:rPr>
              <w:t>través</w:t>
            </w:r>
            <w:proofErr w:type="spellEnd"/>
            <w:r w:rsidRPr="00501641">
              <w:rPr>
                <w:i/>
                <w:iCs/>
                <w:sz w:val="18"/>
              </w:rPr>
              <w:t xml:space="preserve"> del </w:t>
            </w:r>
            <w:proofErr w:type="spellStart"/>
            <w:r w:rsidRPr="00501641">
              <w:rPr>
                <w:i/>
                <w:iCs/>
                <w:sz w:val="18"/>
              </w:rPr>
              <w:t>mecanismo</w:t>
            </w:r>
            <w:proofErr w:type="spellEnd"/>
            <w:r w:rsidRPr="00501641">
              <w:rPr>
                <w:i/>
                <w:iCs/>
                <w:sz w:val="18"/>
              </w:rPr>
              <w:t xml:space="preserve"> del Decenio</w:t>
            </w:r>
          </w:p>
          <w:p w14:paraId="6130F711" w14:textId="77777777" w:rsidR="00E50FFA" w:rsidRPr="00501641" w:rsidRDefault="00E50FFA" w:rsidP="00714BDA">
            <w:pPr>
              <w:pStyle w:val="TableParagraph"/>
              <w:numPr>
                <w:ilvl w:val="0"/>
                <w:numId w:val="8"/>
              </w:numPr>
              <w:tabs>
                <w:tab w:val="left" w:pos="284"/>
              </w:tabs>
              <w:spacing w:before="29"/>
              <w:ind w:right="156" w:firstLine="0"/>
              <w:rPr>
                <w:i/>
                <w:sz w:val="18"/>
              </w:rPr>
            </w:pPr>
            <w:r w:rsidRPr="00501641">
              <w:rPr>
                <w:i/>
                <w:iCs/>
                <w:sz w:val="18"/>
              </w:rPr>
              <w:t xml:space="preserve">80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13 de </w:t>
            </w:r>
            <w:proofErr w:type="spellStart"/>
            <w:r w:rsidRPr="00501641">
              <w:rPr>
                <w:i/>
                <w:iCs/>
                <w:sz w:val="18"/>
              </w:rPr>
              <w:t>África</w:t>
            </w:r>
            <w:proofErr w:type="spellEnd"/>
            <w:r w:rsidRPr="00501641">
              <w:rPr>
                <w:i/>
                <w:iCs/>
                <w:sz w:val="18"/>
              </w:rPr>
              <w:t xml:space="preserve"> y 10 PEID, </w:t>
            </w:r>
            <w:proofErr w:type="spellStart"/>
            <w:r w:rsidRPr="00501641">
              <w:rPr>
                <w:i/>
                <w:iCs/>
                <w:sz w:val="18"/>
              </w:rPr>
              <w:t>participan</w:t>
            </w:r>
            <w:proofErr w:type="spellEnd"/>
            <w:r w:rsidRPr="00501641">
              <w:rPr>
                <w:i/>
                <w:iCs/>
                <w:sz w:val="18"/>
              </w:rPr>
              <w:t xml:space="preserve"> en la </w:t>
            </w:r>
            <w:proofErr w:type="spellStart"/>
            <w:r w:rsidRPr="00501641">
              <w:rPr>
                <w:i/>
                <w:iCs/>
                <w:sz w:val="18"/>
              </w:rPr>
              <w:t>aplicación</w:t>
            </w:r>
            <w:proofErr w:type="spellEnd"/>
            <w:r w:rsidRPr="00501641">
              <w:rPr>
                <w:i/>
                <w:iCs/>
                <w:sz w:val="18"/>
              </w:rPr>
              <w:t xml:space="preserve"> de la </w:t>
            </w:r>
            <w:proofErr w:type="spellStart"/>
            <w:r w:rsidRPr="00501641">
              <w:rPr>
                <w:i/>
                <w:iCs/>
                <w:sz w:val="18"/>
              </w:rPr>
              <w:t>hoja</w:t>
            </w:r>
            <w:proofErr w:type="spellEnd"/>
            <w:r w:rsidRPr="00501641">
              <w:rPr>
                <w:i/>
                <w:iCs/>
                <w:sz w:val="18"/>
              </w:rPr>
              <w:t xml:space="preserve"> de </w:t>
            </w:r>
            <w:proofErr w:type="spellStart"/>
            <w:r w:rsidRPr="00501641">
              <w:rPr>
                <w:i/>
                <w:iCs/>
                <w:sz w:val="18"/>
              </w:rPr>
              <w:t>ruta</w:t>
            </w:r>
            <w:proofErr w:type="spellEnd"/>
            <w:r w:rsidRPr="00501641">
              <w:rPr>
                <w:i/>
                <w:iCs/>
                <w:sz w:val="18"/>
              </w:rPr>
              <w:t xml:space="preserve"> para la </w:t>
            </w:r>
            <w:proofErr w:type="spellStart"/>
            <w:r w:rsidRPr="00501641">
              <w:rPr>
                <w:i/>
                <w:iCs/>
                <w:sz w:val="18"/>
              </w:rPr>
              <w:t>planificación</w:t>
            </w:r>
            <w:proofErr w:type="spellEnd"/>
            <w:r w:rsidRPr="00501641">
              <w:rPr>
                <w:i/>
                <w:iCs/>
                <w:sz w:val="18"/>
              </w:rPr>
              <w:t xml:space="preserve"> </w:t>
            </w:r>
            <w:proofErr w:type="spellStart"/>
            <w:r w:rsidRPr="00501641">
              <w:rPr>
                <w:i/>
                <w:iCs/>
                <w:sz w:val="18"/>
              </w:rPr>
              <w:t>espacial</w:t>
            </w:r>
            <w:proofErr w:type="spellEnd"/>
            <w:r w:rsidRPr="00501641">
              <w:rPr>
                <w:i/>
                <w:iCs/>
                <w:sz w:val="18"/>
              </w:rPr>
              <w:t xml:space="preserve"> marina</w:t>
            </w:r>
          </w:p>
        </w:tc>
        <w:tc>
          <w:tcPr>
            <w:tcW w:w="2778" w:type="dxa"/>
            <w:tcBorders>
              <w:right w:val="nil"/>
            </w:tcBorders>
          </w:tcPr>
          <w:p w14:paraId="2E8341FC" w14:textId="77777777" w:rsidR="00E50FFA" w:rsidRPr="00501641" w:rsidRDefault="00E50FFA" w:rsidP="00714BDA">
            <w:pPr>
              <w:pStyle w:val="TableParagraph"/>
              <w:numPr>
                <w:ilvl w:val="0"/>
                <w:numId w:val="7"/>
              </w:numPr>
              <w:tabs>
                <w:tab w:val="left" w:pos="242"/>
              </w:tabs>
              <w:spacing w:before="69"/>
              <w:ind w:right="517" w:firstLine="0"/>
              <w:rPr>
                <w:i/>
                <w:sz w:val="18"/>
              </w:rPr>
            </w:pPr>
            <w:r w:rsidRPr="00501641">
              <w:rPr>
                <w:i/>
                <w:iCs/>
                <w:sz w:val="18"/>
              </w:rPr>
              <w:t xml:space="preserve">80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15 de </w:t>
            </w:r>
            <w:proofErr w:type="spellStart"/>
            <w:r w:rsidRPr="00501641">
              <w:rPr>
                <w:i/>
                <w:iCs/>
                <w:sz w:val="18"/>
              </w:rPr>
              <w:t>África</w:t>
            </w:r>
            <w:proofErr w:type="spellEnd"/>
            <w:r w:rsidRPr="00501641">
              <w:rPr>
                <w:i/>
                <w:iCs/>
                <w:sz w:val="18"/>
              </w:rPr>
              <w:t xml:space="preserve"> y 10 PEID</w:t>
            </w:r>
          </w:p>
          <w:p w14:paraId="7C872F38" w14:textId="77777777" w:rsidR="00E50FFA" w:rsidRPr="00501641" w:rsidRDefault="00E50FFA" w:rsidP="00714BDA">
            <w:pPr>
              <w:pStyle w:val="TableParagraph"/>
              <w:numPr>
                <w:ilvl w:val="0"/>
                <w:numId w:val="7"/>
              </w:numPr>
              <w:tabs>
                <w:tab w:val="left" w:pos="284"/>
              </w:tabs>
              <w:spacing w:before="28"/>
              <w:ind w:right="388" w:firstLine="0"/>
              <w:rPr>
                <w:i/>
                <w:sz w:val="18"/>
              </w:rPr>
            </w:pPr>
            <w:r w:rsidRPr="00501641">
              <w:rPr>
                <w:i/>
                <w:iCs/>
                <w:sz w:val="18"/>
              </w:rPr>
              <w:t xml:space="preserve">100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16 de </w:t>
            </w:r>
            <w:proofErr w:type="spellStart"/>
            <w:r w:rsidRPr="00501641">
              <w:rPr>
                <w:i/>
                <w:iCs/>
                <w:sz w:val="18"/>
              </w:rPr>
              <w:t>África</w:t>
            </w:r>
            <w:proofErr w:type="spellEnd"/>
            <w:r w:rsidRPr="00501641">
              <w:rPr>
                <w:i/>
                <w:iCs/>
                <w:sz w:val="18"/>
              </w:rPr>
              <w:t xml:space="preserve"> y 14 PEID</w:t>
            </w:r>
          </w:p>
        </w:tc>
      </w:tr>
      <w:tr w:rsidR="00E50FFA" w:rsidRPr="00501641" w14:paraId="24BAEEA0" w14:textId="77777777" w:rsidTr="0047242D">
        <w:trPr>
          <w:trHeight w:val="1695"/>
        </w:trPr>
        <w:tc>
          <w:tcPr>
            <w:tcW w:w="3855" w:type="dxa"/>
            <w:tcBorders>
              <w:top w:val="single" w:sz="6" w:space="0" w:color="A1DAF8"/>
              <w:left w:val="nil"/>
              <w:bottom w:val="single" w:sz="6" w:space="0" w:color="A1DAF8"/>
              <w:right w:val="single" w:sz="6" w:space="0" w:color="A1DAF8"/>
            </w:tcBorders>
          </w:tcPr>
          <w:p w14:paraId="41FDD9F8" w14:textId="77777777" w:rsidR="00E50FFA" w:rsidRPr="00501641" w:rsidRDefault="00E50FFA" w:rsidP="0047242D">
            <w:pPr>
              <w:pStyle w:val="TableParagraph"/>
              <w:spacing w:before="69"/>
              <w:ind w:left="347" w:right="238" w:hanging="227"/>
              <w:rPr>
                <w:sz w:val="18"/>
              </w:rPr>
            </w:pPr>
            <w:r w:rsidRPr="00501641">
              <w:rPr>
                <w:sz w:val="18"/>
              </w:rPr>
              <w:t xml:space="preserve">6. </w:t>
            </w:r>
            <w:proofErr w:type="spellStart"/>
            <w:r w:rsidRPr="00501641">
              <w:rPr>
                <w:sz w:val="18"/>
              </w:rPr>
              <w:t>Número</w:t>
            </w:r>
            <w:proofErr w:type="spellEnd"/>
            <w:r w:rsidRPr="00501641">
              <w:rPr>
                <w:sz w:val="18"/>
              </w:rPr>
              <w:t xml:space="preserve"> de </w:t>
            </w:r>
            <w:proofErr w:type="spellStart"/>
            <w:r w:rsidRPr="00501641">
              <w:rPr>
                <w:sz w:val="18"/>
              </w:rPr>
              <w:t>Estados</w:t>
            </w:r>
            <w:proofErr w:type="spellEnd"/>
            <w:r w:rsidRPr="00501641">
              <w:rPr>
                <w:sz w:val="18"/>
              </w:rPr>
              <w:t xml:space="preserve"> </w:t>
            </w:r>
            <w:proofErr w:type="spellStart"/>
            <w:r w:rsidRPr="00501641">
              <w:rPr>
                <w:sz w:val="18"/>
              </w:rPr>
              <w:t>Miembros</w:t>
            </w:r>
            <w:proofErr w:type="spellEnd"/>
            <w:r w:rsidRPr="00501641">
              <w:rPr>
                <w:sz w:val="18"/>
              </w:rPr>
              <w:t xml:space="preserve"> que han </w:t>
            </w:r>
            <w:proofErr w:type="spellStart"/>
            <w:r w:rsidRPr="00501641">
              <w:rPr>
                <w:sz w:val="18"/>
              </w:rPr>
              <w:t>recibido</w:t>
            </w:r>
            <w:proofErr w:type="spellEnd"/>
            <w:r w:rsidRPr="00501641">
              <w:rPr>
                <w:sz w:val="18"/>
              </w:rPr>
              <w:t xml:space="preserve"> </w:t>
            </w:r>
            <w:proofErr w:type="spellStart"/>
            <w:r w:rsidRPr="00501641">
              <w:rPr>
                <w:sz w:val="18"/>
              </w:rPr>
              <w:t>apoyo</w:t>
            </w:r>
            <w:proofErr w:type="spellEnd"/>
            <w:r w:rsidRPr="00501641">
              <w:rPr>
                <w:sz w:val="18"/>
              </w:rPr>
              <w:t xml:space="preserve"> para </w:t>
            </w:r>
            <w:proofErr w:type="spellStart"/>
            <w:r w:rsidRPr="00501641">
              <w:rPr>
                <w:sz w:val="18"/>
              </w:rPr>
              <w:t>fortalecer</w:t>
            </w:r>
            <w:proofErr w:type="spellEnd"/>
            <w:r w:rsidRPr="00501641">
              <w:rPr>
                <w:sz w:val="18"/>
              </w:rPr>
              <w:t xml:space="preserve"> sus </w:t>
            </w:r>
            <w:proofErr w:type="spellStart"/>
            <w:r w:rsidRPr="00501641">
              <w:rPr>
                <w:sz w:val="18"/>
              </w:rPr>
              <w:t>capacidades</w:t>
            </w:r>
            <w:proofErr w:type="spellEnd"/>
            <w:r w:rsidRPr="00501641">
              <w:rPr>
                <w:sz w:val="18"/>
              </w:rPr>
              <w:t xml:space="preserve"> en </w:t>
            </w:r>
            <w:proofErr w:type="spellStart"/>
            <w:r w:rsidRPr="00501641">
              <w:rPr>
                <w:sz w:val="18"/>
              </w:rPr>
              <w:t>materia</w:t>
            </w:r>
            <w:proofErr w:type="spellEnd"/>
            <w:r w:rsidRPr="00501641">
              <w:rPr>
                <w:sz w:val="18"/>
              </w:rPr>
              <w:t xml:space="preserve"> de </w:t>
            </w:r>
            <w:proofErr w:type="spellStart"/>
            <w:r w:rsidRPr="00501641">
              <w:rPr>
                <w:sz w:val="18"/>
              </w:rPr>
              <w:t>investigación</w:t>
            </w:r>
            <w:proofErr w:type="spellEnd"/>
            <w:r w:rsidRPr="00501641">
              <w:rPr>
                <w:sz w:val="18"/>
              </w:rPr>
              <w:t xml:space="preserve"> </w:t>
            </w:r>
            <w:proofErr w:type="spellStart"/>
            <w:r w:rsidRPr="00501641">
              <w:rPr>
                <w:sz w:val="18"/>
              </w:rPr>
              <w:t>científica</w:t>
            </w:r>
            <w:proofErr w:type="spellEnd"/>
            <w:r w:rsidRPr="00501641">
              <w:rPr>
                <w:sz w:val="18"/>
              </w:rPr>
              <w:t xml:space="preserve"> y </w:t>
            </w:r>
            <w:proofErr w:type="spellStart"/>
            <w:r w:rsidRPr="00501641">
              <w:rPr>
                <w:sz w:val="18"/>
              </w:rPr>
              <w:t>biodiversidad</w:t>
            </w:r>
            <w:proofErr w:type="spellEnd"/>
            <w:r w:rsidRPr="00501641">
              <w:rPr>
                <w:sz w:val="18"/>
              </w:rPr>
              <w:t xml:space="preserve">, </w:t>
            </w:r>
            <w:proofErr w:type="spellStart"/>
            <w:r w:rsidRPr="00501641">
              <w:rPr>
                <w:sz w:val="18"/>
              </w:rPr>
              <w:t>observaciones</w:t>
            </w:r>
            <w:proofErr w:type="spellEnd"/>
            <w:r w:rsidRPr="00501641">
              <w:rPr>
                <w:sz w:val="18"/>
              </w:rPr>
              <w:t xml:space="preserve"> y </w:t>
            </w:r>
            <w:proofErr w:type="spellStart"/>
            <w:r w:rsidRPr="00501641">
              <w:rPr>
                <w:sz w:val="18"/>
              </w:rPr>
              <w:t>servicios</w:t>
            </w:r>
            <w:proofErr w:type="spellEnd"/>
            <w:r w:rsidRPr="00501641">
              <w:rPr>
                <w:sz w:val="18"/>
              </w:rPr>
              <w:t xml:space="preserve">, a </w:t>
            </w:r>
            <w:proofErr w:type="spellStart"/>
            <w:r w:rsidRPr="00501641">
              <w:rPr>
                <w:sz w:val="18"/>
              </w:rPr>
              <w:t>través</w:t>
            </w:r>
            <w:proofErr w:type="spellEnd"/>
            <w:r w:rsidRPr="00501641">
              <w:rPr>
                <w:sz w:val="18"/>
              </w:rPr>
              <w:t xml:space="preserve"> del </w:t>
            </w:r>
            <w:proofErr w:type="spellStart"/>
            <w:r w:rsidRPr="00501641">
              <w:rPr>
                <w:sz w:val="18"/>
              </w:rPr>
              <w:t>desarrollo</w:t>
            </w:r>
            <w:proofErr w:type="spellEnd"/>
            <w:r w:rsidRPr="00501641">
              <w:rPr>
                <w:sz w:val="18"/>
              </w:rPr>
              <w:t xml:space="preserve"> de </w:t>
            </w:r>
            <w:proofErr w:type="spellStart"/>
            <w:r w:rsidRPr="00501641">
              <w:rPr>
                <w:sz w:val="18"/>
              </w:rPr>
              <w:t>capacidades</w:t>
            </w:r>
            <w:proofErr w:type="spellEnd"/>
            <w:r w:rsidRPr="00501641">
              <w:rPr>
                <w:sz w:val="18"/>
              </w:rPr>
              <w:t xml:space="preserve"> de la COI</w:t>
            </w:r>
          </w:p>
        </w:tc>
        <w:tc>
          <w:tcPr>
            <w:tcW w:w="3024" w:type="dxa"/>
            <w:tcBorders>
              <w:top w:val="single" w:sz="6" w:space="0" w:color="A1DAF8"/>
              <w:left w:val="single" w:sz="6" w:space="0" w:color="A1DAF8"/>
              <w:bottom w:val="single" w:sz="6" w:space="0" w:color="A1DAF8"/>
              <w:right w:val="single" w:sz="6" w:space="0" w:color="A1DAF8"/>
            </w:tcBorders>
          </w:tcPr>
          <w:p w14:paraId="429FE931" w14:textId="77777777" w:rsidR="00E50FFA" w:rsidRPr="00501641" w:rsidRDefault="00E50FFA" w:rsidP="00714BDA">
            <w:pPr>
              <w:pStyle w:val="TableParagraph"/>
              <w:numPr>
                <w:ilvl w:val="0"/>
                <w:numId w:val="14"/>
              </w:numPr>
              <w:tabs>
                <w:tab w:val="left" w:pos="242"/>
              </w:tabs>
              <w:spacing w:before="69"/>
              <w:ind w:right="383" w:firstLine="0"/>
              <w:rPr>
                <w:i/>
                <w:sz w:val="18"/>
              </w:rPr>
            </w:pPr>
            <w:r w:rsidRPr="00501641">
              <w:rPr>
                <w:i/>
                <w:iCs/>
                <w:sz w:val="18"/>
              </w:rPr>
              <w:t xml:space="preserve">14.a.1 (Informe </w:t>
            </w:r>
            <w:proofErr w:type="spellStart"/>
            <w:r w:rsidRPr="00501641">
              <w:rPr>
                <w:i/>
                <w:iCs/>
                <w:sz w:val="18"/>
              </w:rPr>
              <w:t>Mundial</w:t>
            </w:r>
            <w:proofErr w:type="spellEnd"/>
            <w:r w:rsidRPr="00501641">
              <w:rPr>
                <w:i/>
                <w:iCs/>
                <w:sz w:val="18"/>
              </w:rPr>
              <w:t xml:space="preserve"> sobre las </w:t>
            </w:r>
            <w:proofErr w:type="spellStart"/>
            <w:r w:rsidRPr="00501641">
              <w:rPr>
                <w:i/>
                <w:iCs/>
                <w:sz w:val="18"/>
              </w:rPr>
              <w:t>Ciencias</w:t>
            </w:r>
            <w:proofErr w:type="spellEnd"/>
            <w:r w:rsidRPr="00501641">
              <w:rPr>
                <w:i/>
                <w:iCs/>
                <w:sz w:val="18"/>
              </w:rPr>
              <w:t xml:space="preserve"> </w:t>
            </w:r>
            <w:proofErr w:type="spellStart"/>
            <w:r w:rsidRPr="00501641">
              <w:rPr>
                <w:i/>
                <w:iCs/>
                <w:sz w:val="18"/>
              </w:rPr>
              <w:t>Oceánicas</w:t>
            </w:r>
            <w:proofErr w:type="spellEnd"/>
            <w:proofErr w:type="gramStart"/>
            <w:r w:rsidRPr="00501641">
              <w:rPr>
                <w:i/>
                <w:iCs/>
                <w:sz w:val="18"/>
              </w:rPr>
              <w:t>):</w:t>
            </w:r>
            <w:proofErr w:type="gramEnd"/>
            <w:r w:rsidRPr="00501641">
              <w:rPr>
                <w:i/>
                <w:iCs/>
                <w:sz w:val="18"/>
              </w:rPr>
              <w:t xml:space="preserve"> 53 </w:t>
            </w:r>
            <w:proofErr w:type="spellStart"/>
            <w:r w:rsidRPr="00501641">
              <w:rPr>
                <w:i/>
                <w:iCs/>
                <w:sz w:val="18"/>
              </w:rPr>
              <w:t>Estados</w:t>
            </w:r>
            <w:proofErr w:type="spellEnd"/>
          </w:p>
          <w:p w14:paraId="0BC1DE70" w14:textId="77777777" w:rsidR="00E50FFA" w:rsidRPr="00501641" w:rsidRDefault="00E50FFA" w:rsidP="0047242D">
            <w:pPr>
              <w:pStyle w:val="TableParagraph"/>
              <w:tabs>
                <w:tab w:val="left" w:pos="242"/>
              </w:tabs>
              <w:spacing w:before="69"/>
              <w:ind w:left="113" w:right="266"/>
              <w:rPr>
                <w:i/>
                <w:sz w:val="18"/>
              </w:rPr>
            </w:pP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13 de </w:t>
            </w:r>
            <w:proofErr w:type="spellStart"/>
            <w:r w:rsidRPr="00501641">
              <w:rPr>
                <w:i/>
                <w:iCs/>
                <w:sz w:val="18"/>
              </w:rPr>
              <w:t>África</w:t>
            </w:r>
            <w:proofErr w:type="spellEnd"/>
            <w:r w:rsidRPr="00501641">
              <w:rPr>
                <w:i/>
                <w:iCs/>
                <w:sz w:val="18"/>
              </w:rPr>
              <w:t xml:space="preserve"> y 4 PEID</w:t>
            </w:r>
          </w:p>
          <w:p w14:paraId="277F15CD" w14:textId="77777777" w:rsidR="00E50FFA" w:rsidRPr="00501641" w:rsidRDefault="00E50FFA" w:rsidP="00714BDA">
            <w:pPr>
              <w:pStyle w:val="TableParagraph"/>
              <w:numPr>
                <w:ilvl w:val="0"/>
                <w:numId w:val="14"/>
              </w:numPr>
              <w:tabs>
                <w:tab w:val="left" w:pos="284"/>
              </w:tabs>
              <w:spacing w:before="29"/>
              <w:ind w:right="495" w:firstLine="0"/>
              <w:rPr>
                <w:i/>
                <w:sz w:val="18"/>
              </w:rPr>
            </w:pPr>
            <w:r w:rsidRPr="00501641">
              <w:rPr>
                <w:i/>
                <w:iCs/>
                <w:sz w:val="18"/>
              </w:rPr>
              <w:t xml:space="preserve">38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w:t>
            </w:r>
            <w:proofErr w:type="spellStart"/>
            <w:r w:rsidRPr="00501641">
              <w:rPr>
                <w:i/>
                <w:iCs/>
                <w:sz w:val="18"/>
              </w:rPr>
              <w:t>África</w:t>
            </w:r>
            <w:proofErr w:type="spellEnd"/>
            <w:r w:rsidRPr="00501641">
              <w:rPr>
                <w:i/>
                <w:iCs/>
                <w:sz w:val="18"/>
              </w:rPr>
              <w:t xml:space="preserve">, 30 de </w:t>
            </w:r>
            <w:proofErr w:type="spellStart"/>
            <w:r w:rsidRPr="00501641">
              <w:rPr>
                <w:i/>
                <w:iCs/>
                <w:sz w:val="18"/>
              </w:rPr>
              <w:t>América</w:t>
            </w:r>
            <w:proofErr w:type="spellEnd"/>
            <w:r w:rsidRPr="00501641">
              <w:rPr>
                <w:i/>
                <w:iCs/>
                <w:sz w:val="18"/>
              </w:rPr>
              <w:t xml:space="preserve"> Latina y el Caribe,</w:t>
            </w:r>
          </w:p>
          <w:p w14:paraId="51742C45" w14:textId="77777777" w:rsidR="00E50FFA" w:rsidRPr="00501641" w:rsidRDefault="00E50FFA" w:rsidP="0047242D">
            <w:pPr>
              <w:pStyle w:val="TableParagraph"/>
              <w:tabs>
                <w:tab w:val="left" w:pos="242"/>
              </w:tabs>
              <w:spacing w:before="69"/>
              <w:ind w:left="113" w:right="266"/>
              <w:rPr>
                <w:i/>
                <w:sz w:val="18"/>
              </w:rPr>
            </w:pPr>
            <w:r w:rsidRPr="00501641">
              <w:rPr>
                <w:i/>
                <w:iCs/>
                <w:sz w:val="18"/>
              </w:rPr>
              <w:t xml:space="preserve">22 del </w:t>
            </w:r>
            <w:proofErr w:type="spellStart"/>
            <w:r w:rsidRPr="00501641">
              <w:rPr>
                <w:i/>
                <w:iCs/>
                <w:sz w:val="18"/>
              </w:rPr>
              <w:t>Pacífico</w:t>
            </w:r>
            <w:proofErr w:type="spellEnd"/>
            <w:r w:rsidRPr="00501641">
              <w:rPr>
                <w:i/>
                <w:iCs/>
                <w:sz w:val="18"/>
              </w:rPr>
              <w:t xml:space="preserve"> Occidental y 16 de la </w:t>
            </w:r>
            <w:proofErr w:type="spellStart"/>
            <w:r w:rsidRPr="00501641">
              <w:rPr>
                <w:i/>
                <w:iCs/>
                <w:sz w:val="18"/>
              </w:rPr>
              <w:t>región</w:t>
            </w:r>
            <w:proofErr w:type="spellEnd"/>
            <w:r w:rsidRPr="00501641">
              <w:rPr>
                <w:i/>
                <w:iCs/>
                <w:sz w:val="18"/>
              </w:rPr>
              <w:t xml:space="preserve"> del </w:t>
            </w:r>
            <w:proofErr w:type="spellStart"/>
            <w:r w:rsidRPr="00501641">
              <w:rPr>
                <w:i/>
                <w:iCs/>
                <w:sz w:val="18"/>
              </w:rPr>
              <w:t>océano</w:t>
            </w:r>
            <w:proofErr w:type="spellEnd"/>
            <w:r w:rsidRPr="00501641">
              <w:rPr>
                <w:i/>
                <w:iCs/>
                <w:sz w:val="18"/>
              </w:rPr>
              <w:t xml:space="preserve"> </w:t>
            </w:r>
            <w:proofErr w:type="spellStart"/>
            <w:r w:rsidRPr="00501641">
              <w:rPr>
                <w:i/>
                <w:iCs/>
                <w:sz w:val="18"/>
              </w:rPr>
              <w:t>Índico</w:t>
            </w:r>
            <w:proofErr w:type="spellEnd"/>
            <w:r w:rsidRPr="00501641">
              <w:rPr>
                <w:i/>
                <w:iCs/>
                <w:sz w:val="18"/>
              </w:rPr>
              <w:t xml:space="preserve">/el </w:t>
            </w:r>
            <w:proofErr w:type="spellStart"/>
            <w:proofErr w:type="gramStart"/>
            <w:r w:rsidRPr="00501641">
              <w:rPr>
                <w:i/>
                <w:iCs/>
                <w:sz w:val="18"/>
              </w:rPr>
              <w:t>Golfo</w:t>
            </w:r>
            <w:proofErr w:type="spellEnd"/>
            <w:r w:rsidRPr="00501641">
              <w:rPr>
                <w:i/>
                <w:iCs/>
                <w:sz w:val="18"/>
              </w:rPr>
              <w:t>;</w:t>
            </w:r>
            <w:proofErr w:type="gramEnd"/>
            <w:r w:rsidRPr="00501641">
              <w:rPr>
                <w:i/>
                <w:iCs/>
                <w:sz w:val="18"/>
              </w:rPr>
              <w:t xml:space="preserve"> 10 PEID, de los </w:t>
            </w:r>
            <w:proofErr w:type="spellStart"/>
            <w:r w:rsidRPr="00501641">
              <w:rPr>
                <w:i/>
                <w:iCs/>
                <w:sz w:val="18"/>
              </w:rPr>
              <w:t>cuales</w:t>
            </w:r>
            <w:proofErr w:type="spellEnd"/>
            <w:r w:rsidRPr="00501641">
              <w:rPr>
                <w:i/>
                <w:iCs/>
                <w:sz w:val="18"/>
              </w:rPr>
              <w:t xml:space="preserve"> 5 de </w:t>
            </w:r>
            <w:proofErr w:type="spellStart"/>
            <w:r w:rsidRPr="00501641">
              <w:rPr>
                <w:i/>
                <w:iCs/>
                <w:sz w:val="18"/>
              </w:rPr>
              <w:t>África</w:t>
            </w:r>
            <w:proofErr w:type="spellEnd"/>
          </w:p>
          <w:p w14:paraId="70D321E3" w14:textId="77777777" w:rsidR="00E50FFA" w:rsidRPr="00501641" w:rsidRDefault="00E50FFA" w:rsidP="0047242D">
            <w:pPr>
              <w:pStyle w:val="TableParagraph"/>
              <w:tabs>
                <w:tab w:val="left" w:pos="242"/>
              </w:tabs>
              <w:spacing w:before="69"/>
              <w:ind w:left="113" w:right="266"/>
              <w:rPr>
                <w:i/>
                <w:sz w:val="18"/>
              </w:rPr>
            </w:pPr>
            <w:proofErr w:type="spellStart"/>
            <w:r w:rsidRPr="00501641">
              <w:rPr>
                <w:i/>
                <w:iCs/>
                <w:sz w:val="18"/>
              </w:rPr>
              <w:t>Igualdad</w:t>
            </w:r>
            <w:proofErr w:type="spellEnd"/>
            <w:r w:rsidRPr="00501641">
              <w:rPr>
                <w:i/>
                <w:iCs/>
                <w:sz w:val="18"/>
              </w:rPr>
              <w:t xml:space="preserve"> de </w:t>
            </w:r>
            <w:proofErr w:type="spellStart"/>
            <w:proofErr w:type="gramStart"/>
            <w:r w:rsidRPr="00501641">
              <w:rPr>
                <w:i/>
                <w:iCs/>
                <w:sz w:val="18"/>
              </w:rPr>
              <w:t>género</w:t>
            </w:r>
            <w:proofErr w:type="spellEnd"/>
            <w:r w:rsidRPr="00501641">
              <w:rPr>
                <w:i/>
                <w:iCs/>
                <w:sz w:val="18"/>
              </w:rPr>
              <w:t>:</w:t>
            </w:r>
            <w:proofErr w:type="gramEnd"/>
            <w:r w:rsidRPr="00501641">
              <w:rPr>
                <w:i/>
                <w:iCs/>
                <w:sz w:val="18"/>
              </w:rPr>
              <w:t xml:space="preserve"> no existe base de </w:t>
            </w:r>
            <w:proofErr w:type="spellStart"/>
            <w:r w:rsidRPr="00501641">
              <w:rPr>
                <w:i/>
                <w:iCs/>
                <w:sz w:val="18"/>
              </w:rPr>
              <w:t>referencia</w:t>
            </w:r>
            <w:proofErr w:type="spellEnd"/>
          </w:p>
        </w:tc>
        <w:tc>
          <w:tcPr>
            <w:tcW w:w="2778" w:type="dxa"/>
            <w:tcBorders>
              <w:top w:val="single" w:sz="6" w:space="0" w:color="A1DAF8"/>
              <w:left w:val="single" w:sz="6" w:space="0" w:color="A1DAF8"/>
              <w:bottom w:val="single" w:sz="6" w:space="0" w:color="A1DAF8"/>
              <w:right w:val="nil"/>
            </w:tcBorders>
          </w:tcPr>
          <w:p w14:paraId="6EC804F6" w14:textId="77777777" w:rsidR="00E50FFA" w:rsidRPr="00501641" w:rsidRDefault="00E50FFA" w:rsidP="00714BDA">
            <w:pPr>
              <w:pStyle w:val="TableParagraph"/>
              <w:numPr>
                <w:ilvl w:val="0"/>
                <w:numId w:val="13"/>
              </w:numPr>
              <w:tabs>
                <w:tab w:val="left" w:pos="242"/>
              </w:tabs>
              <w:spacing w:before="69"/>
              <w:ind w:right="518" w:firstLine="0"/>
              <w:rPr>
                <w:i/>
                <w:sz w:val="18"/>
              </w:rPr>
            </w:pPr>
            <w:r w:rsidRPr="00501641">
              <w:rPr>
                <w:i/>
                <w:iCs/>
                <w:sz w:val="18"/>
              </w:rPr>
              <w:t xml:space="preserve">58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15 de </w:t>
            </w:r>
            <w:proofErr w:type="spellStart"/>
            <w:r w:rsidRPr="00501641">
              <w:rPr>
                <w:i/>
                <w:iCs/>
                <w:sz w:val="18"/>
              </w:rPr>
              <w:t>África</w:t>
            </w:r>
            <w:proofErr w:type="spellEnd"/>
            <w:r w:rsidRPr="00501641">
              <w:rPr>
                <w:i/>
                <w:iCs/>
                <w:sz w:val="18"/>
              </w:rPr>
              <w:t xml:space="preserve"> y 5 PEID</w:t>
            </w:r>
          </w:p>
          <w:p w14:paraId="0A73492E" w14:textId="77777777" w:rsidR="00E50FFA" w:rsidRPr="00501641" w:rsidRDefault="00E50FFA" w:rsidP="00714BDA">
            <w:pPr>
              <w:pStyle w:val="TableParagraph"/>
              <w:numPr>
                <w:ilvl w:val="0"/>
                <w:numId w:val="13"/>
              </w:numPr>
              <w:tabs>
                <w:tab w:val="left" w:pos="284"/>
              </w:tabs>
              <w:spacing w:before="29"/>
              <w:ind w:right="257" w:firstLine="0"/>
              <w:rPr>
                <w:i/>
                <w:sz w:val="18"/>
              </w:rPr>
            </w:pPr>
            <w:r w:rsidRPr="00501641">
              <w:rPr>
                <w:i/>
                <w:iCs/>
                <w:sz w:val="18"/>
              </w:rPr>
              <w:t xml:space="preserve">38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w:t>
            </w:r>
            <w:proofErr w:type="spellStart"/>
            <w:r w:rsidRPr="00501641">
              <w:rPr>
                <w:i/>
                <w:iCs/>
                <w:sz w:val="18"/>
              </w:rPr>
              <w:t>África</w:t>
            </w:r>
            <w:proofErr w:type="spellEnd"/>
            <w:r w:rsidRPr="00501641">
              <w:rPr>
                <w:i/>
                <w:iCs/>
                <w:sz w:val="18"/>
              </w:rPr>
              <w:t xml:space="preserve">, 30 de </w:t>
            </w:r>
            <w:proofErr w:type="spellStart"/>
            <w:r w:rsidRPr="00501641">
              <w:rPr>
                <w:i/>
                <w:iCs/>
                <w:sz w:val="18"/>
              </w:rPr>
              <w:t>América</w:t>
            </w:r>
            <w:proofErr w:type="spellEnd"/>
            <w:r w:rsidRPr="00501641">
              <w:rPr>
                <w:i/>
                <w:iCs/>
                <w:sz w:val="18"/>
              </w:rPr>
              <w:t xml:space="preserve"> Latina y el Caribe,</w:t>
            </w:r>
          </w:p>
          <w:p w14:paraId="03CB2E46" w14:textId="77777777" w:rsidR="00E50FFA" w:rsidRPr="00501641" w:rsidRDefault="00E50FFA" w:rsidP="0047242D">
            <w:pPr>
              <w:pStyle w:val="TableParagraph"/>
              <w:tabs>
                <w:tab w:val="left" w:pos="242"/>
              </w:tabs>
              <w:spacing w:before="69"/>
              <w:ind w:left="113" w:right="517"/>
              <w:rPr>
                <w:i/>
                <w:sz w:val="18"/>
              </w:rPr>
            </w:pPr>
            <w:r w:rsidRPr="00501641">
              <w:rPr>
                <w:i/>
                <w:iCs/>
                <w:sz w:val="18"/>
              </w:rPr>
              <w:t xml:space="preserve">22 del </w:t>
            </w:r>
            <w:proofErr w:type="spellStart"/>
            <w:r w:rsidRPr="00501641">
              <w:rPr>
                <w:i/>
                <w:iCs/>
                <w:sz w:val="18"/>
              </w:rPr>
              <w:t>Pacífico</w:t>
            </w:r>
            <w:proofErr w:type="spellEnd"/>
            <w:r w:rsidRPr="00501641">
              <w:rPr>
                <w:i/>
                <w:iCs/>
                <w:sz w:val="18"/>
              </w:rPr>
              <w:t xml:space="preserve"> Occidental y 16 de la </w:t>
            </w:r>
            <w:proofErr w:type="spellStart"/>
            <w:r w:rsidRPr="00501641">
              <w:rPr>
                <w:i/>
                <w:iCs/>
                <w:sz w:val="18"/>
              </w:rPr>
              <w:t>región</w:t>
            </w:r>
            <w:proofErr w:type="spellEnd"/>
            <w:r w:rsidRPr="00501641">
              <w:rPr>
                <w:i/>
                <w:iCs/>
                <w:sz w:val="18"/>
              </w:rPr>
              <w:t xml:space="preserve"> del </w:t>
            </w:r>
            <w:proofErr w:type="spellStart"/>
            <w:r w:rsidRPr="00501641">
              <w:rPr>
                <w:i/>
                <w:iCs/>
                <w:sz w:val="18"/>
              </w:rPr>
              <w:t>océano</w:t>
            </w:r>
            <w:proofErr w:type="spellEnd"/>
            <w:r w:rsidRPr="00501641">
              <w:rPr>
                <w:i/>
                <w:iCs/>
                <w:sz w:val="18"/>
              </w:rPr>
              <w:t xml:space="preserve"> </w:t>
            </w:r>
            <w:proofErr w:type="spellStart"/>
            <w:r w:rsidRPr="00501641">
              <w:rPr>
                <w:i/>
                <w:iCs/>
                <w:sz w:val="18"/>
              </w:rPr>
              <w:t>Índico</w:t>
            </w:r>
            <w:proofErr w:type="spellEnd"/>
            <w:r w:rsidRPr="00501641">
              <w:rPr>
                <w:i/>
                <w:iCs/>
                <w:sz w:val="18"/>
              </w:rPr>
              <w:t xml:space="preserve">/el </w:t>
            </w:r>
            <w:proofErr w:type="spellStart"/>
            <w:proofErr w:type="gramStart"/>
            <w:r w:rsidRPr="00501641">
              <w:rPr>
                <w:i/>
                <w:iCs/>
                <w:sz w:val="18"/>
              </w:rPr>
              <w:t>Golfo</w:t>
            </w:r>
            <w:proofErr w:type="spellEnd"/>
            <w:r w:rsidRPr="00501641">
              <w:rPr>
                <w:i/>
                <w:iCs/>
                <w:sz w:val="18"/>
              </w:rPr>
              <w:t>;</w:t>
            </w:r>
            <w:proofErr w:type="gramEnd"/>
            <w:r w:rsidRPr="00501641">
              <w:rPr>
                <w:i/>
                <w:iCs/>
                <w:sz w:val="18"/>
              </w:rPr>
              <w:t xml:space="preserve"> 15 PEID, de los </w:t>
            </w:r>
            <w:proofErr w:type="spellStart"/>
            <w:r w:rsidRPr="00501641">
              <w:rPr>
                <w:i/>
                <w:iCs/>
                <w:sz w:val="18"/>
              </w:rPr>
              <w:t>cuales</w:t>
            </w:r>
            <w:proofErr w:type="spellEnd"/>
            <w:r w:rsidRPr="00501641">
              <w:rPr>
                <w:i/>
                <w:iCs/>
                <w:sz w:val="18"/>
              </w:rPr>
              <w:t xml:space="preserve"> 5 de </w:t>
            </w:r>
            <w:proofErr w:type="spellStart"/>
            <w:r w:rsidRPr="00501641">
              <w:rPr>
                <w:i/>
                <w:iCs/>
                <w:sz w:val="18"/>
              </w:rPr>
              <w:t>África</w:t>
            </w:r>
            <w:proofErr w:type="spellEnd"/>
            <w:r w:rsidRPr="00501641">
              <w:rPr>
                <w:i/>
                <w:iCs/>
                <w:sz w:val="18"/>
              </w:rPr>
              <w:t xml:space="preserve"> Meta de </w:t>
            </w:r>
            <w:proofErr w:type="spellStart"/>
            <w:r w:rsidRPr="00501641">
              <w:rPr>
                <w:i/>
                <w:iCs/>
                <w:sz w:val="18"/>
              </w:rPr>
              <w:t>igualdad</w:t>
            </w:r>
            <w:proofErr w:type="spellEnd"/>
            <w:r w:rsidRPr="00501641">
              <w:rPr>
                <w:i/>
                <w:iCs/>
                <w:sz w:val="18"/>
              </w:rPr>
              <w:t xml:space="preserve"> de </w:t>
            </w:r>
            <w:proofErr w:type="spellStart"/>
            <w:r w:rsidRPr="00501641">
              <w:rPr>
                <w:i/>
                <w:iCs/>
                <w:sz w:val="18"/>
              </w:rPr>
              <w:t>género</w:t>
            </w:r>
            <w:proofErr w:type="spellEnd"/>
            <w:r w:rsidRPr="00501641">
              <w:rPr>
                <w:i/>
                <w:iCs/>
                <w:sz w:val="18"/>
              </w:rPr>
              <w:t xml:space="preserve">: 40% de </w:t>
            </w:r>
            <w:proofErr w:type="spellStart"/>
            <w:r w:rsidRPr="00501641">
              <w:rPr>
                <w:i/>
                <w:iCs/>
                <w:sz w:val="18"/>
              </w:rPr>
              <w:t>equilibrio</w:t>
            </w:r>
            <w:proofErr w:type="spellEnd"/>
            <w:r w:rsidRPr="00501641">
              <w:rPr>
                <w:i/>
                <w:iCs/>
                <w:sz w:val="18"/>
              </w:rPr>
              <w:t xml:space="preserve"> de </w:t>
            </w:r>
            <w:proofErr w:type="spellStart"/>
            <w:r w:rsidRPr="00501641">
              <w:rPr>
                <w:i/>
                <w:iCs/>
                <w:sz w:val="18"/>
              </w:rPr>
              <w:t>género</w:t>
            </w:r>
            <w:proofErr w:type="spellEnd"/>
          </w:p>
        </w:tc>
      </w:tr>
      <w:tr w:rsidR="00E50FFA" w:rsidRPr="00501641" w14:paraId="0B88D11D" w14:textId="77777777" w:rsidTr="0047242D">
        <w:trPr>
          <w:trHeight w:val="1695"/>
        </w:trPr>
        <w:tc>
          <w:tcPr>
            <w:tcW w:w="3855" w:type="dxa"/>
            <w:tcBorders>
              <w:top w:val="single" w:sz="6" w:space="0" w:color="A1DAF8"/>
              <w:left w:val="nil"/>
              <w:bottom w:val="single" w:sz="6" w:space="0" w:color="A1DAF8"/>
              <w:right w:val="single" w:sz="6" w:space="0" w:color="A1DAF8"/>
            </w:tcBorders>
          </w:tcPr>
          <w:p w14:paraId="326136A2" w14:textId="2110960E" w:rsidR="00E50FFA" w:rsidRPr="00501641" w:rsidRDefault="00E50FFA" w:rsidP="0047242D">
            <w:pPr>
              <w:pStyle w:val="TableParagraph"/>
              <w:spacing w:before="69"/>
              <w:ind w:left="347" w:right="238" w:hanging="227"/>
              <w:rPr>
                <w:sz w:val="18"/>
              </w:rPr>
            </w:pPr>
            <w:r w:rsidRPr="00501641">
              <w:rPr>
                <w:sz w:val="18"/>
              </w:rPr>
              <w:t>7.</w:t>
            </w:r>
            <w:r w:rsidRPr="00501641">
              <w:rPr>
                <w:rStyle w:val="FootnoteReference"/>
                <w:sz w:val="18"/>
              </w:rPr>
              <w:footnoteReference w:id="3"/>
            </w:r>
            <w:proofErr w:type="spellStart"/>
            <w:r w:rsidRPr="00501641">
              <w:rPr>
                <w:sz w:val="18"/>
              </w:rPr>
              <w:t>Número</w:t>
            </w:r>
            <w:proofErr w:type="spellEnd"/>
            <w:r w:rsidRPr="00501641">
              <w:rPr>
                <w:sz w:val="18"/>
              </w:rPr>
              <w:t xml:space="preserve"> de </w:t>
            </w:r>
            <w:proofErr w:type="spellStart"/>
            <w:r w:rsidRPr="00501641">
              <w:rPr>
                <w:sz w:val="18"/>
              </w:rPr>
              <w:t>Estados</w:t>
            </w:r>
            <w:proofErr w:type="spellEnd"/>
            <w:r w:rsidRPr="00501641">
              <w:rPr>
                <w:sz w:val="18"/>
              </w:rPr>
              <w:t xml:space="preserve"> </w:t>
            </w:r>
            <w:proofErr w:type="spellStart"/>
            <w:r w:rsidRPr="00501641">
              <w:rPr>
                <w:sz w:val="18"/>
              </w:rPr>
              <w:t>Miembros</w:t>
            </w:r>
            <w:proofErr w:type="spellEnd"/>
            <w:r w:rsidRPr="00501641">
              <w:rPr>
                <w:sz w:val="18"/>
              </w:rPr>
              <w:t xml:space="preserve"> a los que se ha </w:t>
            </w:r>
            <w:proofErr w:type="spellStart"/>
            <w:r w:rsidRPr="00501641">
              <w:rPr>
                <w:sz w:val="18"/>
              </w:rPr>
              <w:t>proporcionado</w:t>
            </w:r>
            <w:proofErr w:type="spellEnd"/>
            <w:r w:rsidRPr="00501641">
              <w:rPr>
                <w:sz w:val="18"/>
              </w:rPr>
              <w:t xml:space="preserve"> </w:t>
            </w:r>
            <w:proofErr w:type="spellStart"/>
            <w:r w:rsidRPr="00501641">
              <w:rPr>
                <w:sz w:val="18"/>
              </w:rPr>
              <w:t>acceso</w:t>
            </w:r>
            <w:proofErr w:type="spellEnd"/>
            <w:r w:rsidRPr="00501641">
              <w:rPr>
                <w:sz w:val="18"/>
              </w:rPr>
              <w:t xml:space="preserve"> a </w:t>
            </w:r>
            <w:proofErr w:type="spellStart"/>
            <w:r w:rsidRPr="00501641">
              <w:rPr>
                <w:sz w:val="18"/>
              </w:rPr>
              <w:t>recursos</w:t>
            </w:r>
            <w:proofErr w:type="spellEnd"/>
            <w:r w:rsidRPr="00501641">
              <w:rPr>
                <w:sz w:val="18"/>
              </w:rPr>
              <w:t xml:space="preserve"> y </w:t>
            </w:r>
            <w:proofErr w:type="spellStart"/>
            <w:r w:rsidRPr="00501641">
              <w:rPr>
                <w:sz w:val="18"/>
              </w:rPr>
              <w:t>programas</w:t>
            </w:r>
            <w:proofErr w:type="spellEnd"/>
            <w:r w:rsidRPr="00501641">
              <w:rPr>
                <w:sz w:val="18"/>
              </w:rPr>
              <w:t xml:space="preserve"> de </w:t>
            </w:r>
            <w:proofErr w:type="spellStart"/>
            <w:r w:rsidRPr="00501641">
              <w:rPr>
                <w:sz w:val="18"/>
              </w:rPr>
              <w:t>formación</w:t>
            </w:r>
            <w:proofErr w:type="spellEnd"/>
            <w:r w:rsidRPr="00501641">
              <w:rPr>
                <w:sz w:val="18"/>
              </w:rPr>
              <w:t xml:space="preserve"> </w:t>
            </w:r>
            <w:proofErr w:type="spellStart"/>
            <w:r w:rsidRPr="00501641">
              <w:rPr>
                <w:sz w:val="18"/>
              </w:rPr>
              <w:t>multilingües</w:t>
            </w:r>
            <w:proofErr w:type="spellEnd"/>
            <w:r w:rsidRPr="00501641">
              <w:rPr>
                <w:sz w:val="18"/>
              </w:rPr>
              <w:t xml:space="preserve"> sobre </w:t>
            </w:r>
            <w:proofErr w:type="spellStart"/>
            <w:r w:rsidRPr="00501641">
              <w:rPr>
                <w:sz w:val="18"/>
              </w:rPr>
              <w:t>cultura</w:t>
            </w:r>
            <w:proofErr w:type="spellEnd"/>
            <w:r w:rsidRPr="00501641">
              <w:rPr>
                <w:sz w:val="18"/>
              </w:rPr>
              <w:t xml:space="preserve"> </w:t>
            </w:r>
            <w:proofErr w:type="spellStart"/>
            <w:r w:rsidRPr="00501641">
              <w:rPr>
                <w:sz w:val="18"/>
              </w:rPr>
              <w:t>oceánica</w:t>
            </w:r>
            <w:proofErr w:type="spellEnd"/>
          </w:p>
        </w:tc>
        <w:tc>
          <w:tcPr>
            <w:tcW w:w="3024" w:type="dxa"/>
            <w:tcBorders>
              <w:top w:val="single" w:sz="6" w:space="0" w:color="A1DAF8"/>
              <w:left w:val="single" w:sz="6" w:space="0" w:color="A1DAF8"/>
              <w:bottom w:val="single" w:sz="6" w:space="0" w:color="A1DAF8"/>
              <w:right w:val="single" w:sz="6" w:space="0" w:color="A1DAF8"/>
            </w:tcBorders>
          </w:tcPr>
          <w:p w14:paraId="5679BBC4" w14:textId="77777777" w:rsidR="00E50FFA" w:rsidRPr="00501641" w:rsidRDefault="00E50FFA" w:rsidP="0047242D">
            <w:pPr>
              <w:pStyle w:val="TableParagraph"/>
              <w:tabs>
                <w:tab w:val="left" w:pos="242"/>
              </w:tabs>
              <w:spacing w:before="69"/>
              <w:ind w:left="113" w:right="266"/>
              <w:rPr>
                <w:i/>
                <w:sz w:val="18"/>
              </w:rPr>
            </w:pPr>
            <w:r w:rsidRPr="00501641">
              <w:rPr>
                <w:i/>
                <w:iCs/>
                <w:sz w:val="18"/>
              </w:rPr>
              <w:t xml:space="preserve">No existe base de </w:t>
            </w:r>
            <w:proofErr w:type="spellStart"/>
            <w:r w:rsidRPr="00501641">
              <w:rPr>
                <w:i/>
                <w:iCs/>
                <w:sz w:val="18"/>
              </w:rPr>
              <w:t>referencia</w:t>
            </w:r>
            <w:proofErr w:type="spellEnd"/>
          </w:p>
        </w:tc>
        <w:tc>
          <w:tcPr>
            <w:tcW w:w="2778" w:type="dxa"/>
            <w:tcBorders>
              <w:top w:val="single" w:sz="6" w:space="0" w:color="A1DAF8"/>
              <w:left w:val="single" w:sz="6" w:space="0" w:color="A1DAF8"/>
              <w:bottom w:val="single" w:sz="6" w:space="0" w:color="A1DAF8"/>
              <w:right w:val="nil"/>
            </w:tcBorders>
          </w:tcPr>
          <w:p w14:paraId="17254305" w14:textId="77777777" w:rsidR="00E50FFA" w:rsidRPr="00501641" w:rsidRDefault="00E50FFA" w:rsidP="0047242D">
            <w:pPr>
              <w:pStyle w:val="TableParagraph"/>
              <w:tabs>
                <w:tab w:val="left" w:pos="242"/>
              </w:tabs>
              <w:spacing w:before="69"/>
              <w:ind w:left="113" w:right="517"/>
              <w:rPr>
                <w:i/>
                <w:sz w:val="18"/>
              </w:rPr>
            </w:pPr>
            <w:r w:rsidRPr="00501641">
              <w:rPr>
                <w:i/>
                <w:iCs/>
                <w:sz w:val="18"/>
              </w:rPr>
              <w:t xml:space="preserve">80 </w:t>
            </w:r>
            <w:proofErr w:type="spellStart"/>
            <w:r w:rsidRPr="00501641">
              <w:rPr>
                <w:i/>
                <w:iCs/>
                <w:sz w:val="18"/>
              </w:rPr>
              <w:t>Estados</w:t>
            </w:r>
            <w:proofErr w:type="spellEnd"/>
            <w:r w:rsidRPr="00501641">
              <w:rPr>
                <w:i/>
                <w:iCs/>
                <w:sz w:val="18"/>
              </w:rPr>
              <w:t xml:space="preserve"> </w:t>
            </w:r>
            <w:proofErr w:type="spellStart"/>
            <w:r w:rsidRPr="00501641">
              <w:rPr>
                <w:i/>
                <w:iCs/>
                <w:sz w:val="18"/>
              </w:rPr>
              <w:t>Miembros</w:t>
            </w:r>
            <w:proofErr w:type="spellEnd"/>
            <w:r w:rsidRPr="00501641">
              <w:rPr>
                <w:i/>
                <w:iCs/>
                <w:sz w:val="18"/>
              </w:rPr>
              <w:t xml:space="preserve">, de los </w:t>
            </w:r>
            <w:proofErr w:type="spellStart"/>
            <w:r w:rsidRPr="00501641">
              <w:rPr>
                <w:i/>
                <w:iCs/>
                <w:sz w:val="18"/>
              </w:rPr>
              <w:t>cuales</w:t>
            </w:r>
            <w:proofErr w:type="spellEnd"/>
            <w:r w:rsidRPr="00501641">
              <w:rPr>
                <w:i/>
                <w:iCs/>
                <w:sz w:val="18"/>
              </w:rPr>
              <w:t xml:space="preserve"> 8 de </w:t>
            </w:r>
            <w:proofErr w:type="spellStart"/>
            <w:r w:rsidRPr="00501641">
              <w:rPr>
                <w:i/>
                <w:iCs/>
                <w:sz w:val="18"/>
              </w:rPr>
              <w:t>África</w:t>
            </w:r>
            <w:proofErr w:type="spellEnd"/>
            <w:r w:rsidRPr="00501641">
              <w:rPr>
                <w:i/>
                <w:iCs/>
                <w:sz w:val="18"/>
              </w:rPr>
              <w:t xml:space="preserve"> y 10 PEID</w:t>
            </w:r>
          </w:p>
        </w:tc>
      </w:tr>
    </w:tbl>
    <w:p w14:paraId="0367A8E7" w14:textId="01547B51" w:rsidR="007D5503" w:rsidRPr="00501641" w:rsidRDefault="007D5503" w:rsidP="007D5503">
      <w:pPr>
        <w:widowControl/>
        <w:tabs>
          <w:tab w:val="clear" w:pos="567"/>
        </w:tabs>
        <w:autoSpaceDE w:val="0"/>
        <w:autoSpaceDN w:val="0"/>
        <w:snapToGrid/>
        <w:spacing w:line="240" w:lineRule="auto"/>
        <w:jc w:val="left"/>
        <w:textAlignment w:val="auto"/>
      </w:pPr>
    </w:p>
    <w:p w14:paraId="210B7DD0" w14:textId="50DBDEBC" w:rsidR="00C516F7" w:rsidRPr="00501641" w:rsidRDefault="00C516F7">
      <w:pPr>
        <w:widowControl/>
        <w:tabs>
          <w:tab w:val="clear" w:pos="567"/>
        </w:tabs>
        <w:adjustRightInd/>
        <w:snapToGrid/>
        <w:spacing w:line="240" w:lineRule="auto"/>
        <w:jc w:val="left"/>
        <w:textAlignment w:val="auto"/>
      </w:pPr>
      <w:r w:rsidRPr="00501641">
        <w:br w:type="page"/>
      </w:r>
    </w:p>
    <w:p w14:paraId="1DFCC1F1" w14:textId="2F16D403" w:rsidR="00700920" w:rsidRPr="00501641" w:rsidRDefault="00E50FFA" w:rsidP="00714BDA">
      <w:pPr>
        <w:pStyle w:val="ListParagraph"/>
        <w:numPr>
          <w:ilvl w:val="0"/>
          <w:numId w:val="5"/>
        </w:numPr>
        <w:pBdr>
          <w:bottom w:val="single" w:sz="4" w:space="1" w:color="auto"/>
        </w:pBdr>
        <w:tabs>
          <w:tab w:val="clear" w:pos="567"/>
          <w:tab w:val="left" w:pos="709"/>
        </w:tabs>
        <w:ind w:left="709" w:hanging="709"/>
        <w:jc w:val="left"/>
        <w:rPr>
          <w:b/>
          <w:bCs/>
        </w:rPr>
      </w:pPr>
      <w:proofErr w:type="spellStart"/>
      <w:r w:rsidRPr="00501641">
        <w:rPr>
          <w:b/>
          <w:bCs/>
        </w:rPr>
        <w:lastRenderedPageBreak/>
        <w:t>Recursos</w:t>
      </w:r>
      <w:proofErr w:type="spellEnd"/>
      <w:r w:rsidRPr="00501641">
        <w:rPr>
          <w:b/>
          <w:bCs/>
        </w:rPr>
        <w:t xml:space="preserve"> de la Comisión </w:t>
      </w:r>
      <w:proofErr w:type="spellStart"/>
      <w:r w:rsidRPr="00501641">
        <w:rPr>
          <w:b/>
          <w:bCs/>
        </w:rPr>
        <w:t>Oceanográfica</w:t>
      </w:r>
      <w:proofErr w:type="spellEnd"/>
      <w:r w:rsidRPr="00501641">
        <w:rPr>
          <w:b/>
          <w:bCs/>
        </w:rPr>
        <w:t xml:space="preserve"> </w:t>
      </w:r>
      <w:proofErr w:type="spellStart"/>
      <w:r w:rsidRPr="00501641">
        <w:rPr>
          <w:b/>
          <w:bCs/>
        </w:rPr>
        <w:t>Intergubernamental</w:t>
      </w:r>
      <w:proofErr w:type="spellEnd"/>
    </w:p>
    <w:p w14:paraId="2AE542A1" w14:textId="2B582ADF" w:rsidR="005015A4" w:rsidRPr="00501641" w:rsidRDefault="005015A4" w:rsidP="005015A4">
      <w:pPr>
        <w:pStyle w:val="Marge"/>
        <w:tabs>
          <w:tab w:val="clear" w:pos="567"/>
          <w:tab w:val="left" w:pos="1162"/>
        </w:tabs>
        <w:spacing w:line="240" w:lineRule="auto"/>
      </w:pPr>
    </w:p>
    <w:tbl>
      <w:tblPr>
        <w:tblW w:w="0" w:type="auto"/>
        <w:tblInd w:w="133" w:type="dxa"/>
        <w:tblBorders>
          <w:top w:val="single" w:sz="8" w:space="0" w:color="C9E9FB"/>
          <w:left w:val="single" w:sz="8" w:space="0" w:color="C9E9FB"/>
          <w:bottom w:val="single" w:sz="8" w:space="0" w:color="C9E9FB"/>
          <w:right w:val="single" w:sz="8" w:space="0" w:color="C9E9FB"/>
          <w:insideH w:val="single" w:sz="8" w:space="0" w:color="C9E9FB"/>
          <w:insideV w:val="single" w:sz="8" w:space="0" w:color="C9E9FB"/>
        </w:tblBorders>
        <w:tblLayout w:type="fixed"/>
        <w:tblCellMar>
          <w:left w:w="0" w:type="dxa"/>
          <w:right w:w="0" w:type="dxa"/>
        </w:tblCellMar>
        <w:tblLook w:val="01E0" w:firstRow="1" w:lastRow="1" w:firstColumn="1" w:lastColumn="1" w:noHBand="0" w:noVBand="0"/>
      </w:tblPr>
      <w:tblGrid>
        <w:gridCol w:w="907"/>
        <w:gridCol w:w="7190"/>
        <w:gridCol w:w="1521"/>
      </w:tblGrid>
      <w:tr w:rsidR="00E50FFA" w:rsidRPr="00501641" w14:paraId="54C55CA3" w14:textId="77777777" w:rsidTr="0047242D">
        <w:trPr>
          <w:trHeight w:val="871"/>
        </w:trPr>
        <w:tc>
          <w:tcPr>
            <w:tcW w:w="907" w:type="dxa"/>
            <w:tcBorders>
              <w:right w:val="nil"/>
            </w:tcBorders>
          </w:tcPr>
          <w:p w14:paraId="588038A1" w14:textId="77777777" w:rsidR="00E50FFA" w:rsidRPr="00501641" w:rsidRDefault="00E50FFA" w:rsidP="0047242D">
            <w:pPr>
              <w:pStyle w:val="TableParagraph"/>
              <w:ind w:left="0"/>
              <w:rPr>
                <w:rFonts w:ascii="Century Gothic"/>
                <w:b/>
                <w:sz w:val="25"/>
              </w:rPr>
            </w:pPr>
          </w:p>
          <w:p w14:paraId="4A094E6E" w14:textId="77777777" w:rsidR="00E50FFA" w:rsidRPr="00501641" w:rsidRDefault="00E50FFA" w:rsidP="0047242D">
            <w:pPr>
              <w:pStyle w:val="TableParagraph"/>
              <w:ind w:left="296"/>
              <w:rPr>
                <w:rFonts w:ascii="Century Gothic"/>
                <w:b/>
                <w:sz w:val="20"/>
              </w:rPr>
            </w:pPr>
            <w:r w:rsidRPr="00501641">
              <w:rPr>
                <w:rFonts w:ascii="Century Gothic" w:hAnsi="Century Gothic"/>
                <w:b/>
                <w:bCs/>
                <w:sz w:val="20"/>
              </w:rPr>
              <w:t>COI</w:t>
            </w:r>
          </w:p>
        </w:tc>
        <w:tc>
          <w:tcPr>
            <w:tcW w:w="7190" w:type="dxa"/>
            <w:tcBorders>
              <w:top w:val="single" w:sz="8" w:space="0" w:color="DFF2FD"/>
              <w:left w:val="nil"/>
              <w:bottom w:val="single" w:sz="8" w:space="0" w:color="DFF2FD"/>
              <w:right w:val="nil"/>
            </w:tcBorders>
            <w:shd w:val="clear" w:color="auto" w:fill="C9E9FB"/>
          </w:tcPr>
          <w:p w14:paraId="6212B8E9" w14:textId="77777777" w:rsidR="00E50FFA" w:rsidRPr="00501641" w:rsidRDefault="00E50FFA" w:rsidP="0047242D">
            <w:pPr>
              <w:pStyle w:val="TableParagraph"/>
              <w:spacing w:before="47" w:line="254" w:lineRule="auto"/>
              <w:ind w:left="123" w:right="435"/>
              <w:rPr>
                <w:rFonts w:ascii="Century Gothic" w:hAnsi="Century Gothic"/>
                <w:b/>
                <w:sz w:val="20"/>
              </w:rPr>
            </w:pPr>
            <w:proofErr w:type="spellStart"/>
            <w:r w:rsidRPr="00501641">
              <w:rPr>
                <w:rFonts w:ascii="Century Gothic" w:hAnsi="Century Gothic"/>
                <w:b/>
                <w:bCs/>
                <w:sz w:val="20"/>
              </w:rPr>
              <w:t>Presupuesto</w:t>
            </w:r>
            <w:proofErr w:type="spellEnd"/>
            <w:r w:rsidRPr="00501641">
              <w:rPr>
                <w:rFonts w:ascii="Century Gothic" w:hAnsi="Century Gothic"/>
                <w:b/>
                <w:bCs/>
                <w:sz w:val="20"/>
              </w:rPr>
              <w:t xml:space="preserve"> </w:t>
            </w:r>
            <w:proofErr w:type="spellStart"/>
            <w:r w:rsidRPr="00501641">
              <w:rPr>
                <w:rFonts w:ascii="Century Gothic" w:hAnsi="Century Gothic"/>
                <w:b/>
                <w:bCs/>
                <w:sz w:val="20"/>
              </w:rPr>
              <w:t>integrado</w:t>
            </w:r>
            <w:proofErr w:type="spellEnd"/>
            <w:r w:rsidRPr="00501641">
              <w:rPr>
                <w:rFonts w:ascii="Century Gothic" w:hAnsi="Century Gothic"/>
                <w:b/>
                <w:bCs/>
                <w:sz w:val="20"/>
              </w:rPr>
              <w:t xml:space="preserve"> </w:t>
            </w:r>
            <w:proofErr w:type="spellStart"/>
            <w:r w:rsidRPr="00501641">
              <w:rPr>
                <w:rFonts w:ascii="Century Gothic" w:hAnsi="Century Gothic"/>
                <w:b/>
                <w:bCs/>
                <w:sz w:val="20"/>
              </w:rPr>
              <w:t>por</w:t>
            </w:r>
            <w:proofErr w:type="spellEnd"/>
            <w:r w:rsidRPr="00501641">
              <w:rPr>
                <w:rFonts w:ascii="Century Gothic" w:hAnsi="Century Gothic"/>
                <w:b/>
                <w:bCs/>
                <w:sz w:val="20"/>
              </w:rPr>
              <w:t xml:space="preserve"> </w:t>
            </w:r>
            <w:proofErr w:type="spellStart"/>
            <w:r w:rsidRPr="00501641">
              <w:rPr>
                <w:rFonts w:ascii="Century Gothic" w:hAnsi="Century Gothic"/>
                <w:b/>
                <w:bCs/>
                <w:sz w:val="20"/>
              </w:rPr>
              <w:t>producto</w:t>
            </w:r>
            <w:proofErr w:type="spellEnd"/>
            <w:r w:rsidRPr="00501641">
              <w:rPr>
                <w:rFonts w:ascii="Century Gothic" w:hAnsi="Century Gothic"/>
                <w:b/>
                <w:bCs/>
                <w:sz w:val="20"/>
              </w:rPr>
              <w:t xml:space="preserve"> y </w:t>
            </w:r>
            <w:proofErr w:type="spellStart"/>
            <w:r w:rsidRPr="00501641">
              <w:rPr>
                <w:rFonts w:ascii="Century Gothic" w:hAnsi="Century Gothic"/>
                <w:b/>
                <w:bCs/>
                <w:sz w:val="20"/>
              </w:rPr>
              <w:t>fuente</w:t>
            </w:r>
            <w:proofErr w:type="spellEnd"/>
            <w:r w:rsidRPr="00501641">
              <w:rPr>
                <w:rFonts w:ascii="Century Gothic" w:hAnsi="Century Gothic"/>
                <w:b/>
                <w:bCs/>
                <w:sz w:val="20"/>
              </w:rPr>
              <w:t xml:space="preserve"> de </w:t>
            </w:r>
            <w:proofErr w:type="spellStart"/>
            <w:r w:rsidRPr="00501641">
              <w:rPr>
                <w:rFonts w:ascii="Century Gothic" w:hAnsi="Century Gothic"/>
                <w:b/>
                <w:bCs/>
                <w:sz w:val="20"/>
              </w:rPr>
              <w:t>financiación</w:t>
            </w:r>
            <w:proofErr w:type="spellEnd"/>
            <w:r w:rsidRPr="00501641">
              <w:rPr>
                <w:rFonts w:ascii="Century Gothic" w:hAnsi="Century Gothic"/>
                <w:b/>
                <w:bCs/>
                <w:sz w:val="20"/>
              </w:rPr>
              <w:t xml:space="preserve"> sobre la base del </w:t>
            </w:r>
            <w:proofErr w:type="spellStart"/>
            <w:r w:rsidRPr="00501641">
              <w:rPr>
                <w:rFonts w:ascii="Century Gothic" w:hAnsi="Century Gothic"/>
                <w:b/>
                <w:bCs/>
                <w:sz w:val="20"/>
              </w:rPr>
              <w:t>presupuesto</w:t>
            </w:r>
            <w:proofErr w:type="spellEnd"/>
            <w:r w:rsidRPr="00501641">
              <w:rPr>
                <w:rFonts w:ascii="Century Gothic" w:hAnsi="Century Gothic"/>
                <w:b/>
                <w:bCs/>
                <w:sz w:val="20"/>
              </w:rPr>
              <w:t xml:space="preserve"> del </w:t>
            </w:r>
            <w:proofErr w:type="spellStart"/>
            <w:r w:rsidRPr="00501641">
              <w:rPr>
                <w:rFonts w:ascii="Century Gothic" w:hAnsi="Century Gothic"/>
                <w:b/>
                <w:bCs/>
                <w:sz w:val="20"/>
              </w:rPr>
              <w:t>programa</w:t>
            </w:r>
            <w:proofErr w:type="spellEnd"/>
            <w:r w:rsidRPr="00501641">
              <w:rPr>
                <w:rFonts w:ascii="Century Gothic" w:hAnsi="Century Gothic"/>
                <w:b/>
                <w:bCs/>
                <w:sz w:val="20"/>
              </w:rPr>
              <w:t xml:space="preserve"> </w:t>
            </w:r>
            <w:proofErr w:type="spellStart"/>
            <w:r w:rsidRPr="00501641">
              <w:rPr>
                <w:rFonts w:ascii="Century Gothic" w:hAnsi="Century Gothic"/>
                <w:b/>
                <w:bCs/>
                <w:sz w:val="20"/>
              </w:rPr>
              <w:t>ordinario</w:t>
            </w:r>
            <w:proofErr w:type="spellEnd"/>
            <w:r w:rsidRPr="00501641">
              <w:rPr>
                <w:rFonts w:ascii="Century Gothic" w:hAnsi="Century Gothic"/>
                <w:b/>
                <w:bCs/>
                <w:sz w:val="20"/>
              </w:rPr>
              <w:t xml:space="preserve"> con </w:t>
            </w:r>
            <w:proofErr w:type="spellStart"/>
            <w:r w:rsidRPr="00501641">
              <w:rPr>
                <w:rFonts w:ascii="Century Gothic" w:hAnsi="Century Gothic"/>
                <w:b/>
                <w:bCs/>
                <w:sz w:val="20"/>
              </w:rPr>
              <w:t>una</w:t>
            </w:r>
            <w:proofErr w:type="spellEnd"/>
            <w:r w:rsidRPr="00501641">
              <w:rPr>
                <w:rFonts w:ascii="Century Gothic" w:hAnsi="Century Gothic"/>
                <w:b/>
                <w:bCs/>
                <w:sz w:val="20"/>
              </w:rPr>
              <w:t xml:space="preserve"> </w:t>
            </w:r>
            <w:proofErr w:type="spellStart"/>
            <w:r w:rsidRPr="00501641">
              <w:rPr>
                <w:rFonts w:ascii="Century Gothic" w:hAnsi="Century Gothic"/>
                <w:b/>
                <w:bCs/>
                <w:sz w:val="20"/>
              </w:rPr>
              <w:t>consignación</w:t>
            </w:r>
            <w:proofErr w:type="spellEnd"/>
            <w:r w:rsidRPr="00501641">
              <w:rPr>
                <w:rFonts w:ascii="Century Gothic" w:hAnsi="Century Gothic"/>
                <w:b/>
                <w:bCs/>
                <w:sz w:val="20"/>
              </w:rPr>
              <w:t xml:space="preserve"> de</w:t>
            </w:r>
          </w:p>
          <w:p w14:paraId="034CB284" w14:textId="77777777" w:rsidR="00E50FFA" w:rsidRPr="00501641" w:rsidRDefault="00E50FFA" w:rsidP="0047242D">
            <w:pPr>
              <w:pStyle w:val="TableParagraph"/>
              <w:ind w:left="123"/>
              <w:rPr>
                <w:rFonts w:ascii="Century Gothic" w:hAnsi="Century Gothic"/>
                <w:b/>
                <w:sz w:val="20"/>
              </w:rPr>
            </w:pPr>
            <w:r w:rsidRPr="00501641">
              <w:rPr>
                <w:rFonts w:ascii="Century Gothic" w:hAnsi="Century Gothic"/>
                <w:b/>
                <w:bCs/>
                <w:sz w:val="20"/>
              </w:rPr>
              <w:t xml:space="preserve">534,6 </w:t>
            </w:r>
            <w:proofErr w:type="spellStart"/>
            <w:r w:rsidRPr="00501641">
              <w:rPr>
                <w:rFonts w:ascii="Century Gothic" w:hAnsi="Century Gothic"/>
                <w:b/>
                <w:bCs/>
                <w:sz w:val="20"/>
              </w:rPr>
              <w:t>millones</w:t>
            </w:r>
            <w:proofErr w:type="spellEnd"/>
            <w:r w:rsidRPr="00501641">
              <w:rPr>
                <w:rFonts w:ascii="Century Gothic" w:hAnsi="Century Gothic"/>
                <w:b/>
                <w:bCs/>
                <w:sz w:val="20"/>
              </w:rPr>
              <w:t xml:space="preserve"> de </w:t>
            </w:r>
            <w:proofErr w:type="spellStart"/>
            <w:r w:rsidRPr="00501641">
              <w:rPr>
                <w:rFonts w:ascii="Century Gothic" w:hAnsi="Century Gothic"/>
                <w:b/>
                <w:bCs/>
                <w:sz w:val="20"/>
              </w:rPr>
              <w:t>dólares</w:t>
            </w:r>
            <w:proofErr w:type="spellEnd"/>
          </w:p>
        </w:tc>
        <w:tc>
          <w:tcPr>
            <w:tcW w:w="1521" w:type="dxa"/>
            <w:tcBorders>
              <w:top w:val="single" w:sz="12" w:space="0" w:color="FFFFFF"/>
              <w:left w:val="nil"/>
              <w:bottom w:val="dashSmallGap" w:sz="8" w:space="0" w:color="C9E9FB"/>
              <w:right w:val="dashSmallGap" w:sz="8" w:space="0" w:color="C9E9FB"/>
            </w:tcBorders>
          </w:tcPr>
          <w:p w14:paraId="30692CB3" w14:textId="77777777" w:rsidR="00E50FFA" w:rsidRPr="00501641" w:rsidRDefault="00E50FFA" w:rsidP="0047242D">
            <w:pPr>
              <w:pStyle w:val="TableParagraph"/>
              <w:spacing w:before="6"/>
              <w:ind w:left="0"/>
              <w:rPr>
                <w:rFonts w:ascii="Century Gothic"/>
                <w:b/>
                <w:sz w:val="21"/>
              </w:rPr>
            </w:pPr>
          </w:p>
          <w:p w14:paraId="4DE49217" w14:textId="77777777" w:rsidR="00E50FFA" w:rsidRPr="00501641" w:rsidRDefault="00E50FFA" w:rsidP="0047242D">
            <w:pPr>
              <w:pStyle w:val="TableParagraph"/>
              <w:spacing w:line="235" w:lineRule="auto"/>
              <w:ind w:left="217" w:right="29" w:hanging="67"/>
              <w:rPr>
                <w:rFonts w:ascii="Century Gothic" w:hAnsi="Century Gothic"/>
                <w:b/>
                <w:sz w:val="14"/>
              </w:rPr>
            </w:pPr>
            <w:r w:rsidRPr="00501641">
              <w:rPr>
                <w:rFonts w:ascii="Century Gothic" w:hAnsi="Century Gothic"/>
                <w:b/>
                <w:bCs/>
                <w:sz w:val="14"/>
              </w:rPr>
              <w:t>(</w:t>
            </w:r>
            <w:proofErr w:type="gramStart"/>
            <w:r w:rsidRPr="00501641">
              <w:rPr>
                <w:rFonts w:ascii="Century Gothic" w:hAnsi="Century Gothic"/>
                <w:b/>
                <w:bCs/>
                <w:sz w:val="14"/>
              </w:rPr>
              <w:t>en</w:t>
            </w:r>
            <w:proofErr w:type="gramEnd"/>
            <w:r w:rsidRPr="00501641">
              <w:rPr>
                <w:rFonts w:ascii="Century Gothic" w:hAnsi="Century Gothic"/>
                <w:b/>
                <w:bCs/>
                <w:sz w:val="14"/>
              </w:rPr>
              <w:t xml:space="preserve"> miles de </w:t>
            </w:r>
            <w:proofErr w:type="spellStart"/>
            <w:r w:rsidRPr="00501641">
              <w:rPr>
                <w:rFonts w:ascii="Century Gothic" w:hAnsi="Century Gothic"/>
                <w:b/>
                <w:bCs/>
                <w:sz w:val="14"/>
              </w:rPr>
              <w:t>dólares</w:t>
            </w:r>
            <w:proofErr w:type="spellEnd"/>
            <w:r w:rsidRPr="00501641">
              <w:rPr>
                <w:rFonts w:ascii="Century Gothic" w:hAnsi="Century Gothic"/>
                <w:b/>
                <w:bCs/>
                <w:sz w:val="14"/>
              </w:rPr>
              <w:t xml:space="preserve"> </w:t>
            </w:r>
            <w:proofErr w:type="spellStart"/>
            <w:r w:rsidRPr="00501641">
              <w:rPr>
                <w:rFonts w:ascii="Century Gothic" w:hAnsi="Century Gothic"/>
                <w:b/>
                <w:bCs/>
                <w:sz w:val="14"/>
              </w:rPr>
              <w:t>estadounidenses</w:t>
            </w:r>
            <w:proofErr w:type="spellEnd"/>
            <w:r w:rsidRPr="00501641">
              <w:rPr>
                <w:rFonts w:ascii="Century Gothic" w:hAnsi="Century Gothic"/>
                <w:b/>
                <w:bCs/>
                <w:sz w:val="14"/>
              </w:rPr>
              <w:t>)</w:t>
            </w:r>
          </w:p>
        </w:tc>
      </w:tr>
    </w:tbl>
    <w:p w14:paraId="327FC2B7" w14:textId="77777777" w:rsidR="00E50FFA" w:rsidRPr="00501641" w:rsidRDefault="00E50FFA" w:rsidP="00E50FFA">
      <w:pPr>
        <w:pStyle w:val="BodyText"/>
        <w:spacing w:before="4" w:after="1"/>
        <w:rPr>
          <w:rFonts w:ascii="Century Gothic"/>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907"/>
        <w:gridCol w:w="850"/>
        <w:gridCol w:w="963"/>
        <w:gridCol w:w="963"/>
        <w:gridCol w:w="793"/>
        <w:gridCol w:w="963"/>
        <w:gridCol w:w="680"/>
      </w:tblGrid>
      <w:tr w:rsidR="00E50FFA" w:rsidRPr="00501641" w14:paraId="1D35AFDD" w14:textId="77777777" w:rsidTr="0047242D">
        <w:trPr>
          <w:trHeight w:val="273"/>
        </w:trPr>
        <w:tc>
          <w:tcPr>
            <w:tcW w:w="3510" w:type="dxa"/>
            <w:vMerge w:val="restart"/>
            <w:tcBorders>
              <w:left w:val="nil"/>
            </w:tcBorders>
            <w:shd w:val="clear" w:color="auto" w:fill="C9E9FB"/>
          </w:tcPr>
          <w:p w14:paraId="6A5DB6BA" w14:textId="77777777" w:rsidR="00E50FFA" w:rsidRPr="00501641" w:rsidRDefault="00E50FFA" w:rsidP="0047242D">
            <w:pPr>
              <w:pStyle w:val="TableParagraph"/>
              <w:ind w:left="0"/>
              <w:rPr>
                <w:rFonts w:ascii="Century Gothic"/>
                <w:b/>
                <w:sz w:val="18"/>
              </w:rPr>
            </w:pPr>
          </w:p>
          <w:p w14:paraId="2837EC04" w14:textId="77777777" w:rsidR="00E50FFA" w:rsidRPr="00501641" w:rsidRDefault="00E50FFA" w:rsidP="0047242D">
            <w:pPr>
              <w:pStyle w:val="TableParagraph"/>
              <w:ind w:left="0"/>
              <w:rPr>
                <w:rFonts w:ascii="Century Gothic"/>
                <w:b/>
                <w:sz w:val="18"/>
              </w:rPr>
            </w:pPr>
          </w:p>
          <w:p w14:paraId="04662541" w14:textId="77777777" w:rsidR="00E50FFA" w:rsidRPr="00501641" w:rsidRDefault="00E50FFA" w:rsidP="0047242D">
            <w:pPr>
              <w:pStyle w:val="TableParagraph"/>
              <w:spacing w:before="6"/>
              <w:ind w:left="0"/>
              <w:rPr>
                <w:rFonts w:ascii="Century Gothic"/>
                <w:b/>
                <w:sz w:val="17"/>
              </w:rPr>
            </w:pPr>
          </w:p>
          <w:p w14:paraId="5DAFF33F" w14:textId="77777777" w:rsidR="00E50FFA" w:rsidRPr="00501641" w:rsidRDefault="00E50FFA" w:rsidP="0047242D">
            <w:pPr>
              <w:pStyle w:val="TableParagraph"/>
              <w:ind w:left="1445" w:right="1444"/>
              <w:jc w:val="center"/>
              <w:rPr>
                <w:rFonts w:ascii="Palatino Linotype"/>
                <w:b/>
                <w:sz w:val="14"/>
              </w:rPr>
            </w:pPr>
            <w:proofErr w:type="spellStart"/>
            <w:r w:rsidRPr="00501641">
              <w:rPr>
                <w:rFonts w:ascii="Palatino Linotype" w:hAnsi="Palatino Linotype"/>
                <w:b/>
                <w:bCs/>
                <w:sz w:val="14"/>
              </w:rPr>
              <w:t>Producto</w:t>
            </w:r>
            <w:proofErr w:type="spellEnd"/>
          </w:p>
        </w:tc>
        <w:tc>
          <w:tcPr>
            <w:tcW w:w="5439" w:type="dxa"/>
            <w:gridSpan w:val="6"/>
            <w:tcBorders>
              <w:right w:val="nil"/>
            </w:tcBorders>
            <w:shd w:val="clear" w:color="auto" w:fill="C9E9FB"/>
          </w:tcPr>
          <w:p w14:paraId="4213A069" w14:textId="77777777" w:rsidR="00E50FFA" w:rsidRPr="00501641" w:rsidRDefault="00E50FFA" w:rsidP="0047242D">
            <w:pPr>
              <w:pStyle w:val="TableParagraph"/>
              <w:spacing w:before="40"/>
              <w:ind w:left="1718"/>
              <w:rPr>
                <w:rFonts w:ascii="Palatino Linotype" w:hAnsi="Palatino Linotype"/>
                <w:b/>
                <w:sz w:val="14"/>
              </w:rPr>
            </w:pPr>
            <w:proofErr w:type="spellStart"/>
            <w:r w:rsidRPr="00501641">
              <w:rPr>
                <w:rFonts w:ascii="Palatino Linotype" w:hAnsi="Palatino Linotype"/>
                <w:b/>
                <w:bCs/>
                <w:sz w:val="14"/>
              </w:rPr>
              <w:t>Desglose</w:t>
            </w:r>
            <w:proofErr w:type="spellEnd"/>
            <w:r w:rsidRPr="00501641">
              <w:rPr>
                <w:rFonts w:ascii="Palatino Linotype" w:hAnsi="Palatino Linotype"/>
                <w:b/>
                <w:bCs/>
                <w:sz w:val="14"/>
              </w:rPr>
              <w:t xml:space="preserve"> </w:t>
            </w:r>
            <w:proofErr w:type="spellStart"/>
            <w:r w:rsidRPr="00501641">
              <w:rPr>
                <w:rFonts w:ascii="Palatino Linotype" w:hAnsi="Palatino Linotype"/>
                <w:b/>
                <w:bCs/>
                <w:sz w:val="14"/>
              </w:rPr>
              <w:t>por</w:t>
            </w:r>
            <w:proofErr w:type="spellEnd"/>
            <w:r w:rsidRPr="00501641">
              <w:rPr>
                <w:rFonts w:ascii="Palatino Linotype" w:hAnsi="Palatino Linotype"/>
                <w:b/>
                <w:bCs/>
                <w:sz w:val="14"/>
              </w:rPr>
              <w:t xml:space="preserve"> </w:t>
            </w:r>
            <w:proofErr w:type="spellStart"/>
            <w:r w:rsidRPr="00501641">
              <w:rPr>
                <w:rFonts w:ascii="Palatino Linotype" w:hAnsi="Palatino Linotype"/>
                <w:b/>
                <w:bCs/>
                <w:sz w:val="14"/>
              </w:rPr>
              <w:t>fuente</w:t>
            </w:r>
            <w:proofErr w:type="spellEnd"/>
            <w:r w:rsidRPr="00501641">
              <w:rPr>
                <w:rFonts w:ascii="Palatino Linotype" w:hAnsi="Palatino Linotype"/>
                <w:b/>
                <w:bCs/>
                <w:sz w:val="14"/>
              </w:rPr>
              <w:t xml:space="preserve"> de </w:t>
            </w:r>
            <w:proofErr w:type="spellStart"/>
            <w:r w:rsidRPr="00501641">
              <w:rPr>
                <w:rFonts w:ascii="Palatino Linotype" w:hAnsi="Palatino Linotype"/>
                <w:b/>
                <w:bCs/>
                <w:sz w:val="14"/>
              </w:rPr>
              <w:t>financiación</w:t>
            </w:r>
            <w:proofErr w:type="spellEnd"/>
          </w:p>
        </w:tc>
        <w:tc>
          <w:tcPr>
            <w:tcW w:w="680" w:type="dxa"/>
            <w:vMerge w:val="restart"/>
            <w:tcBorders>
              <w:left w:val="nil"/>
              <w:right w:val="nil"/>
            </w:tcBorders>
            <w:shd w:val="clear" w:color="auto" w:fill="C9E9FB"/>
          </w:tcPr>
          <w:p w14:paraId="05FDC4E6" w14:textId="77777777" w:rsidR="00E50FFA" w:rsidRPr="00501641" w:rsidRDefault="00E50FFA" w:rsidP="0047242D">
            <w:pPr>
              <w:pStyle w:val="TableParagraph"/>
              <w:ind w:left="0"/>
              <w:rPr>
                <w:rFonts w:ascii="Century Gothic"/>
                <w:b/>
                <w:sz w:val="18"/>
              </w:rPr>
            </w:pPr>
          </w:p>
          <w:p w14:paraId="73775C7B" w14:textId="77777777" w:rsidR="00E50FFA" w:rsidRPr="00501641" w:rsidRDefault="00E50FFA" w:rsidP="0047242D">
            <w:pPr>
              <w:pStyle w:val="TableParagraph"/>
              <w:ind w:left="0"/>
              <w:rPr>
                <w:rFonts w:ascii="Century Gothic"/>
                <w:b/>
                <w:sz w:val="18"/>
              </w:rPr>
            </w:pPr>
          </w:p>
          <w:p w14:paraId="4523CBFA" w14:textId="77777777" w:rsidR="00E50FFA" w:rsidRPr="00501641" w:rsidRDefault="00E50FFA" w:rsidP="0047242D">
            <w:pPr>
              <w:pStyle w:val="TableParagraph"/>
              <w:spacing w:before="6"/>
              <w:ind w:left="0"/>
              <w:rPr>
                <w:rFonts w:ascii="Century Gothic"/>
                <w:b/>
                <w:sz w:val="17"/>
              </w:rPr>
            </w:pPr>
          </w:p>
          <w:p w14:paraId="095501E0" w14:textId="77777777" w:rsidR="00E50FFA" w:rsidRPr="00501641" w:rsidRDefault="00E50FFA" w:rsidP="0047242D">
            <w:pPr>
              <w:pStyle w:val="TableParagraph"/>
              <w:ind w:left="179"/>
              <w:rPr>
                <w:rFonts w:ascii="Palatino Linotype"/>
                <w:b/>
                <w:sz w:val="8"/>
              </w:rPr>
            </w:pPr>
            <w:r w:rsidRPr="00501641">
              <w:rPr>
                <w:rFonts w:ascii="Palatino Linotype" w:hAnsi="Palatino Linotype"/>
                <w:b/>
                <w:bCs/>
                <w:sz w:val="14"/>
              </w:rPr>
              <w:t>Total</w:t>
            </w:r>
            <w:r w:rsidRPr="00501641">
              <w:rPr>
                <w:rFonts w:ascii="Palatino Linotype" w:hAnsi="Palatino Linotype"/>
                <w:b/>
                <w:bCs/>
                <w:sz w:val="8"/>
              </w:rPr>
              <w:t>3</w:t>
            </w:r>
          </w:p>
        </w:tc>
      </w:tr>
      <w:tr w:rsidR="00E50FFA" w:rsidRPr="00501641" w14:paraId="5EB088D0" w14:textId="77777777" w:rsidTr="0047242D">
        <w:trPr>
          <w:trHeight w:val="205"/>
        </w:trPr>
        <w:tc>
          <w:tcPr>
            <w:tcW w:w="3510" w:type="dxa"/>
            <w:vMerge/>
            <w:tcBorders>
              <w:top w:val="nil"/>
              <w:left w:val="nil"/>
            </w:tcBorders>
            <w:shd w:val="clear" w:color="auto" w:fill="C9E9FB"/>
          </w:tcPr>
          <w:p w14:paraId="2FA881AF" w14:textId="77777777" w:rsidR="00E50FFA" w:rsidRPr="00501641" w:rsidRDefault="00E50FFA" w:rsidP="0047242D">
            <w:pPr>
              <w:rPr>
                <w:sz w:val="2"/>
                <w:szCs w:val="2"/>
              </w:rPr>
            </w:pPr>
          </w:p>
        </w:tc>
        <w:tc>
          <w:tcPr>
            <w:tcW w:w="907" w:type="dxa"/>
            <w:vMerge w:val="restart"/>
            <w:shd w:val="clear" w:color="auto" w:fill="C9E9FB"/>
          </w:tcPr>
          <w:p w14:paraId="6E83EC97" w14:textId="77777777" w:rsidR="00E50FFA" w:rsidRPr="00501641" w:rsidRDefault="00E50FFA" w:rsidP="0047242D">
            <w:pPr>
              <w:pStyle w:val="TableParagraph"/>
              <w:ind w:left="0"/>
              <w:rPr>
                <w:rFonts w:ascii="Century Gothic"/>
                <w:b/>
                <w:sz w:val="18"/>
              </w:rPr>
            </w:pPr>
          </w:p>
          <w:p w14:paraId="56184AC6" w14:textId="77777777" w:rsidR="00E50FFA" w:rsidRPr="00501641" w:rsidRDefault="00E50FFA" w:rsidP="0047242D">
            <w:pPr>
              <w:pStyle w:val="TableParagraph"/>
              <w:spacing w:before="2"/>
              <w:ind w:left="0"/>
              <w:rPr>
                <w:rFonts w:ascii="Century Gothic"/>
                <w:b/>
                <w:sz w:val="19"/>
              </w:rPr>
            </w:pPr>
          </w:p>
          <w:p w14:paraId="7CF979C0" w14:textId="77777777" w:rsidR="00E50FFA" w:rsidRPr="00501641" w:rsidRDefault="00E50FFA" w:rsidP="0047242D">
            <w:pPr>
              <w:pStyle w:val="TableParagraph"/>
              <w:spacing w:line="204" w:lineRule="auto"/>
              <w:ind w:left="159" w:firstLine="6"/>
              <w:rPr>
                <w:rFonts w:ascii="Palatino Linotype"/>
                <w:b/>
                <w:sz w:val="8"/>
              </w:rPr>
            </w:pPr>
            <w:proofErr w:type="spellStart"/>
            <w:r w:rsidRPr="00501641">
              <w:rPr>
                <w:rFonts w:ascii="Palatino Linotype" w:hAnsi="Palatino Linotype"/>
                <w:b/>
                <w:bCs/>
                <w:sz w:val="14"/>
              </w:rPr>
              <w:t>Programa</w:t>
            </w:r>
            <w:proofErr w:type="spellEnd"/>
            <w:r w:rsidRPr="00501641">
              <w:rPr>
                <w:rFonts w:ascii="Palatino Linotype" w:hAnsi="Palatino Linotype"/>
                <w:b/>
                <w:bCs/>
                <w:sz w:val="14"/>
              </w:rPr>
              <w:t xml:space="preserve"> ordinario</w:t>
            </w:r>
            <w:r w:rsidRPr="00501641">
              <w:rPr>
                <w:rFonts w:ascii="Palatino Linotype" w:hAnsi="Palatino Linotype"/>
                <w:b/>
                <w:bCs/>
                <w:sz w:val="8"/>
              </w:rPr>
              <w:t>1</w:t>
            </w:r>
          </w:p>
        </w:tc>
        <w:tc>
          <w:tcPr>
            <w:tcW w:w="850" w:type="dxa"/>
            <w:vMerge w:val="restart"/>
            <w:shd w:val="clear" w:color="auto" w:fill="C9E9FB"/>
          </w:tcPr>
          <w:p w14:paraId="09C0A334" w14:textId="77777777" w:rsidR="00E50FFA" w:rsidRPr="00501641" w:rsidRDefault="00E50FFA" w:rsidP="0047242D">
            <w:pPr>
              <w:pStyle w:val="TableParagraph"/>
              <w:ind w:left="0"/>
              <w:rPr>
                <w:rFonts w:ascii="Century Gothic"/>
                <w:b/>
                <w:sz w:val="18"/>
              </w:rPr>
            </w:pPr>
          </w:p>
          <w:p w14:paraId="3E41BD76" w14:textId="77777777" w:rsidR="00E50FFA" w:rsidRPr="00501641" w:rsidRDefault="00E50FFA" w:rsidP="0047242D">
            <w:pPr>
              <w:pStyle w:val="TableParagraph"/>
              <w:spacing w:before="155" w:line="204" w:lineRule="auto"/>
              <w:ind w:left="78" w:right="77" w:hanging="1"/>
              <w:jc w:val="center"/>
              <w:rPr>
                <w:rFonts w:ascii="Palatino Linotype"/>
                <w:b/>
                <w:sz w:val="14"/>
              </w:rPr>
            </w:pPr>
            <w:proofErr w:type="spellStart"/>
            <w:r w:rsidRPr="00501641">
              <w:rPr>
                <w:rFonts w:ascii="Palatino Linotype" w:hAnsi="Palatino Linotype"/>
                <w:b/>
                <w:bCs/>
                <w:sz w:val="14"/>
              </w:rPr>
              <w:t>Fondos</w:t>
            </w:r>
            <w:proofErr w:type="spellEnd"/>
            <w:r w:rsidRPr="00501641">
              <w:rPr>
                <w:rFonts w:ascii="Palatino Linotype" w:hAnsi="Palatino Linotype"/>
                <w:b/>
                <w:bCs/>
                <w:sz w:val="14"/>
              </w:rPr>
              <w:t xml:space="preserve"> </w:t>
            </w:r>
            <w:proofErr w:type="spellStart"/>
            <w:r w:rsidRPr="00501641">
              <w:rPr>
                <w:rFonts w:ascii="Palatino Linotype" w:hAnsi="Palatino Linotype"/>
                <w:b/>
                <w:bCs/>
                <w:sz w:val="14"/>
              </w:rPr>
              <w:t>generadores</w:t>
            </w:r>
            <w:proofErr w:type="spellEnd"/>
            <w:r w:rsidRPr="00501641">
              <w:rPr>
                <w:rFonts w:ascii="Palatino Linotype" w:hAnsi="Palatino Linotype"/>
                <w:b/>
                <w:bCs/>
                <w:sz w:val="14"/>
              </w:rPr>
              <w:t xml:space="preserve"> de </w:t>
            </w:r>
            <w:proofErr w:type="spellStart"/>
            <w:r w:rsidRPr="00501641">
              <w:rPr>
                <w:rFonts w:ascii="Palatino Linotype" w:hAnsi="Palatino Linotype"/>
                <w:b/>
                <w:bCs/>
                <w:sz w:val="14"/>
              </w:rPr>
              <w:t>ingresos</w:t>
            </w:r>
            <w:proofErr w:type="spellEnd"/>
          </w:p>
        </w:tc>
        <w:tc>
          <w:tcPr>
            <w:tcW w:w="2719" w:type="dxa"/>
            <w:gridSpan w:val="3"/>
            <w:shd w:val="clear" w:color="auto" w:fill="C9E9FB"/>
          </w:tcPr>
          <w:p w14:paraId="7B0E1ADA" w14:textId="77777777" w:rsidR="00E50FFA" w:rsidRPr="00501641" w:rsidRDefault="00E50FFA" w:rsidP="0047242D">
            <w:pPr>
              <w:pStyle w:val="TableParagraph"/>
              <w:spacing w:before="6" w:line="179" w:lineRule="exact"/>
              <w:ind w:left="587"/>
              <w:rPr>
                <w:rFonts w:ascii="Palatino Linotype"/>
                <w:b/>
                <w:sz w:val="14"/>
              </w:rPr>
            </w:pPr>
            <w:proofErr w:type="spellStart"/>
            <w:r w:rsidRPr="00501641">
              <w:rPr>
                <w:rFonts w:ascii="Palatino Linotype" w:hAnsi="Palatino Linotype"/>
                <w:b/>
                <w:bCs/>
                <w:sz w:val="14"/>
              </w:rPr>
              <w:t>Contribuciones</w:t>
            </w:r>
            <w:proofErr w:type="spellEnd"/>
            <w:r w:rsidRPr="00501641">
              <w:rPr>
                <w:rFonts w:ascii="Palatino Linotype" w:hAnsi="Palatino Linotype"/>
                <w:b/>
                <w:bCs/>
                <w:sz w:val="14"/>
              </w:rPr>
              <w:t xml:space="preserve"> </w:t>
            </w:r>
            <w:proofErr w:type="spellStart"/>
            <w:r w:rsidRPr="00501641">
              <w:rPr>
                <w:rFonts w:ascii="Palatino Linotype" w:hAnsi="Palatino Linotype"/>
                <w:b/>
                <w:bCs/>
                <w:sz w:val="14"/>
              </w:rPr>
              <w:t>voluntarias</w:t>
            </w:r>
            <w:proofErr w:type="spellEnd"/>
          </w:p>
        </w:tc>
        <w:tc>
          <w:tcPr>
            <w:tcW w:w="963" w:type="dxa"/>
            <w:vMerge w:val="restart"/>
            <w:shd w:val="clear" w:color="auto" w:fill="C9E9FB"/>
          </w:tcPr>
          <w:p w14:paraId="672905DE" w14:textId="77777777" w:rsidR="00E50FFA" w:rsidRPr="00501641" w:rsidRDefault="00E50FFA" w:rsidP="0047242D">
            <w:pPr>
              <w:pStyle w:val="TableParagraph"/>
              <w:ind w:left="0"/>
              <w:rPr>
                <w:rFonts w:ascii="Century Gothic"/>
                <w:b/>
                <w:sz w:val="18"/>
              </w:rPr>
            </w:pPr>
          </w:p>
          <w:p w14:paraId="2BD30C69" w14:textId="77777777" w:rsidR="00E50FFA" w:rsidRPr="00501641" w:rsidRDefault="00E50FFA" w:rsidP="0047242D">
            <w:pPr>
              <w:pStyle w:val="TableParagraph"/>
              <w:spacing w:before="155" w:line="204" w:lineRule="auto"/>
              <w:ind w:left="60" w:right="53" w:firstLine="1"/>
              <w:jc w:val="center"/>
              <w:rPr>
                <w:rFonts w:ascii="Palatino Linotype"/>
                <w:b/>
                <w:sz w:val="14"/>
              </w:rPr>
            </w:pPr>
            <w:r w:rsidRPr="00501641">
              <w:rPr>
                <w:rFonts w:ascii="Palatino Linotype" w:hAnsi="Palatino Linotype"/>
                <w:b/>
                <w:bCs/>
                <w:sz w:val="14"/>
              </w:rPr>
              <w:t xml:space="preserve">Total </w:t>
            </w:r>
            <w:proofErr w:type="spellStart"/>
            <w:r w:rsidRPr="00501641">
              <w:rPr>
                <w:rFonts w:ascii="Palatino Linotype" w:hAnsi="Palatino Linotype"/>
                <w:b/>
                <w:bCs/>
                <w:sz w:val="14"/>
              </w:rPr>
              <w:t>contribuciones</w:t>
            </w:r>
            <w:proofErr w:type="spellEnd"/>
            <w:r w:rsidRPr="00501641">
              <w:rPr>
                <w:rFonts w:ascii="Palatino Linotype" w:hAnsi="Palatino Linotype"/>
                <w:b/>
                <w:bCs/>
                <w:sz w:val="14"/>
              </w:rPr>
              <w:t xml:space="preserve"> </w:t>
            </w:r>
            <w:proofErr w:type="spellStart"/>
            <w:r w:rsidRPr="00501641">
              <w:rPr>
                <w:rFonts w:ascii="Palatino Linotype" w:hAnsi="Palatino Linotype"/>
                <w:b/>
                <w:bCs/>
                <w:sz w:val="14"/>
              </w:rPr>
              <w:t>voluntarias</w:t>
            </w:r>
            <w:proofErr w:type="spellEnd"/>
          </w:p>
        </w:tc>
        <w:tc>
          <w:tcPr>
            <w:tcW w:w="680" w:type="dxa"/>
            <w:vMerge/>
            <w:tcBorders>
              <w:top w:val="nil"/>
              <w:left w:val="nil"/>
              <w:right w:val="nil"/>
            </w:tcBorders>
            <w:shd w:val="clear" w:color="auto" w:fill="C9E9FB"/>
          </w:tcPr>
          <w:p w14:paraId="5A8FEE29" w14:textId="77777777" w:rsidR="00E50FFA" w:rsidRPr="00501641" w:rsidRDefault="00E50FFA" w:rsidP="0047242D">
            <w:pPr>
              <w:rPr>
                <w:sz w:val="2"/>
                <w:szCs w:val="2"/>
              </w:rPr>
            </w:pPr>
          </w:p>
        </w:tc>
      </w:tr>
      <w:tr w:rsidR="00E50FFA" w:rsidRPr="00501641" w14:paraId="6653E487" w14:textId="77777777" w:rsidTr="0047242D">
        <w:trPr>
          <w:trHeight w:val="1005"/>
        </w:trPr>
        <w:tc>
          <w:tcPr>
            <w:tcW w:w="3510" w:type="dxa"/>
            <w:vMerge/>
            <w:tcBorders>
              <w:top w:val="nil"/>
              <w:left w:val="nil"/>
            </w:tcBorders>
            <w:shd w:val="clear" w:color="auto" w:fill="C9E9FB"/>
          </w:tcPr>
          <w:p w14:paraId="357D7F4F" w14:textId="77777777" w:rsidR="00E50FFA" w:rsidRPr="00501641" w:rsidRDefault="00E50FFA" w:rsidP="0047242D">
            <w:pPr>
              <w:rPr>
                <w:sz w:val="2"/>
                <w:szCs w:val="2"/>
              </w:rPr>
            </w:pPr>
          </w:p>
        </w:tc>
        <w:tc>
          <w:tcPr>
            <w:tcW w:w="907" w:type="dxa"/>
            <w:vMerge/>
            <w:tcBorders>
              <w:top w:val="nil"/>
            </w:tcBorders>
            <w:shd w:val="clear" w:color="auto" w:fill="C9E9FB"/>
          </w:tcPr>
          <w:p w14:paraId="2A89DB2F" w14:textId="77777777" w:rsidR="00E50FFA" w:rsidRPr="00501641" w:rsidRDefault="00E50FFA" w:rsidP="0047242D">
            <w:pPr>
              <w:rPr>
                <w:sz w:val="2"/>
                <w:szCs w:val="2"/>
              </w:rPr>
            </w:pPr>
          </w:p>
        </w:tc>
        <w:tc>
          <w:tcPr>
            <w:tcW w:w="850" w:type="dxa"/>
            <w:vMerge/>
            <w:tcBorders>
              <w:top w:val="nil"/>
            </w:tcBorders>
            <w:shd w:val="clear" w:color="auto" w:fill="C9E9FB"/>
          </w:tcPr>
          <w:p w14:paraId="05AA599E" w14:textId="77777777" w:rsidR="00E50FFA" w:rsidRPr="00501641" w:rsidRDefault="00E50FFA" w:rsidP="0047242D">
            <w:pPr>
              <w:rPr>
                <w:sz w:val="2"/>
                <w:szCs w:val="2"/>
              </w:rPr>
            </w:pPr>
          </w:p>
        </w:tc>
        <w:tc>
          <w:tcPr>
            <w:tcW w:w="963" w:type="dxa"/>
            <w:shd w:val="clear" w:color="auto" w:fill="C9E9FB"/>
          </w:tcPr>
          <w:p w14:paraId="733CB712" w14:textId="77777777" w:rsidR="00E50FFA" w:rsidRPr="00501641" w:rsidRDefault="00E50FFA" w:rsidP="0047242D">
            <w:pPr>
              <w:pStyle w:val="TableParagraph"/>
              <w:spacing w:before="28" w:line="204" w:lineRule="auto"/>
              <w:ind w:left="166" w:right="-13" w:hanging="114"/>
              <w:rPr>
                <w:rFonts w:ascii="Palatino Linotype" w:hAnsi="Palatino Linotype"/>
                <w:sz w:val="8"/>
              </w:rPr>
            </w:pPr>
            <w:proofErr w:type="spellStart"/>
            <w:r w:rsidRPr="00501641">
              <w:rPr>
                <w:rFonts w:ascii="Palatino Linotype" w:hAnsi="Palatino Linotype"/>
                <w:sz w:val="14"/>
              </w:rPr>
              <w:t>Cuenta</w:t>
            </w:r>
            <w:proofErr w:type="spellEnd"/>
            <w:r w:rsidRPr="00501641">
              <w:rPr>
                <w:rFonts w:ascii="Palatino Linotype" w:hAnsi="Palatino Linotype"/>
                <w:sz w:val="14"/>
              </w:rPr>
              <w:t xml:space="preserve"> </w:t>
            </w:r>
            <w:proofErr w:type="spellStart"/>
            <w:r w:rsidRPr="00501641">
              <w:rPr>
                <w:rFonts w:ascii="Palatino Linotype" w:hAnsi="Palatino Linotype"/>
                <w:sz w:val="14"/>
              </w:rPr>
              <w:t>Especial</w:t>
            </w:r>
            <w:proofErr w:type="spellEnd"/>
            <w:r w:rsidRPr="00501641">
              <w:rPr>
                <w:rFonts w:ascii="Palatino Linotype" w:hAnsi="Palatino Linotype"/>
                <w:sz w:val="14"/>
              </w:rPr>
              <w:t xml:space="preserve"> para Gastos de Gestión</w:t>
            </w:r>
            <w:r w:rsidRPr="00501641">
              <w:rPr>
                <w:rFonts w:ascii="Palatino Linotype" w:hAnsi="Palatino Linotype"/>
                <w:sz w:val="8"/>
              </w:rPr>
              <w:t>2</w:t>
            </w:r>
          </w:p>
          <w:p w14:paraId="7B4821F9" w14:textId="77777777" w:rsidR="00E50FFA" w:rsidRPr="00501641" w:rsidRDefault="00E50FFA" w:rsidP="0047242D">
            <w:pPr>
              <w:pStyle w:val="TableParagraph"/>
              <w:spacing w:line="204" w:lineRule="auto"/>
              <w:ind w:left="82" w:right="-2" w:firstLine="56"/>
              <w:rPr>
                <w:rFonts w:ascii="Palatino Linotype"/>
                <w:sz w:val="14"/>
              </w:rPr>
            </w:pPr>
            <w:r w:rsidRPr="00501641">
              <w:rPr>
                <w:rFonts w:ascii="Palatino Linotype" w:hAnsi="Palatino Linotype"/>
                <w:sz w:val="14"/>
              </w:rPr>
              <w:t xml:space="preserve">- Parte de las </w:t>
            </w:r>
            <w:proofErr w:type="spellStart"/>
            <w:r w:rsidRPr="00501641">
              <w:rPr>
                <w:rFonts w:ascii="Palatino Linotype" w:hAnsi="Palatino Linotype"/>
                <w:sz w:val="14"/>
              </w:rPr>
              <w:t>contribuciones</w:t>
            </w:r>
            <w:proofErr w:type="spellEnd"/>
          </w:p>
          <w:p w14:paraId="194C5827" w14:textId="77777777" w:rsidR="00E50FFA" w:rsidRPr="00501641" w:rsidRDefault="00E50FFA" w:rsidP="0047242D">
            <w:pPr>
              <w:pStyle w:val="TableParagraph"/>
              <w:spacing w:line="156" w:lineRule="exact"/>
              <w:ind w:left="182"/>
              <w:rPr>
                <w:rFonts w:ascii="Palatino Linotype"/>
                <w:sz w:val="14"/>
              </w:rPr>
            </w:pPr>
            <w:proofErr w:type="spellStart"/>
            <w:proofErr w:type="gramStart"/>
            <w:r w:rsidRPr="00501641">
              <w:rPr>
                <w:rFonts w:ascii="Palatino Linotype" w:hAnsi="Palatino Linotype"/>
                <w:sz w:val="14"/>
              </w:rPr>
              <w:t>voluntarias</w:t>
            </w:r>
            <w:proofErr w:type="spellEnd"/>
            <w:proofErr w:type="gramEnd"/>
          </w:p>
        </w:tc>
        <w:tc>
          <w:tcPr>
            <w:tcW w:w="963" w:type="dxa"/>
            <w:shd w:val="clear" w:color="auto" w:fill="C9E9FB"/>
          </w:tcPr>
          <w:p w14:paraId="20DE8C0A" w14:textId="77777777" w:rsidR="00E50FFA" w:rsidRPr="00501641" w:rsidRDefault="00E50FFA" w:rsidP="0047242D">
            <w:pPr>
              <w:pStyle w:val="TableParagraph"/>
              <w:spacing w:before="11"/>
              <w:ind w:left="0"/>
              <w:rPr>
                <w:rFonts w:ascii="Century Gothic"/>
                <w:b/>
                <w:sz w:val="21"/>
              </w:rPr>
            </w:pPr>
          </w:p>
          <w:p w14:paraId="14AF1422" w14:textId="77777777" w:rsidR="00E50FFA" w:rsidRPr="00501641" w:rsidRDefault="00E50FFA" w:rsidP="0047242D">
            <w:pPr>
              <w:pStyle w:val="TableParagraph"/>
              <w:spacing w:line="204" w:lineRule="auto"/>
              <w:ind w:left="176" w:right="15" w:hanging="112"/>
              <w:rPr>
                <w:rFonts w:ascii="Palatino Linotype"/>
                <w:sz w:val="14"/>
              </w:rPr>
            </w:pPr>
            <w:proofErr w:type="spellStart"/>
            <w:r w:rsidRPr="00501641">
              <w:rPr>
                <w:rFonts w:ascii="Palatino Linotype" w:hAnsi="Palatino Linotype"/>
                <w:sz w:val="14"/>
              </w:rPr>
              <w:t>Contribuciones</w:t>
            </w:r>
            <w:proofErr w:type="spellEnd"/>
            <w:r w:rsidRPr="00501641">
              <w:rPr>
                <w:rFonts w:ascii="Palatino Linotype" w:hAnsi="Palatino Linotype"/>
                <w:sz w:val="14"/>
              </w:rPr>
              <w:t xml:space="preserve"> </w:t>
            </w:r>
            <w:proofErr w:type="spellStart"/>
            <w:r w:rsidRPr="00501641">
              <w:rPr>
                <w:rFonts w:ascii="Palatino Linotype" w:hAnsi="Palatino Linotype"/>
                <w:sz w:val="14"/>
              </w:rPr>
              <w:t>voluntarias</w:t>
            </w:r>
            <w:proofErr w:type="spellEnd"/>
            <w:r w:rsidRPr="00501641">
              <w:rPr>
                <w:rFonts w:ascii="Palatino Linotype" w:hAnsi="Palatino Linotype"/>
                <w:sz w:val="14"/>
              </w:rPr>
              <w:t xml:space="preserve"> disponibles</w:t>
            </w:r>
          </w:p>
        </w:tc>
        <w:tc>
          <w:tcPr>
            <w:tcW w:w="793" w:type="dxa"/>
            <w:shd w:val="clear" w:color="auto" w:fill="C9E9FB"/>
          </w:tcPr>
          <w:p w14:paraId="1BA40E2E" w14:textId="77777777" w:rsidR="00E50FFA" w:rsidRPr="00501641" w:rsidRDefault="00E50FFA" w:rsidP="0047242D">
            <w:pPr>
              <w:pStyle w:val="TableParagraph"/>
              <w:ind w:left="0"/>
              <w:rPr>
                <w:rFonts w:ascii="Century Gothic"/>
                <w:b/>
                <w:sz w:val="18"/>
              </w:rPr>
            </w:pPr>
          </w:p>
          <w:p w14:paraId="7FC0CC87" w14:textId="77777777" w:rsidR="00E50FFA" w:rsidRPr="00501641" w:rsidRDefault="00E50FFA" w:rsidP="0047242D">
            <w:pPr>
              <w:pStyle w:val="TableParagraph"/>
              <w:spacing w:before="128" w:line="204" w:lineRule="auto"/>
              <w:ind w:left="66" w:right="18" w:firstLine="70"/>
              <w:rPr>
                <w:rFonts w:ascii="Palatino Linotype" w:hAnsi="Palatino Linotype"/>
                <w:sz w:val="14"/>
              </w:rPr>
            </w:pPr>
            <w:r w:rsidRPr="00501641">
              <w:rPr>
                <w:rFonts w:ascii="Palatino Linotype" w:hAnsi="Palatino Linotype"/>
                <w:sz w:val="14"/>
              </w:rPr>
              <w:t xml:space="preserve">Déficit de </w:t>
            </w:r>
            <w:proofErr w:type="spellStart"/>
            <w:r w:rsidRPr="00501641">
              <w:rPr>
                <w:rFonts w:ascii="Palatino Linotype" w:hAnsi="Palatino Linotype"/>
                <w:sz w:val="14"/>
              </w:rPr>
              <w:t>financiación</w:t>
            </w:r>
            <w:proofErr w:type="spellEnd"/>
          </w:p>
        </w:tc>
        <w:tc>
          <w:tcPr>
            <w:tcW w:w="963" w:type="dxa"/>
            <w:vMerge/>
            <w:tcBorders>
              <w:top w:val="nil"/>
            </w:tcBorders>
            <w:shd w:val="clear" w:color="auto" w:fill="C9E9FB"/>
          </w:tcPr>
          <w:p w14:paraId="227364BC" w14:textId="77777777" w:rsidR="00E50FFA" w:rsidRPr="00501641" w:rsidRDefault="00E50FFA" w:rsidP="0047242D">
            <w:pPr>
              <w:rPr>
                <w:sz w:val="2"/>
                <w:szCs w:val="2"/>
              </w:rPr>
            </w:pPr>
          </w:p>
        </w:tc>
        <w:tc>
          <w:tcPr>
            <w:tcW w:w="680" w:type="dxa"/>
            <w:vMerge/>
            <w:tcBorders>
              <w:top w:val="nil"/>
              <w:left w:val="nil"/>
              <w:right w:val="nil"/>
            </w:tcBorders>
            <w:shd w:val="clear" w:color="auto" w:fill="C9E9FB"/>
          </w:tcPr>
          <w:p w14:paraId="3FEC465B" w14:textId="77777777" w:rsidR="00E50FFA" w:rsidRPr="00501641" w:rsidRDefault="00E50FFA" w:rsidP="0047242D">
            <w:pPr>
              <w:rPr>
                <w:sz w:val="2"/>
                <w:szCs w:val="2"/>
              </w:rPr>
            </w:pPr>
          </w:p>
        </w:tc>
      </w:tr>
      <w:tr w:rsidR="00E50FFA" w:rsidRPr="00501641" w14:paraId="3DED1CE3" w14:textId="77777777" w:rsidTr="0047242D">
        <w:trPr>
          <w:trHeight w:val="1570"/>
        </w:trPr>
        <w:tc>
          <w:tcPr>
            <w:tcW w:w="7986" w:type="dxa"/>
            <w:gridSpan w:val="6"/>
            <w:tcBorders>
              <w:left w:val="nil"/>
            </w:tcBorders>
          </w:tcPr>
          <w:p w14:paraId="3B72F638" w14:textId="77777777" w:rsidR="00E50FFA" w:rsidRPr="00501641" w:rsidRDefault="00E50FFA" w:rsidP="0047242D">
            <w:pPr>
              <w:pStyle w:val="TableParagraph"/>
              <w:tabs>
                <w:tab w:val="left" w:pos="3951"/>
                <w:tab w:val="left" w:pos="5156"/>
                <w:tab w:val="left" w:pos="6120"/>
                <w:tab w:val="left" w:pos="6804"/>
                <w:tab w:val="right" w:pos="7934"/>
              </w:tabs>
              <w:spacing w:before="60" w:line="183" w:lineRule="exact"/>
              <w:ind w:left="277"/>
              <w:rPr>
                <w:rFonts w:ascii="Palatino Linotype" w:hAnsi="Palatino Linotype"/>
                <w:sz w:val="15"/>
              </w:rPr>
            </w:pPr>
            <w:r w:rsidRPr="00501641">
              <w:rPr>
                <w:rFonts w:ascii="Palatino Linotype" w:hAnsi="Palatino Linotype"/>
                <w:sz w:val="14"/>
              </w:rPr>
              <w:t xml:space="preserve">3.IOC1 </w:t>
            </w:r>
            <w:proofErr w:type="spellStart"/>
            <w:r w:rsidRPr="00501641">
              <w:rPr>
                <w:rFonts w:ascii="Palatino Linotype" w:hAnsi="Palatino Linotype"/>
                <w:sz w:val="14"/>
              </w:rPr>
              <w:t>Prestación</w:t>
            </w:r>
            <w:proofErr w:type="spellEnd"/>
            <w:r w:rsidRPr="00501641">
              <w:rPr>
                <w:rFonts w:ascii="Palatino Linotype" w:hAnsi="Palatino Linotype"/>
                <w:sz w:val="14"/>
              </w:rPr>
              <w:t xml:space="preserve"> </w:t>
            </w:r>
            <w:proofErr w:type="gramStart"/>
            <w:r w:rsidRPr="00501641">
              <w:rPr>
                <w:rFonts w:ascii="Palatino Linotype" w:hAnsi="Palatino Linotype"/>
                <w:sz w:val="14"/>
              </w:rPr>
              <w:t>de un</w:t>
            </w:r>
            <w:proofErr w:type="gramEnd"/>
            <w:r w:rsidRPr="00501641">
              <w:rPr>
                <w:rFonts w:ascii="Palatino Linotype" w:hAnsi="Palatino Linotype"/>
                <w:sz w:val="14"/>
              </w:rPr>
              <w:t xml:space="preserve"> </w:t>
            </w:r>
            <w:proofErr w:type="spellStart"/>
            <w:r w:rsidRPr="00501641">
              <w:rPr>
                <w:rFonts w:ascii="Palatino Linotype" w:hAnsi="Palatino Linotype"/>
                <w:sz w:val="14"/>
              </w:rPr>
              <w:t>apoyo</w:t>
            </w:r>
            <w:proofErr w:type="spellEnd"/>
            <w:r w:rsidRPr="00501641">
              <w:rPr>
                <w:rFonts w:ascii="Palatino Linotype" w:hAnsi="Palatino Linotype"/>
                <w:sz w:val="14"/>
              </w:rPr>
              <w:t xml:space="preserve"> </w:t>
            </w:r>
            <w:proofErr w:type="spellStart"/>
            <w:r w:rsidRPr="00501641">
              <w:rPr>
                <w:rFonts w:ascii="Palatino Linotype" w:hAnsi="Palatino Linotype"/>
                <w:sz w:val="14"/>
              </w:rPr>
              <w:t>fundamental</w:t>
            </w:r>
            <w:proofErr w:type="spellEnd"/>
            <w:r w:rsidRPr="00501641">
              <w:rPr>
                <w:rFonts w:ascii="Palatino Linotype" w:hAnsi="Palatino Linotype"/>
                <w:sz w:val="14"/>
              </w:rPr>
              <w:t xml:space="preserve"> a los</w:t>
            </w:r>
            <w:r w:rsidRPr="00501641">
              <w:rPr>
                <w:rFonts w:ascii="Palatino Linotype" w:hAnsi="Palatino Linotype"/>
                <w:sz w:val="14"/>
              </w:rPr>
              <w:tab/>
            </w:r>
            <w:r w:rsidRPr="00501641">
              <w:rPr>
                <w:rFonts w:ascii="Palatino Linotype" w:hAnsi="Palatino Linotype"/>
                <w:sz w:val="15"/>
              </w:rPr>
              <w:t>11 236</w:t>
            </w:r>
            <w:r w:rsidRPr="00501641">
              <w:rPr>
                <w:rFonts w:ascii="Palatino Linotype" w:hAnsi="Palatino Linotype"/>
                <w:sz w:val="15"/>
              </w:rPr>
              <w:tab/>
              <w:t>-</w:t>
            </w:r>
            <w:r w:rsidRPr="00501641">
              <w:rPr>
                <w:rFonts w:ascii="Palatino Linotype" w:hAnsi="Palatino Linotype"/>
                <w:sz w:val="15"/>
              </w:rPr>
              <w:tab/>
              <w:t>-</w:t>
            </w:r>
            <w:r w:rsidRPr="00501641">
              <w:rPr>
                <w:rFonts w:ascii="Palatino Linotype" w:hAnsi="Palatino Linotype"/>
                <w:sz w:val="15"/>
              </w:rPr>
              <w:tab/>
              <w:t>4 386</w:t>
            </w:r>
            <w:r w:rsidRPr="00501641">
              <w:rPr>
                <w:rFonts w:ascii="Palatino Linotype" w:hAnsi="Palatino Linotype"/>
                <w:sz w:val="15"/>
              </w:rPr>
              <w:tab/>
              <w:t>16 193</w:t>
            </w:r>
          </w:p>
          <w:p w14:paraId="445CA0C1" w14:textId="77777777" w:rsidR="00E50FFA" w:rsidRPr="00501641" w:rsidRDefault="00E50FFA" w:rsidP="0047242D">
            <w:pPr>
              <w:pStyle w:val="TableParagraph"/>
              <w:spacing w:before="2" w:line="204" w:lineRule="auto"/>
              <w:ind w:left="788" w:right="4526"/>
              <w:rPr>
                <w:rFonts w:ascii="Palatino Linotype" w:hAnsi="Palatino Linotype"/>
                <w:sz w:val="14"/>
              </w:rPr>
            </w:pPr>
            <w:proofErr w:type="spellStart"/>
            <w:r w:rsidRPr="00501641">
              <w:rPr>
                <w:rFonts w:ascii="Palatino Linotype" w:hAnsi="Palatino Linotype"/>
                <w:sz w:val="14"/>
              </w:rPr>
              <w:t>Estados</w:t>
            </w:r>
            <w:proofErr w:type="spellEnd"/>
            <w:r w:rsidRPr="00501641">
              <w:rPr>
                <w:rFonts w:ascii="Palatino Linotype" w:hAnsi="Palatino Linotype"/>
                <w:sz w:val="14"/>
              </w:rPr>
              <w:t xml:space="preserve"> </w:t>
            </w:r>
            <w:proofErr w:type="spellStart"/>
            <w:r w:rsidRPr="00501641">
              <w:rPr>
                <w:rFonts w:ascii="Palatino Linotype" w:hAnsi="Palatino Linotype"/>
                <w:sz w:val="14"/>
              </w:rPr>
              <w:t>Miembros</w:t>
            </w:r>
            <w:proofErr w:type="spellEnd"/>
            <w:r w:rsidRPr="00501641">
              <w:rPr>
                <w:rFonts w:ascii="Palatino Linotype" w:hAnsi="Palatino Linotype"/>
                <w:sz w:val="14"/>
              </w:rPr>
              <w:t xml:space="preserve"> para </w:t>
            </w:r>
            <w:proofErr w:type="spellStart"/>
            <w:r w:rsidRPr="00501641">
              <w:rPr>
                <w:rFonts w:ascii="Palatino Linotype" w:hAnsi="Palatino Linotype"/>
                <w:sz w:val="14"/>
              </w:rPr>
              <w:t>fortalecer</w:t>
            </w:r>
            <w:proofErr w:type="spellEnd"/>
            <w:r w:rsidRPr="00501641">
              <w:rPr>
                <w:rFonts w:ascii="Palatino Linotype" w:hAnsi="Palatino Linotype"/>
                <w:sz w:val="14"/>
              </w:rPr>
              <w:t xml:space="preserve"> su </w:t>
            </w:r>
            <w:proofErr w:type="spellStart"/>
            <w:r w:rsidRPr="00501641">
              <w:rPr>
                <w:rFonts w:ascii="Palatino Linotype" w:hAnsi="Palatino Linotype"/>
                <w:sz w:val="14"/>
              </w:rPr>
              <w:t>capacidad</w:t>
            </w:r>
            <w:proofErr w:type="spellEnd"/>
            <w:r w:rsidRPr="00501641">
              <w:rPr>
                <w:rFonts w:ascii="Palatino Linotype" w:hAnsi="Palatino Linotype"/>
                <w:sz w:val="14"/>
              </w:rPr>
              <w:t xml:space="preserve"> de </w:t>
            </w:r>
            <w:proofErr w:type="spellStart"/>
            <w:r w:rsidRPr="00501641">
              <w:rPr>
                <w:rFonts w:ascii="Palatino Linotype" w:hAnsi="Palatino Linotype"/>
                <w:sz w:val="14"/>
              </w:rPr>
              <w:t>realizar</w:t>
            </w:r>
            <w:proofErr w:type="spellEnd"/>
            <w:r w:rsidRPr="00501641">
              <w:rPr>
                <w:rFonts w:ascii="Palatino Linotype" w:hAnsi="Palatino Linotype"/>
                <w:sz w:val="14"/>
              </w:rPr>
              <w:t xml:space="preserve"> </w:t>
            </w:r>
            <w:proofErr w:type="spellStart"/>
            <w:r w:rsidRPr="00501641">
              <w:rPr>
                <w:rFonts w:ascii="Palatino Linotype" w:hAnsi="Palatino Linotype"/>
                <w:sz w:val="14"/>
              </w:rPr>
              <w:t>investigaciones</w:t>
            </w:r>
            <w:proofErr w:type="spellEnd"/>
            <w:r w:rsidRPr="00501641">
              <w:rPr>
                <w:rFonts w:ascii="Palatino Linotype" w:hAnsi="Palatino Linotype"/>
                <w:sz w:val="14"/>
              </w:rPr>
              <w:t xml:space="preserve"> </w:t>
            </w:r>
            <w:proofErr w:type="spellStart"/>
            <w:r w:rsidRPr="00501641">
              <w:rPr>
                <w:rFonts w:ascii="Palatino Linotype" w:hAnsi="Palatino Linotype"/>
                <w:sz w:val="14"/>
              </w:rPr>
              <w:t>científicas</w:t>
            </w:r>
            <w:proofErr w:type="spellEnd"/>
            <w:r w:rsidRPr="00501641">
              <w:rPr>
                <w:rFonts w:ascii="Palatino Linotype" w:hAnsi="Palatino Linotype"/>
                <w:sz w:val="14"/>
              </w:rPr>
              <w:t xml:space="preserve"> marinas, </w:t>
            </w:r>
            <w:proofErr w:type="spellStart"/>
            <w:r w:rsidRPr="00501641">
              <w:rPr>
                <w:rFonts w:ascii="Palatino Linotype" w:hAnsi="Palatino Linotype"/>
                <w:sz w:val="14"/>
              </w:rPr>
              <w:t>generar</w:t>
            </w:r>
            <w:proofErr w:type="spellEnd"/>
            <w:r w:rsidRPr="00501641">
              <w:rPr>
                <w:rFonts w:ascii="Palatino Linotype" w:hAnsi="Palatino Linotype"/>
                <w:sz w:val="14"/>
              </w:rPr>
              <w:t xml:space="preserve"> </w:t>
            </w:r>
            <w:proofErr w:type="spellStart"/>
            <w:r w:rsidRPr="00501641">
              <w:rPr>
                <w:rFonts w:ascii="Palatino Linotype" w:hAnsi="Palatino Linotype"/>
                <w:sz w:val="14"/>
              </w:rPr>
              <w:t>conocimientos</w:t>
            </w:r>
            <w:proofErr w:type="spellEnd"/>
            <w:r w:rsidRPr="00501641">
              <w:rPr>
                <w:rFonts w:ascii="Palatino Linotype" w:hAnsi="Palatino Linotype"/>
                <w:sz w:val="14"/>
              </w:rPr>
              <w:t xml:space="preserve"> y </w:t>
            </w:r>
            <w:proofErr w:type="spellStart"/>
            <w:r w:rsidRPr="00501641">
              <w:rPr>
                <w:rFonts w:ascii="Palatino Linotype" w:hAnsi="Palatino Linotype"/>
                <w:sz w:val="14"/>
              </w:rPr>
              <w:t>elaborar</w:t>
            </w:r>
            <w:proofErr w:type="spellEnd"/>
            <w:r w:rsidRPr="00501641">
              <w:rPr>
                <w:rFonts w:ascii="Palatino Linotype" w:hAnsi="Palatino Linotype"/>
                <w:sz w:val="14"/>
              </w:rPr>
              <w:t xml:space="preserve"> y </w:t>
            </w:r>
            <w:proofErr w:type="spellStart"/>
            <w:r w:rsidRPr="00501641">
              <w:rPr>
                <w:rFonts w:ascii="Palatino Linotype" w:hAnsi="Palatino Linotype"/>
                <w:sz w:val="14"/>
              </w:rPr>
              <w:t>aplicar</w:t>
            </w:r>
            <w:proofErr w:type="spellEnd"/>
            <w:r w:rsidRPr="00501641">
              <w:rPr>
                <w:rFonts w:ascii="Palatino Linotype" w:hAnsi="Palatino Linotype"/>
                <w:sz w:val="14"/>
              </w:rPr>
              <w:t xml:space="preserve"> </w:t>
            </w:r>
            <w:proofErr w:type="spellStart"/>
            <w:r w:rsidRPr="00501641">
              <w:rPr>
                <w:rFonts w:ascii="Palatino Linotype" w:hAnsi="Palatino Linotype"/>
                <w:sz w:val="14"/>
              </w:rPr>
              <w:t>herramientas</w:t>
            </w:r>
            <w:proofErr w:type="spellEnd"/>
            <w:r w:rsidRPr="00501641">
              <w:rPr>
                <w:rFonts w:ascii="Palatino Linotype" w:hAnsi="Palatino Linotype"/>
                <w:sz w:val="14"/>
              </w:rPr>
              <w:t xml:space="preserve">, </w:t>
            </w:r>
            <w:proofErr w:type="spellStart"/>
            <w:r w:rsidRPr="00501641">
              <w:rPr>
                <w:rFonts w:ascii="Palatino Linotype" w:hAnsi="Palatino Linotype"/>
                <w:sz w:val="14"/>
              </w:rPr>
              <w:t>servicios</w:t>
            </w:r>
            <w:proofErr w:type="spellEnd"/>
            <w:r w:rsidRPr="00501641">
              <w:rPr>
                <w:rFonts w:ascii="Palatino Linotype" w:hAnsi="Palatino Linotype"/>
                <w:sz w:val="14"/>
              </w:rPr>
              <w:t xml:space="preserve"> y </w:t>
            </w:r>
            <w:proofErr w:type="spellStart"/>
            <w:r w:rsidRPr="00501641">
              <w:rPr>
                <w:rFonts w:ascii="Palatino Linotype" w:hAnsi="Palatino Linotype"/>
                <w:sz w:val="14"/>
              </w:rPr>
              <w:t>políticas</w:t>
            </w:r>
            <w:proofErr w:type="spellEnd"/>
            <w:r w:rsidRPr="00501641">
              <w:rPr>
                <w:rFonts w:ascii="Palatino Linotype" w:hAnsi="Palatino Linotype"/>
                <w:sz w:val="14"/>
              </w:rPr>
              <w:t xml:space="preserve"> </w:t>
            </w:r>
            <w:proofErr w:type="spellStart"/>
            <w:r w:rsidRPr="00501641">
              <w:rPr>
                <w:rFonts w:ascii="Palatino Linotype" w:hAnsi="Palatino Linotype"/>
                <w:sz w:val="14"/>
              </w:rPr>
              <w:t>basados</w:t>
            </w:r>
            <w:proofErr w:type="spellEnd"/>
            <w:r w:rsidRPr="00501641">
              <w:rPr>
                <w:rFonts w:ascii="Palatino Linotype" w:hAnsi="Palatino Linotype"/>
                <w:sz w:val="14"/>
              </w:rPr>
              <w:t xml:space="preserve"> en la </w:t>
            </w:r>
            <w:proofErr w:type="spellStart"/>
            <w:r w:rsidRPr="00501641">
              <w:rPr>
                <w:rFonts w:ascii="Palatino Linotype" w:hAnsi="Palatino Linotype"/>
                <w:sz w:val="14"/>
              </w:rPr>
              <w:t>ciencia</w:t>
            </w:r>
            <w:proofErr w:type="spellEnd"/>
            <w:r w:rsidRPr="00501641">
              <w:rPr>
                <w:rFonts w:ascii="Palatino Linotype" w:hAnsi="Palatino Linotype"/>
                <w:sz w:val="14"/>
              </w:rPr>
              <w:t xml:space="preserve"> a fin </w:t>
            </w:r>
            <w:proofErr w:type="gramStart"/>
            <w:r w:rsidRPr="00501641">
              <w:rPr>
                <w:rFonts w:ascii="Palatino Linotype" w:hAnsi="Palatino Linotype"/>
                <w:sz w:val="14"/>
              </w:rPr>
              <w:t>de invertir</w:t>
            </w:r>
            <w:proofErr w:type="gramEnd"/>
            <w:r w:rsidRPr="00501641">
              <w:rPr>
                <w:rFonts w:ascii="Palatino Linotype" w:hAnsi="Palatino Linotype"/>
                <w:sz w:val="14"/>
              </w:rPr>
              <w:t xml:space="preserve"> el </w:t>
            </w:r>
            <w:proofErr w:type="spellStart"/>
            <w:r w:rsidRPr="00501641">
              <w:rPr>
                <w:rFonts w:ascii="Palatino Linotype" w:hAnsi="Palatino Linotype"/>
                <w:sz w:val="14"/>
              </w:rPr>
              <w:t>deterioro</w:t>
            </w:r>
            <w:proofErr w:type="spellEnd"/>
            <w:r w:rsidRPr="00501641">
              <w:rPr>
                <w:rFonts w:ascii="Palatino Linotype" w:hAnsi="Palatino Linotype"/>
                <w:sz w:val="14"/>
              </w:rPr>
              <w:t xml:space="preserve"> de la </w:t>
            </w:r>
            <w:proofErr w:type="spellStart"/>
            <w:r w:rsidRPr="00501641">
              <w:rPr>
                <w:rFonts w:ascii="Palatino Linotype" w:hAnsi="Palatino Linotype"/>
                <w:sz w:val="14"/>
              </w:rPr>
              <w:t>salud</w:t>
            </w:r>
            <w:proofErr w:type="spellEnd"/>
            <w:r w:rsidRPr="00501641">
              <w:rPr>
                <w:rFonts w:ascii="Palatino Linotype" w:hAnsi="Palatino Linotype"/>
                <w:sz w:val="14"/>
              </w:rPr>
              <w:t xml:space="preserve"> del </w:t>
            </w:r>
            <w:proofErr w:type="spellStart"/>
            <w:r w:rsidRPr="00501641">
              <w:rPr>
                <w:rFonts w:ascii="Palatino Linotype" w:hAnsi="Palatino Linotype"/>
                <w:sz w:val="14"/>
              </w:rPr>
              <w:t>océano</w:t>
            </w:r>
            <w:proofErr w:type="spellEnd"/>
            <w:r w:rsidRPr="00501641">
              <w:rPr>
                <w:rFonts w:ascii="Palatino Linotype" w:hAnsi="Palatino Linotype"/>
                <w:sz w:val="14"/>
              </w:rPr>
              <w:t xml:space="preserve"> y </w:t>
            </w:r>
            <w:proofErr w:type="spellStart"/>
            <w:r w:rsidRPr="00501641">
              <w:rPr>
                <w:rFonts w:ascii="Palatino Linotype" w:hAnsi="Palatino Linotype"/>
                <w:sz w:val="14"/>
              </w:rPr>
              <w:t>acelerar</w:t>
            </w:r>
            <w:proofErr w:type="spellEnd"/>
            <w:r w:rsidRPr="00501641">
              <w:rPr>
                <w:rFonts w:ascii="Palatino Linotype" w:hAnsi="Palatino Linotype"/>
                <w:sz w:val="14"/>
              </w:rPr>
              <w:t xml:space="preserve"> la </w:t>
            </w:r>
            <w:proofErr w:type="spellStart"/>
            <w:r w:rsidRPr="00501641">
              <w:rPr>
                <w:rFonts w:ascii="Palatino Linotype" w:hAnsi="Palatino Linotype"/>
                <w:sz w:val="14"/>
              </w:rPr>
              <w:t>transición</w:t>
            </w:r>
            <w:proofErr w:type="spellEnd"/>
            <w:r w:rsidRPr="00501641">
              <w:rPr>
                <w:rFonts w:ascii="Palatino Linotype" w:hAnsi="Palatino Linotype"/>
                <w:sz w:val="14"/>
              </w:rPr>
              <w:t xml:space="preserve"> </w:t>
            </w:r>
            <w:proofErr w:type="spellStart"/>
            <w:r w:rsidRPr="00501641">
              <w:rPr>
                <w:rFonts w:ascii="Palatino Linotype" w:hAnsi="Palatino Linotype"/>
                <w:sz w:val="14"/>
              </w:rPr>
              <w:t>hacia</w:t>
            </w:r>
            <w:proofErr w:type="spellEnd"/>
            <w:r w:rsidRPr="00501641">
              <w:rPr>
                <w:rFonts w:ascii="Palatino Linotype" w:hAnsi="Palatino Linotype"/>
                <w:sz w:val="14"/>
              </w:rPr>
              <w:t xml:space="preserve"> </w:t>
            </w:r>
            <w:proofErr w:type="spellStart"/>
            <w:r w:rsidRPr="00501641">
              <w:rPr>
                <w:rFonts w:ascii="Palatino Linotype" w:hAnsi="Palatino Linotype"/>
                <w:sz w:val="14"/>
              </w:rPr>
              <w:t>una</w:t>
            </w:r>
            <w:proofErr w:type="spellEnd"/>
            <w:r w:rsidRPr="00501641">
              <w:rPr>
                <w:rFonts w:ascii="Palatino Linotype" w:hAnsi="Palatino Linotype"/>
                <w:sz w:val="14"/>
              </w:rPr>
              <w:t xml:space="preserve"> </w:t>
            </w:r>
            <w:proofErr w:type="spellStart"/>
            <w:r w:rsidRPr="00501641">
              <w:rPr>
                <w:rFonts w:ascii="Palatino Linotype" w:hAnsi="Palatino Linotype"/>
                <w:sz w:val="14"/>
              </w:rPr>
              <w:t>gestión</w:t>
            </w:r>
            <w:proofErr w:type="spellEnd"/>
            <w:r w:rsidRPr="00501641">
              <w:rPr>
                <w:rFonts w:ascii="Palatino Linotype" w:hAnsi="Palatino Linotype"/>
                <w:sz w:val="14"/>
              </w:rPr>
              <w:t xml:space="preserve"> </w:t>
            </w:r>
            <w:proofErr w:type="spellStart"/>
            <w:r w:rsidRPr="00501641">
              <w:rPr>
                <w:rFonts w:ascii="Palatino Linotype" w:hAnsi="Palatino Linotype"/>
                <w:sz w:val="14"/>
              </w:rPr>
              <w:t>sostenible</w:t>
            </w:r>
            <w:proofErr w:type="spellEnd"/>
            <w:r w:rsidRPr="00501641">
              <w:rPr>
                <w:rFonts w:ascii="Palatino Linotype" w:hAnsi="Palatino Linotype"/>
                <w:sz w:val="14"/>
              </w:rPr>
              <w:t xml:space="preserve"> de los </w:t>
            </w:r>
            <w:proofErr w:type="spellStart"/>
            <w:r w:rsidRPr="00501641">
              <w:rPr>
                <w:rFonts w:ascii="Palatino Linotype" w:hAnsi="Palatino Linotype"/>
                <w:sz w:val="14"/>
              </w:rPr>
              <w:t>riesgos</w:t>
            </w:r>
            <w:proofErr w:type="spellEnd"/>
            <w:r w:rsidRPr="00501641">
              <w:rPr>
                <w:rFonts w:ascii="Palatino Linotype" w:hAnsi="Palatino Linotype"/>
                <w:sz w:val="14"/>
              </w:rPr>
              <w:t xml:space="preserve"> y las </w:t>
            </w:r>
            <w:proofErr w:type="spellStart"/>
            <w:r w:rsidRPr="00501641">
              <w:rPr>
                <w:rFonts w:ascii="Palatino Linotype" w:hAnsi="Palatino Linotype"/>
                <w:sz w:val="14"/>
              </w:rPr>
              <w:t>oportunidades</w:t>
            </w:r>
            <w:proofErr w:type="spellEnd"/>
            <w:r w:rsidRPr="00501641">
              <w:rPr>
                <w:rFonts w:ascii="Palatino Linotype" w:hAnsi="Palatino Linotype"/>
                <w:sz w:val="14"/>
              </w:rPr>
              <w:t xml:space="preserve"> </w:t>
            </w:r>
            <w:proofErr w:type="spellStart"/>
            <w:r w:rsidRPr="00501641">
              <w:rPr>
                <w:rFonts w:ascii="Palatino Linotype" w:hAnsi="Palatino Linotype"/>
                <w:sz w:val="14"/>
              </w:rPr>
              <w:t>relacionados</w:t>
            </w:r>
            <w:proofErr w:type="spellEnd"/>
            <w:r w:rsidRPr="00501641">
              <w:rPr>
                <w:rFonts w:ascii="Palatino Linotype" w:hAnsi="Palatino Linotype"/>
                <w:sz w:val="14"/>
              </w:rPr>
              <w:t xml:space="preserve"> con el </w:t>
            </w:r>
            <w:proofErr w:type="spellStart"/>
            <w:r w:rsidRPr="00501641">
              <w:rPr>
                <w:rFonts w:ascii="Palatino Linotype" w:hAnsi="Palatino Linotype"/>
                <w:sz w:val="14"/>
              </w:rPr>
              <w:t>océano</w:t>
            </w:r>
            <w:proofErr w:type="spellEnd"/>
          </w:p>
        </w:tc>
        <w:tc>
          <w:tcPr>
            <w:tcW w:w="963" w:type="dxa"/>
          </w:tcPr>
          <w:p w14:paraId="308FE0DC" w14:textId="77777777" w:rsidR="00E50FFA" w:rsidRPr="00501641" w:rsidRDefault="00E50FFA" w:rsidP="0047242D">
            <w:pPr>
              <w:pStyle w:val="TableParagraph"/>
              <w:spacing w:before="60"/>
              <w:ind w:left="0" w:right="44"/>
              <w:jc w:val="right"/>
              <w:rPr>
                <w:rFonts w:ascii="Palatino Linotype"/>
                <w:b/>
                <w:sz w:val="15"/>
              </w:rPr>
            </w:pPr>
            <w:r w:rsidRPr="00501641">
              <w:rPr>
                <w:rFonts w:ascii="Palatino Linotype" w:hAnsi="Palatino Linotype"/>
                <w:b/>
                <w:bCs/>
                <w:sz w:val="15"/>
              </w:rPr>
              <w:t>20 579</w:t>
            </w:r>
          </w:p>
        </w:tc>
        <w:tc>
          <w:tcPr>
            <w:tcW w:w="680" w:type="dxa"/>
            <w:tcBorders>
              <w:right w:val="nil"/>
            </w:tcBorders>
            <w:shd w:val="clear" w:color="auto" w:fill="C9E9FB"/>
          </w:tcPr>
          <w:p w14:paraId="1AB21C1C" w14:textId="77777777" w:rsidR="00E50FFA" w:rsidRPr="00501641" w:rsidRDefault="00E50FFA" w:rsidP="0047242D">
            <w:pPr>
              <w:pStyle w:val="TableParagraph"/>
              <w:spacing w:before="60"/>
              <w:ind w:left="0" w:right="48"/>
              <w:jc w:val="right"/>
              <w:rPr>
                <w:rFonts w:ascii="Palatino Linotype"/>
                <w:b/>
                <w:sz w:val="15"/>
              </w:rPr>
            </w:pPr>
            <w:r w:rsidRPr="00501641">
              <w:rPr>
                <w:rFonts w:ascii="Palatino Linotype" w:hAnsi="Palatino Linotype"/>
                <w:b/>
                <w:bCs/>
                <w:sz w:val="15"/>
              </w:rPr>
              <w:t>31 815</w:t>
            </w:r>
          </w:p>
        </w:tc>
      </w:tr>
      <w:tr w:rsidR="00E50FFA" w:rsidRPr="00501641" w14:paraId="0AF7B293" w14:textId="77777777" w:rsidTr="0047242D">
        <w:trPr>
          <w:trHeight w:val="212"/>
        </w:trPr>
        <w:tc>
          <w:tcPr>
            <w:tcW w:w="7986" w:type="dxa"/>
            <w:gridSpan w:val="6"/>
            <w:tcBorders>
              <w:left w:val="nil"/>
            </w:tcBorders>
            <w:shd w:val="clear" w:color="auto" w:fill="C9E9FB"/>
          </w:tcPr>
          <w:p w14:paraId="4C7A0B94" w14:textId="77777777" w:rsidR="00E50FFA" w:rsidRPr="00501641" w:rsidRDefault="00E50FFA" w:rsidP="0047242D">
            <w:pPr>
              <w:pStyle w:val="TableParagraph"/>
              <w:tabs>
                <w:tab w:val="left" w:pos="3938"/>
                <w:tab w:val="left" w:pos="5158"/>
                <w:tab w:val="left" w:pos="6122"/>
                <w:tab w:val="left" w:pos="6794"/>
                <w:tab w:val="right" w:pos="7934"/>
              </w:tabs>
              <w:spacing w:before="3" w:line="189" w:lineRule="exact"/>
              <w:ind w:left="2857"/>
              <w:rPr>
                <w:rFonts w:ascii="Palatino Linotype"/>
                <w:b/>
                <w:sz w:val="15"/>
              </w:rPr>
            </w:pPr>
            <w:r w:rsidRPr="00501641">
              <w:rPr>
                <w:rFonts w:ascii="Palatino Linotype" w:hAnsi="Palatino Linotype"/>
                <w:b/>
                <w:bCs/>
                <w:sz w:val="14"/>
              </w:rPr>
              <w:t>Total, COI</w:t>
            </w:r>
            <w:r w:rsidRPr="00501641">
              <w:rPr>
                <w:rFonts w:ascii="Palatino Linotype" w:hAnsi="Palatino Linotype"/>
                <w:b/>
                <w:bCs/>
                <w:sz w:val="14"/>
              </w:rPr>
              <w:tab/>
            </w:r>
            <w:r w:rsidRPr="00501641">
              <w:rPr>
                <w:rFonts w:ascii="Palatino Linotype" w:hAnsi="Palatino Linotype"/>
                <w:b/>
                <w:bCs/>
                <w:sz w:val="15"/>
              </w:rPr>
              <w:t>11 236</w:t>
            </w:r>
            <w:r w:rsidRPr="00501641">
              <w:rPr>
                <w:rFonts w:ascii="Palatino Linotype" w:hAnsi="Palatino Linotype"/>
                <w:b/>
                <w:bCs/>
                <w:sz w:val="15"/>
              </w:rPr>
              <w:tab/>
              <w:t>-</w:t>
            </w:r>
            <w:r w:rsidRPr="00501641">
              <w:rPr>
                <w:rFonts w:ascii="Palatino Linotype" w:hAnsi="Palatino Linotype"/>
                <w:b/>
                <w:bCs/>
                <w:sz w:val="15"/>
              </w:rPr>
              <w:tab/>
              <w:t>-</w:t>
            </w:r>
            <w:r w:rsidRPr="00501641">
              <w:rPr>
                <w:rFonts w:ascii="Palatino Linotype" w:hAnsi="Palatino Linotype"/>
                <w:b/>
                <w:bCs/>
                <w:sz w:val="15"/>
              </w:rPr>
              <w:tab/>
              <w:t>4 386</w:t>
            </w:r>
            <w:r w:rsidRPr="00501641">
              <w:rPr>
                <w:rFonts w:ascii="Palatino Linotype" w:hAnsi="Palatino Linotype"/>
                <w:b/>
                <w:bCs/>
                <w:sz w:val="15"/>
              </w:rPr>
              <w:tab/>
              <w:t>16 193</w:t>
            </w:r>
          </w:p>
        </w:tc>
        <w:tc>
          <w:tcPr>
            <w:tcW w:w="963" w:type="dxa"/>
            <w:shd w:val="clear" w:color="auto" w:fill="C9E9FB"/>
          </w:tcPr>
          <w:p w14:paraId="011B01D0" w14:textId="77777777" w:rsidR="00E50FFA" w:rsidRPr="00501641" w:rsidRDefault="00E50FFA" w:rsidP="0047242D">
            <w:pPr>
              <w:pStyle w:val="TableParagraph"/>
              <w:spacing w:before="3" w:line="189" w:lineRule="exact"/>
              <w:ind w:left="0" w:right="44"/>
              <w:jc w:val="right"/>
              <w:rPr>
                <w:rFonts w:ascii="Palatino Linotype"/>
                <w:b/>
                <w:sz w:val="15"/>
              </w:rPr>
            </w:pPr>
            <w:r w:rsidRPr="00501641">
              <w:rPr>
                <w:rFonts w:ascii="Palatino Linotype" w:hAnsi="Palatino Linotype"/>
                <w:b/>
                <w:bCs/>
                <w:sz w:val="15"/>
              </w:rPr>
              <w:t>20 579</w:t>
            </w:r>
          </w:p>
        </w:tc>
        <w:tc>
          <w:tcPr>
            <w:tcW w:w="680" w:type="dxa"/>
            <w:tcBorders>
              <w:right w:val="nil"/>
            </w:tcBorders>
            <w:shd w:val="clear" w:color="auto" w:fill="C9E9FB"/>
          </w:tcPr>
          <w:p w14:paraId="04214243" w14:textId="77777777" w:rsidR="00E50FFA" w:rsidRPr="00501641" w:rsidRDefault="00E50FFA" w:rsidP="0047242D">
            <w:pPr>
              <w:pStyle w:val="TableParagraph"/>
              <w:spacing w:before="3" w:line="189" w:lineRule="exact"/>
              <w:ind w:left="0" w:right="48"/>
              <w:jc w:val="right"/>
              <w:rPr>
                <w:rFonts w:ascii="Palatino Linotype"/>
                <w:b/>
                <w:sz w:val="15"/>
              </w:rPr>
            </w:pPr>
            <w:r w:rsidRPr="00501641">
              <w:rPr>
                <w:rFonts w:ascii="Palatino Linotype" w:hAnsi="Palatino Linotype"/>
                <w:b/>
                <w:bCs/>
                <w:sz w:val="15"/>
              </w:rPr>
              <w:t>31 815</w:t>
            </w:r>
          </w:p>
        </w:tc>
      </w:tr>
    </w:tbl>
    <w:p w14:paraId="5B8A7325" w14:textId="77777777" w:rsidR="00E50FFA" w:rsidRPr="00501641" w:rsidRDefault="00E50FFA" w:rsidP="00714BDA">
      <w:pPr>
        <w:pStyle w:val="ListParagraph"/>
        <w:numPr>
          <w:ilvl w:val="0"/>
          <w:numId w:val="15"/>
        </w:numPr>
        <w:tabs>
          <w:tab w:val="clear" w:pos="567"/>
          <w:tab w:val="left" w:pos="284"/>
        </w:tabs>
        <w:autoSpaceDE w:val="0"/>
        <w:autoSpaceDN w:val="0"/>
        <w:adjustRightInd/>
        <w:snapToGrid/>
        <w:spacing w:before="182" w:line="204" w:lineRule="auto"/>
        <w:ind w:right="2906"/>
        <w:contextualSpacing w:val="0"/>
        <w:textAlignment w:val="auto"/>
        <w:rPr>
          <w:sz w:val="14"/>
        </w:rPr>
      </w:pPr>
      <w:r w:rsidRPr="00501641">
        <w:rPr>
          <w:sz w:val="14"/>
        </w:rPr>
        <w:t xml:space="preserve">La </w:t>
      </w:r>
      <w:proofErr w:type="spellStart"/>
      <w:r w:rsidRPr="00501641">
        <w:rPr>
          <w:sz w:val="14"/>
        </w:rPr>
        <w:t>consignación</w:t>
      </w:r>
      <w:proofErr w:type="spellEnd"/>
      <w:r w:rsidRPr="00501641">
        <w:rPr>
          <w:sz w:val="14"/>
        </w:rPr>
        <w:t xml:space="preserve"> del </w:t>
      </w:r>
      <w:proofErr w:type="spellStart"/>
      <w:r w:rsidRPr="00501641">
        <w:rPr>
          <w:sz w:val="14"/>
        </w:rPr>
        <w:t>presupuesto</w:t>
      </w:r>
      <w:proofErr w:type="spellEnd"/>
      <w:r w:rsidRPr="00501641">
        <w:rPr>
          <w:sz w:val="14"/>
        </w:rPr>
        <w:t xml:space="preserve"> del </w:t>
      </w:r>
      <w:proofErr w:type="spellStart"/>
      <w:r w:rsidRPr="00501641">
        <w:rPr>
          <w:sz w:val="14"/>
        </w:rPr>
        <w:t>programa</w:t>
      </w:r>
      <w:proofErr w:type="spellEnd"/>
      <w:r w:rsidRPr="00501641">
        <w:rPr>
          <w:sz w:val="14"/>
        </w:rPr>
        <w:t xml:space="preserve"> </w:t>
      </w:r>
      <w:proofErr w:type="spellStart"/>
      <w:r w:rsidRPr="00501641">
        <w:rPr>
          <w:sz w:val="14"/>
        </w:rPr>
        <w:t>ordinario</w:t>
      </w:r>
      <w:proofErr w:type="spellEnd"/>
      <w:r w:rsidRPr="00501641">
        <w:rPr>
          <w:sz w:val="14"/>
        </w:rPr>
        <w:t xml:space="preserve"> se </w:t>
      </w:r>
      <w:proofErr w:type="spellStart"/>
      <w:r w:rsidRPr="00501641">
        <w:rPr>
          <w:sz w:val="14"/>
        </w:rPr>
        <w:t>financia</w:t>
      </w:r>
      <w:proofErr w:type="spellEnd"/>
      <w:r w:rsidRPr="00501641">
        <w:rPr>
          <w:sz w:val="14"/>
        </w:rPr>
        <w:t xml:space="preserve"> con las </w:t>
      </w:r>
      <w:proofErr w:type="spellStart"/>
      <w:r w:rsidRPr="00501641">
        <w:rPr>
          <w:sz w:val="14"/>
        </w:rPr>
        <w:t>contribuciones</w:t>
      </w:r>
      <w:proofErr w:type="spellEnd"/>
      <w:r w:rsidRPr="00501641">
        <w:rPr>
          <w:sz w:val="14"/>
        </w:rPr>
        <w:t xml:space="preserve"> </w:t>
      </w:r>
      <w:proofErr w:type="spellStart"/>
      <w:r w:rsidRPr="00501641">
        <w:rPr>
          <w:sz w:val="14"/>
        </w:rPr>
        <w:t>asignadas</w:t>
      </w:r>
      <w:proofErr w:type="spellEnd"/>
      <w:r w:rsidRPr="00501641">
        <w:rPr>
          <w:sz w:val="14"/>
        </w:rPr>
        <w:t xml:space="preserve"> a los </w:t>
      </w:r>
      <w:proofErr w:type="spellStart"/>
      <w:r w:rsidRPr="00501641">
        <w:rPr>
          <w:sz w:val="14"/>
        </w:rPr>
        <w:t>Estados</w:t>
      </w:r>
      <w:proofErr w:type="spellEnd"/>
      <w:r w:rsidRPr="00501641">
        <w:rPr>
          <w:sz w:val="14"/>
        </w:rPr>
        <w:t xml:space="preserve"> </w:t>
      </w:r>
      <w:proofErr w:type="spellStart"/>
      <w:r w:rsidRPr="00501641">
        <w:rPr>
          <w:sz w:val="14"/>
        </w:rPr>
        <w:t>Miembros</w:t>
      </w:r>
      <w:proofErr w:type="spellEnd"/>
      <w:r w:rsidRPr="00501641">
        <w:rPr>
          <w:sz w:val="14"/>
        </w:rPr>
        <w:t xml:space="preserve">. </w:t>
      </w:r>
      <w:proofErr w:type="spellStart"/>
      <w:r w:rsidRPr="00501641">
        <w:rPr>
          <w:sz w:val="14"/>
        </w:rPr>
        <w:t>En</w:t>
      </w:r>
      <w:proofErr w:type="spellEnd"/>
      <w:r w:rsidRPr="00501641">
        <w:rPr>
          <w:sz w:val="14"/>
        </w:rPr>
        <w:t xml:space="preserve"> el </w:t>
      </w:r>
      <w:proofErr w:type="spellStart"/>
      <w:r w:rsidRPr="00501641">
        <w:rPr>
          <w:sz w:val="14"/>
        </w:rPr>
        <w:t>presupuesto</w:t>
      </w:r>
      <w:proofErr w:type="spellEnd"/>
      <w:r w:rsidRPr="00501641">
        <w:rPr>
          <w:sz w:val="14"/>
        </w:rPr>
        <w:t xml:space="preserve"> del </w:t>
      </w:r>
      <w:proofErr w:type="spellStart"/>
      <w:r w:rsidRPr="00501641">
        <w:rPr>
          <w:sz w:val="14"/>
        </w:rPr>
        <w:t>programa</w:t>
      </w:r>
      <w:proofErr w:type="spellEnd"/>
      <w:r w:rsidRPr="00501641">
        <w:rPr>
          <w:sz w:val="14"/>
        </w:rPr>
        <w:t xml:space="preserve"> </w:t>
      </w:r>
      <w:proofErr w:type="spellStart"/>
      <w:r w:rsidRPr="00501641">
        <w:rPr>
          <w:sz w:val="14"/>
        </w:rPr>
        <w:t>ordinario</w:t>
      </w:r>
      <w:proofErr w:type="spellEnd"/>
      <w:r w:rsidRPr="00501641">
        <w:rPr>
          <w:sz w:val="14"/>
        </w:rPr>
        <w:t xml:space="preserve">, el </w:t>
      </w:r>
      <w:proofErr w:type="spellStart"/>
      <w:r w:rsidRPr="00501641">
        <w:rPr>
          <w:sz w:val="14"/>
        </w:rPr>
        <w:t>tipo</w:t>
      </w:r>
      <w:proofErr w:type="spellEnd"/>
      <w:r w:rsidRPr="00501641">
        <w:rPr>
          <w:sz w:val="14"/>
        </w:rPr>
        <w:t xml:space="preserve"> de </w:t>
      </w:r>
      <w:proofErr w:type="spellStart"/>
      <w:r w:rsidRPr="00501641">
        <w:rPr>
          <w:sz w:val="14"/>
        </w:rPr>
        <w:t>cambio</w:t>
      </w:r>
      <w:proofErr w:type="spellEnd"/>
      <w:r w:rsidRPr="00501641">
        <w:rPr>
          <w:sz w:val="14"/>
        </w:rPr>
        <w:t xml:space="preserve"> es 1 USD = 0,869 EUR.</w:t>
      </w:r>
    </w:p>
    <w:p w14:paraId="697046C9" w14:textId="77777777" w:rsidR="00E50FFA" w:rsidRPr="00501641" w:rsidRDefault="00E50FFA" w:rsidP="00714BDA">
      <w:pPr>
        <w:pStyle w:val="ListParagraph"/>
        <w:numPr>
          <w:ilvl w:val="0"/>
          <w:numId w:val="15"/>
        </w:numPr>
        <w:tabs>
          <w:tab w:val="clear" w:pos="567"/>
          <w:tab w:val="left" w:pos="284"/>
        </w:tabs>
        <w:autoSpaceDE w:val="0"/>
        <w:autoSpaceDN w:val="0"/>
        <w:adjustRightInd/>
        <w:snapToGrid/>
        <w:spacing w:line="204" w:lineRule="auto"/>
        <w:ind w:right="328"/>
        <w:contextualSpacing w:val="0"/>
        <w:textAlignment w:val="auto"/>
        <w:rPr>
          <w:sz w:val="14"/>
        </w:rPr>
      </w:pPr>
      <w:r w:rsidRPr="00501641">
        <w:rPr>
          <w:sz w:val="14"/>
        </w:rPr>
        <w:t xml:space="preserve">La </w:t>
      </w:r>
      <w:proofErr w:type="spellStart"/>
      <w:r w:rsidRPr="00501641">
        <w:rPr>
          <w:sz w:val="14"/>
        </w:rPr>
        <w:t>Cuenta</w:t>
      </w:r>
      <w:proofErr w:type="spellEnd"/>
      <w:r w:rsidRPr="00501641">
        <w:rPr>
          <w:sz w:val="14"/>
        </w:rPr>
        <w:t xml:space="preserve"> Especial para </w:t>
      </w:r>
      <w:proofErr w:type="spellStart"/>
      <w:r w:rsidRPr="00501641">
        <w:rPr>
          <w:sz w:val="14"/>
        </w:rPr>
        <w:t>Gastos</w:t>
      </w:r>
      <w:proofErr w:type="spellEnd"/>
      <w:r w:rsidRPr="00501641">
        <w:rPr>
          <w:sz w:val="14"/>
        </w:rPr>
        <w:t xml:space="preserve"> de </w:t>
      </w:r>
      <w:proofErr w:type="spellStart"/>
      <w:r w:rsidRPr="00501641">
        <w:rPr>
          <w:sz w:val="14"/>
        </w:rPr>
        <w:t>Gestión</w:t>
      </w:r>
      <w:proofErr w:type="spellEnd"/>
      <w:r w:rsidRPr="00501641">
        <w:rPr>
          <w:sz w:val="14"/>
        </w:rPr>
        <w:t xml:space="preserve"> se </w:t>
      </w:r>
      <w:proofErr w:type="spellStart"/>
      <w:r w:rsidRPr="00501641">
        <w:rPr>
          <w:sz w:val="14"/>
        </w:rPr>
        <w:t>financia</w:t>
      </w:r>
      <w:proofErr w:type="spellEnd"/>
      <w:r w:rsidRPr="00501641">
        <w:rPr>
          <w:sz w:val="14"/>
        </w:rPr>
        <w:t xml:space="preserve"> </w:t>
      </w:r>
      <w:proofErr w:type="spellStart"/>
      <w:r w:rsidRPr="00501641">
        <w:rPr>
          <w:sz w:val="14"/>
        </w:rPr>
        <w:t>en</w:t>
      </w:r>
      <w:proofErr w:type="spellEnd"/>
      <w:r w:rsidRPr="00501641">
        <w:rPr>
          <w:sz w:val="14"/>
        </w:rPr>
        <w:t xml:space="preserve"> un 56% con el </w:t>
      </w:r>
      <w:proofErr w:type="spellStart"/>
      <w:r w:rsidRPr="00501641">
        <w:rPr>
          <w:sz w:val="14"/>
        </w:rPr>
        <w:t>presupuesto</w:t>
      </w:r>
      <w:proofErr w:type="spellEnd"/>
      <w:r w:rsidRPr="00501641">
        <w:rPr>
          <w:sz w:val="14"/>
        </w:rPr>
        <w:t xml:space="preserve"> del </w:t>
      </w:r>
      <w:proofErr w:type="spellStart"/>
      <w:r w:rsidRPr="00501641">
        <w:rPr>
          <w:sz w:val="14"/>
        </w:rPr>
        <w:t>programa</w:t>
      </w:r>
      <w:proofErr w:type="spellEnd"/>
      <w:r w:rsidRPr="00501641">
        <w:rPr>
          <w:sz w:val="14"/>
        </w:rPr>
        <w:t xml:space="preserve"> </w:t>
      </w:r>
      <w:proofErr w:type="spellStart"/>
      <w:r w:rsidRPr="00501641">
        <w:rPr>
          <w:sz w:val="14"/>
        </w:rPr>
        <w:t>ordinario</w:t>
      </w:r>
      <w:proofErr w:type="spellEnd"/>
      <w:r w:rsidRPr="00501641">
        <w:rPr>
          <w:sz w:val="14"/>
        </w:rPr>
        <w:t xml:space="preserve"> y </w:t>
      </w:r>
      <w:proofErr w:type="spellStart"/>
      <w:r w:rsidRPr="00501641">
        <w:rPr>
          <w:sz w:val="14"/>
        </w:rPr>
        <w:t>en</w:t>
      </w:r>
      <w:proofErr w:type="spellEnd"/>
      <w:r w:rsidRPr="00501641">
        <w:rPr>
          <w:sz w:val="14"/>
        </w:rPr>
        <w:t xml:space="preserve"> un 44% con los </w:t>
      </w:r>
      <w:proofErr w:type="spellStart"/>
      <w:r w:rsidRPr="00501641">
        <w:rPr>
          <w:sz w:val="14"/>
        </w:rPr>
        <w:t>gastos</w:t>
      </w:r>
      <w:proofErr w:type="spellEnd"/>
      <w:r w:rsidRPr="00501641">
        <w:rPr>
          <w:sz w:val="14"/>
        </w:rPr>
        <w:t xml:space="preserve"> de </w:t>
      </w:r>
      <w:proofErr w:type="spellStart"/>
      <w:r w:rsidRPr="00501641">
        <w:rPr>
          <w:sz w:val="14"/>
        </w:rPr>
        <w:t>apoyo</w:t>
      </w:r>
      <w:proofErr w:type="spellEnd"/>
      <w:r w:rsidRPr="00501641">
        <w:rPr>
          <w:sz w:val="14"/>
        </w:rPr>
        <w:t xml:space="preserve"> al </w:t>
      </w:r>
      <w:proofErr w:type="spellStart"/>
      <w:r w:rsidRPr="00501641">
        <w:rPr>
          <w:sz w:val="14"/>
        </w:rPr>
        <w:t>programa</w:t>
      </w:r>
      <w:proofErr w:type="spellEnd"/>
      <w:r w:rsidRPr="00501641">
        <w:rPr>
          <w:sz w:val="14"/>
        </w:rPr>
        <w:t xml:space="preserve"> </w:t>
      </w:r>
      <w:proofErr w:type="spellStart"/>
      <w:r w:rsidRPr="00501641">
        <w:rPr>
          <w:sz w:val="14"/>
        </w:rPr>
        <w:t>imputados</w:t>
      </w:r>
      <w:proofErr w:type="spellEnd"/>
      <w:r w:rsidRPr="00501641">
        <w:rPr>
          <w:sz w:val="14"/>
        </w:rPr>
        <w:t xml:space="preserve"> a los </w:t>
      </w:r>
      <w:proofErr w:type="spellStart"/>
      <w:r w:rsidRPr="00501641">
        <w:rPr>
          <w:sz w:val="14"/>
        </w:rPr>
        <w:t>proyectos</w:t>
      </w:r>
      <w:proofErr w:type="spellEnd"/>
      <w:r w:rsidRPr="00501641">
        <w:rPr>
          <w:sz w:val="14"/>
        </w:rPr>
        <w:t xml:space="preserve"> </w:t>
      </w:r>
      <w:proofErr w:type="spellStart"/>
      <w:r w:rsidRPr="00501641">
        <w:rPr>
          <w:sz w:val="14"/>
        </w:rPr>
        <w:t>financiados</w:t>
      </w:r>
      <w:proofErr w:type="spellEnd"/>
      <w:r w:rsidRPr="00501641">
        <w:rPr>
          <w:sz w:val="14"/>
        </w:rPr>
        <w:t xml:space="preserve"> con </w:t>
      </w:r>
      <w:proofErr w:type="spellStart"/>
      <w:r w:rsidRPr="00501641">
        <w:rPr>
          <w:sz w:val="14"/>
        </w:rPr>
        <w:t>contribuciones</w:t>
      </w:r>
      <w:proofErr w:type="spellEnd"/>
      <w:r w:rsidRPr="00501641">
        <w:rPr>
          <w:sz w:val="14"/>
        </w:rPr>
        <w:t xml:space="preserve"> </w:t>
      </w:r>
      <w:proofErr w:type="spellStart"/>
      <w:r w:rsidRPr="00501641">
        <w:rPr>
          <w:sz w:val="14"/>
        </w:rPr>
        <w:t>voluntarias</w:t>
      </w:r>
      <w:proofErr w:type="spellEnd"/>
      <w:r w:rsidRPr="00501641">
        <w:rPr>
          <w:sz w:val="14"/>
        </w:rPr>
        <w:t>.</w:t>
      </w:r>
    </w:p>
    <w:p w14:paraId="1358721A" w14:textId="7CE2344F" w:rsidR="00E50FFA" w:rsidRPr="00501641" w:rsidRDefault="00E50FFA" w:rsidP="00714BDA">
      <w:pPr>
        <w:pStyle w:val="ListParagraph"/>
        <w:numPr>
          <w:ilvl w:val="0"/>
          <w:numId w:val="15"/>
        </w:numPr>
        <w:tabs>
          <w:tab w:val="clear" w:pos="567"/>
          <w:tab w:val="left" w:pos="285"/>
        </w:tabs>
        <w:autoSpaceDE w:val="0"/>
        <w:autoSpaceDN w:val="0"/>
        <w:adjustRightInd/>
        <w:snapToGrid/>
        <w:spacing w:line="204" w:lineRule="auto"/>
        <w:ind w:left="284" w:right="649"/>
        <w:contextualSpacing w:val="0"/>
        <w:textAlignment w:val="auto"/>
        <w:rPr>
          <w:sz w:val="14"/>
        </w:rPr>
      </w:pPr>
      <w:r w:rsidRPr="00501641">
        <w:rPr>
          <w:sz w:val="14"/>
        </w:rPr>
        <w:t xml:space="preserve">El </w:t>
      </w:r>
      <w:proofErr w:type="spellStart"/>
      <w:r w:rsidRPr="00501641">
        <w:rPr>
          <w:sz w:val="14"/>
        </w:rPr>
        <w:t>presupuesto</w:t>
      </w:r>
      <w:proofErr w:type="spellEnd"/>
      <w:r w:rsidRPr="00501641">
        <w:rPr>
          <w:sz w:val="14"/>
        </w:rPr>
        <w:t xml:space="preserve"> </w:t>
      </w:r>
      <w:proofErr w:type="spellStart"/>
      <w:r w:rsidRPr="00501641">
        <w:rPr>
          <w:sz w:val="14"/>
        </w:rPr>
        <w:t>incluye</w:t>
      </w:r>
      <w:proofErr w:type="spellEnd"/>
      <w:r w:rsidRPr="00501641">
        <w:rPr>
          <w:sz w:val="14"/>
        </w:rPr>
        <w:t xml:space="preserve"> la </w:t>
      </w:r>
      <w:proofErr w:type="spellStart"/>
      <w:r w:rsidRPr="00501641">
        <w:rPr>
          <w:sz w:val="14"/>
        </w:rPr>
        <w:t>contribución</w:t>
      </w:r>
      <w:proofErr w:type="spellEnd"/>
      <w:r w:rsidRPr="00501641">
        <w:rPr>
          <w:sz w:val="14"/>
        </w:rPr>
        <w:t xml:space="preserve"> de la Comisión </w:t>
      </w:r>
      <w:proofErr w:type="spellStart"/>
      <w:r w:rsidRPr="00501641">
        <w:rPr>
          <w:sz w:val="14"/>
        </w:rPr>
        <w:t>Oceanográfica</w:t>
      </w:r>
      <w:proofErr w:type="spellEnd"/>
      <w:r w:rsidRPr="00501641">
        <w:rPr>
          <w:sz w:val="14"/>
        </w:rPr>
        <w:t xml:space="preserve"> </w:t>
      </w:r>
      <w:proofErr w:type="spellStart"/>
      <w:r w:rsidRPr="00501641">
        <w:rPr>
          <w:sz w:val="14"/>
        </w:rPr>
        <w:t>Intergubernamental</w:t>
      </w:r>
      <w:proofErr w:type="spellEnd"/>
      <w:r w:rsidRPr="00501641">
        <w:rPr>
          <w:sz w:val="14"/>
        </w:rPr>
        <w:t xml:space="preserve"> a los </w:t>
      </w:r>
      <w:proofErr w:type="spellStart"/>
      <w:r w:rsidRPr="00501641">
        <w:rPr>
          <w:sz w:val="14"/>
        </w:rPr>
        <w:t>programas</w:t>
      </w:r>
      <w:proofErr w:type="spellEnd"/>
      <w:r w:rsidRPr="00501641">
        <w:rPr>
          <w:sz w:val="14"/>
        </w:rPr>
        <w:t xml:space="preserve"> </w:t>
      </w:r>
      <w:proofErr w:type="spellStart"/>
      <w:r w:rsidRPr="00501641">
        <w:rPr>
          <w:sz w:val="14"/>
        </w:rPr>
        <w:t>intersectoriales</w:t>
      </w:r>
      <w:proofErr w:type="spellEnd"/>
      <w:r w:rsidRPr="00501641">
        <w:rPr>
          <w:sz w:val="14"/>
        </w:rPr>
        <w:t xml:space="preserve"> y sus </w:t>
      </w:r>
      <w:proofErr w:type="spellStart"/>
      <w:r w:rsidRPr="00501641">
        <w:rPr>
          <w:sz w:val="14"/>
        </w:rPr>
        <w:t>productos</w:t>
      </w:r>
      <w:proofErr w:type="spellEnd"/>
      <w:r w:rsidRPr="00501641">
        <w:rPr>
          <w:sz w:val="14"/>
        </w:rPr>
        <w:t xml:space="preserve"> </w:t>
      </w:r>
      <w:proofErr w:type="spellStart"/>
      <w:r w:rsidRPr="00501641">
        <w:rPr>
          <w:sz w:val="14"/>
        </w:rPr>
        <w:t>conexos</w:t>
      </w:r>
      <w:proofErr w:type="spellEnd"/>
      <w:r w:rsidRPr="00501641">
        <w:rPr>
          <w:sz w:val="14"/>
        </w:rPr>
        <w:t xml:space="preserve">, </w:t>
      </w:r>
      <w:proofErr w:type="spellStart"/>
      <w:r w:rsidRPr="00501641">
        <w:rPr>
          <w:sz w:val="14"/>
        </w:rPr>
        <w:t>como</w:t>
      </w:r>
      <w:proofErr w:type="spellEnd"/>
      <w:r w:rsidRPr="00501641">
        <w:rPr>
          <w:sz w:val="14"/>
        </w:rPr>
        <w:t xml:space="preserve"> se indica </w:t>
      </w:r>
      <w:proofErr w:type="spellStart"/>
      <w:r w:rsidRPr="00501641">
        <w:rPr>
          <w:sz w:val="14"/>
        </w:rPr>
        <w:t>en</w:t>
      </w:r>
      <w:proofErr w:type="spellEnd"/>
      <w:r w:rsidRPr="00501641">
        <w:rPr>
          <w:sz w:val="14"/>
        </w:rPr>
        <w:t xml:space="preserve"> la </w:t>
      </w:r>
      <w:proofErr w:type="spellStart"/>
      <w:r w:rsidRPr="00501641">
        <w:rPr>
          <w:sz w:val="14"/>
        </w:rPr>
        <w:t>estrategia</w:t>
      </w:r>
      <w:proofErr w:type="spellEnd"/>
      <w:r w:rsidRPr="00501641">
        <w:rPr>
          <w:sz w:val="14"/>
        </w:rPr>
        <w:t xml:space="preserve"> de </w:t>
      </w:r>
      <w:proofErr w:type="spellStart"/>
      <w:r w:rsidRPr="00501641">
        <w:rPr>
          <w:sz w:val="14"/>
        </w:rPr>
        <w:t>ejecución</w:t>
      </w:r>
      <w:proofErr w:type="spellEnd"/>
      <w:r w:rsidRPr="00501641">
        <w:rPr>
          <w:sz w:val="14"/>
        </w:rPr>
        <w:t>.</w:t>
      </w:r>
    </w:p>
    <w:p w14:paraId="58E594F8" w14:textId="0B441A79" w:rsidR="00E50FFA" w:rsidRPr="00501641" w:rsidRDefault="00E50FFA" w:rsidP="00E50FFA">
      <w:pPr>
        <w:tabs>
          <w:tab w:val="clear" w:pos="567"/>
          <w:tab w:val="left" w:pos="285"/>
        </w:tabs>
        <w:autoSpaceDE w:val="0"/>
        <w:autoSpaceDN w:val="0"/>
        <w:adjustRightInd/>
        <w:snapToGrid/>
        <w:spacing w:line="204" w:lineRule="auto"/>
        <w:ind w:right="649"/>
        <w:textAlignment w:val="auto"/>
        <w:rPr>
          <w:sz w:val="14"/>
        </w:rPr>
      </w:pPr>
    </w:p>
    <w:p w14:paraId="0AEF0759" w14:textId="0EF9A9CA" w:rsidR="00E50FFA" w:rsidRPr="00501641" w:rsidRDefault="00E50FFA" w:rsidP="00E50FFA">
      <w:pPr>
        <w:tabs>
          <w:tab w:val="clear" w:pos="567"/>
          <w:tab w:val="left" w:pos="285"/>
        </w:tabs>
        <w:autoSpaceDE w:val="0"/>
        <w:autoSpaceDN w:val="0"/>
        <w:adjustRightInd/>
        <w:snapToGrid/>
        <w:spacing w:line="204" w:lineRule="auto"/>
        <w:ind w:right="649"/>
        <w:textAlignment w:val="auto"/>
        <w:rPr>
          <w:sz w:val="14"/>
        </w:rPr>
      </w:pPr>
    </w:p>
    <w:p w14:paraId="1AF376AA" w14:textId="40DD456E" w:rsidR="00E50FFA" w:rsidRPr="00501641" w:rsidRDefault="00E50FFA" w:rsidP="00E50FFA">
      <w:pPr>
        <w:tabs>
          <w:tab w:val="clear" w:pos="567"/>
          <w:tab w:val="left" w:pos="285"/>
        </w:tabs>
        <w:autoSpaceDE w:val="0"/>
        <w:autoSpaceDN w:val="0"/>
        <w:adjustRightInd/>
        <w:snapToGrid/>
        <w:spacing w:line="204" w:lineRule="auto"/>
        <w:ind w:right="649"/>
        <w:textAlignment w:val="auto"/>
        <w:rPr>
          <w:sz w:val="14"/>
        </w:rPr>
      </w:pPr>
    </w:p>
    <w:p w14:paraId="1363946C" w14:textId="248257A2" w:rsidR="00E50FFA" w:rsidRPr="00501641" w:rsidRDefault="00E50FFA" w:rsidP="00E50FFA">
      <w:pPr>
        <w:tabs>
          <w:tab w:val="clear" w:pos="567"/>
          <w:tab w:val="left" w:pos="285"/>
        </w:tabs>
        <w:autoSpaceDE w:val="0"/>
        <w:autoSpaceDN w:val="0"/>
        <w:adjustRightInd/>
        <w:snapToGrid/>
        <w:spacing w:line="204" w:lineRule="auto"/>
        <w:ind w:right="649"/>
        <w:textAlignment w:val="auto"/>
        <w:rPr>
          <w:sz w:val="14"/>
        </w:rPr>
      </w:pPr>
    </w:p>
    <w:p w14:paraId="673DEA71" w14:textId="0CFDC219" w:rsidR="00E50FFA" w:rsidRPr="00501641" w:rsidRDefault="00E50FFA" w:rsidP="00E50FFA">
      <w:pPr>
        <w:tabs>
          <w:tab w:val="clear" w:pos="567"/>
          <w:tab w:val="left" w:pos="285"/>
        </w:tabs>
        <w:autoSpaceDE w:val="0"/>
        <w:autoSpaceDN w:val="0"/>
        <w:adjustRightInd/>
        <w:snapToGrid/>
        <w:spacing w:line="204" w:lineRule="auto"/>
        <w:ind w:right="649"/>
        <w:textAlignment w:val="auto"/>
        <w:rPr>
          <w:sz w:val="14"/>
        </w:rPr>
      </w:pPr>
      <w:r w:rsidRPr="00501641">
        <w:rPr>
          <w:noProof/>
          <w:lang w:val="fr-FR" w:eastAsia="fr-FR"/>
        </w:rPr>
        <mc:AlternateContent>
          <mc:Choice Requires="wpg">
            <w:drawing>
              <wp:anchor distT="0" distB="0" distL="114300" distR="114300" simplePos="0" relativeHeight="251676672" behindDoc="0" locked="0" layoutInCell="1" allowOverlap="1" wp14:anchorId="224A09AF" wp14:editId="1A605B67">
                <wp:simplePos x="0" y="0"/>
                <wp:positionH relativeFrom="page">
                  <wp:posOffset>5963920</wp:posOffset>
                </wp:positionH>
                <wp:positionV relativeFrom="paragraph">
                  <wp:posOffset>62865</wp:posOffset>
                </wp:positionV>
                <wp:extent cx="1125855" cy="340995"/>
                <wp:effectExtent l="0" t="0" r="17145" b="190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855" cy="340995"/>
                          <a:chOff x="9241" y="-810"/>
                          <a:chExt cx="1773" cy="537"/>
                        </a:xfrm>
                      </wpg:grpSpPr>
                      <wps:wsp>
                        <wps:cNvPr id="60" name="Line 38"/>
                        <wps:cNvCnPr>
                          <a:cxnSpLocks noChangeShapeType="1"/>
                        </wps:cNvCnPr>
                        <wps:spPr bwMode="auto">
                          <a:xfrm>
                            <a:off x="9312" y="-799"/>
                            <a:ext cx="1409" cy="0"/>
                          </a:xfrm>
                          <a:prstGeom prst="line">
                            <a:avLst/>
                          </a:prstGeom>
                          <a:noFill/>
                          <a:ln w="12700">
                            <a:solidFill>
                              <a:srgbClr val="A1DAF8"/>
                            </a:solidFill>
                            <a:prstDash val="sysDash"/>
                            <a:round/>
                            <a:headEnd/>
                            <a:tailEnd/>
                          </a:ln>
                          <a:extLst>
                            <a:ext uri="{909E8E84-426E-40DD-AFC4-6F175D3DCCD1}">
                              <a14:hiddenFill xmlns:a14="http://schemas.microsoft.com/office/drawing/2010/main">
                                <a:noFill/>
                              </a14:hiddenFill>
                            </a:ext>
                          </a:extLst>
                        </wps:spPr>
                        <wps:bodyPr/>
                      </wps:wsp>
                      <wps:wsp>
                        <wps:cNvPr id="61" name="Line 39"/>
                        <wps:cNvCnPr>
                          <a:cxnSpLocks noChangeShapeType="1"/>
                        </wps:cNvCnPr>
                        <wps:spPr bwMode="auto">
                          <a:xfrm>
                            <a:off x="9241" y="-799"/>
                            <a:ext cx="30" cy="0"/>
                          </a:xfrm>
                          <a:prstGeom prst="line">
                            <a:avLst/>
                          </a:prstGeom>
                          <a:noFill/>
                          <a:ln w="12700">
                            <a:solidFill>
                              <a:srgbClr val="A1DAF8"/>
                            </a:solidFill>
                            <a:prstDash val="solid"/>
                            <a:round/>
                            <a:headEnd/>
                            <a:tailEnd/>
                          </a:ln>
                          <a:extLst>
                            <a:ext uri="{909E8E84-426E-40DD-AFC4-6F175D3DCCD1}">
                              <a14:hiddenFill xmlns:a14="http://schemas.microsoft.com/office/drawing/2010/main">
                                <a:noFill/>
                              </a14:hiddenFill>
                            </a:ext>
                          </a:extLst>
                        </wps:spPr>
                        <wps:bodyPr/>
                      </wps:wsp>
                      <wps:wsp>
                        <wps:cNvPr id="62" name="Rectangle 40"/>
                        <wps:cNvSpPr>
                          <a:spLocks noChangeArrowheads="1"/>
                        </wps:cNvSpPr>
                        <wps:spPr bwMode="auto">
                          <a:xfrm>
                            <a:off x="10741" y="-810"/>
                            <a:ext cx="31" cy="20"/>
                          </a:xfrm>
                          <a:prstGeom prst="rect">
                            <a:avLst/>
                          </a:prstGeom>
                          <a:solidFill>
                            <a:srgbClr val="A1D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41"/>
                        <wps:cNvCnPr>
                          <a:cxnSpLocks noChangeShapeType="1"/>
                        </wps:cNvCnPr>
                        <wps:spPr bwMode="auto">
                          <a:xfrm>
                            <a:off x="9312" y="-299"/>
                            <a:ext cx="1409" cy="0"/>
                          </a:xfrm>
                          <a:prstGeom prst="line">
                            <a:avLst/>
                          </a:prstGeom>
                          <a:noFill/>
                          <a:ln w="12700">
                            <a:solidFill>
                              <a:srgbClr val="A1DAF8"/>
                            </a:solidFill>
                            <a:prstDash val="sysDash"/>
                            <a:round/>
                            <a:headEnd/>
                            <a:tailEnd/>
                          </a:ln>
                          <a:extLst>
                            <a:ext uri="{909E8E84-426E-40DD-AFC4-6F175D3DCCD1}">
                              <a14:hiddenFill xmlns:a14="http://schemas.microsoft.com/office/drawing/2010/main">
                                <a:noFill/>
                              </a14:hiddenFill>
                            </a:ext>
                          </a:extLst>
                        </wps:spPr>
                        <wps:bodyPr/>
                      </wps:wsp>
                      <wps:wsp>
                        <wps:cNvPr id="64" name="Line 42"/>
                        <wps:cNvCnPr>
                          <a:cxnSpLocks noChangeShapeType="1"/>
                        </wps:cNvCnPr>
                        <wps:spPr bwMode="auto">
                          <a:xfrm>
                            <a:off x="9241" y="-299"/>
                            <a:ext cx="30" cy="0"/>
                          </a:xfrm>
                          <a:prstGeom prst="line">
                            <a:avLst/>
                          </a:prstGeom>
                          <a:noFill/>
                          <a:ln w="12700">
                            <a:solidFill>
                              <a:srgbClr val="A1DAF8"/>
                            </a:solidFill>
                            <a:prstDash val="solid"/>
                            <a:round/>
                            <a:headEnd/>
                            <a:tailEnd/>
                          </a:ln>
                          <a:extLst>
                            <a:ext uri="{909E8E84-426E-40DD-AFC4-6F175D3DCCD1}">
                              <a14:hiddenFill xmlns:a14="http://schemas.microsoft.com/office/drawing/2010/main">
                                <a:noFill/>
                              </a14:hiddenFill>
                            </a:ext>
                          </a:extLst>
                        </wps:spPr>
                        <wps:bodyPr/>
                      </wps:wsp>
                      <wps:wsp>
                        <wps:cNvPr id="65" name="Rectangle 43"/>
                        <wps:cNvSpPr>
                          <a:spLocks noChangeArrowheads="1"/>
                        </wps:cNvSpPr>
                        <wps:spPr bwMode="auto">
                          <a:xfrm>
                            <a:off x="10741" y="-310"/>
                            <a:ext cx="31" cy="20"/>
                          </a:xfrm>
                          <a:prstGeom prst="rect">
                            <a:avLst/>
                          </a:prstGeom>
                          <a:solidFill>
                            <a:srgbClr val="A1D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44"/>
                        <wps:cNvCnPr>
                          <a:cxnSpLocks noChangeShapeType="1"/>
                        </wps:cNvCnPr>
                        <wps:spPr bwMode="auto">
                          <a:xfrm>
                            <a:off x="10762" y="-376"/>
                            <a:ext cx="0" cy="0"/>
                          </a:xfrm>
                          <a:prstGeom prst="line">
                            <a:avLst/>
                          </a:prstGeom>
                          <a:noFill/>
                          <a:ln w="12700">
                            <a:solidFill>
                              <a:srgbClr val="A1DAF8"/>
                            </a:solidFill>
                            <a:prstDash val="sysDash"/>
                            <a:round/>
                            <a:headEnd/>
                            <a:tailEnd/>
                          </a:ln>
                          <a:extLst>
                            <a:ext uri="{909E8E84-426E-40DD-AFC4-6F175D3DCCD1}">
                              <a14:hiddenFill xmlns:a14="http://schemas.microsoft.com/office/drawing/2010/main">
                                <a:noFill/>
                              </a14:hiddenFill>
                            </a:ext>
                          </a:extLst>
                        </wps:spPr>
                        <wps:bodyPr/>
                      </wps:wsp>
                      <wps:wsp>
                        <wps:cNvPr id="67" name="AutoShape 45"/>
                        <wps:cNvSpPr>
                          <a:spLocks/>
                        </wps:cNvSpPr>
                        <wps:spPr bwMode="auto">
                          <a:xfrm>
                            <a:off x="10751" y="-790"/>
                            <a:ext cx="20" cy="480"/>
                          </a:xfrm>
                          <a:custGeom>
                            <a:avLst/>
                            <a:gdLst>
                              <a:gd name="T0" fmla="+- 0 10772 10752"/>
                              <a:gd name="T1" fmla="*/ T0 w 20"/>
                              <a:gd name="T2" fmla="+- 0 -338 -789"/>
                              <a:gd name="T3" fmla="*/ -338 h 480"/>
                              <a:gd name="T4" fmla="+- 0 10752 10752"/>
                              <a:gd name="T5" fmla="*/ T4 w 20"/>
                              <a:gd name="T6" fmla="+- 0 -338 -789"/>
                              <a:gd name="T7" fmla="*/ -338 h 480"/>
                              <a:gd name="T8" fmla="+- 0 10752 10752"/>
                              <a:gd name="T9" fmla="*/ T8 w 20"/>
                              <a:gd name="T10" fmla="+- 0 -309 -789"/>
                              <a:gd name="T11" fmla="*/ -309 h 480"/>
                              <a:gd name="T12" fmla="+- 0 10772 10752"/>
                              <a:gd name="T13" fmla="*/ T12 w 20"/>
                              <a:gd name="T14" fmla="+- 0 -309 -789"/>
                              <a:gd name="T15" fmla="*/ -309 h 480"/>
                              <a:gd name="T16" fmla="+- 0 10772 10752"/>
                              <a:gd name="T17" fmla="*/ T16 w 20"/>
                              <a:gd name="T18" fmla="+- 0 -338 -789"/>
                              <a:gd name="T19" fmla="*/ -338 h 480"/>
                              <a:gd name="T20" fmla="+- 0 10772 10752"/>
                              <a:gd name="T21" fmla="*/ T20 w 20"/>
                              <a:gd name="T22" fmla="+- 0 -789 -789"/>
                              <a:gd name="T23" fmla="*/ -789 h 480"/>
                              <a:gd name="T24" fmla="+- 0 10752 10752"/>
                              <a:gd name="T25" fmla="*/ T24 w 20"/>
                              <a:gd name="T26" fmla="+- 0 -789 -789"/>
                              <a:gd name="T27" fmla="*/ -789 h 480"/>
                              <a:gd name="T28" fmla="+- 0 10752 10752"/>
                              <a:gd name="T29" fmla="*/ T28 w 20"/>
                              <a:gd name="T30" fmla="+- 0 -760 -789"/>
                              <a:gd name="T31" fmla="*/ -760 h 480"/>
                              <a:gd name="T32" fmla="+- 0 10772 10752"/>
                              <a:gd name="T33" fmla="*/ T32 w 20"/>
                              <a:gd name="T34" fmla="+- 0 -760 -789"/>
                              <a:gd name="T35" fmla="*/ -760 h 480"/>
                              <a:gd name="T36" fmla="+- 0 10772 10752"/>
                              <a:gd name="T37" fmla="*/ T36 w 20"/>
                              <a:gd name="T38" fmla="+- 0 -789 -789"/>
                              <a:gd name="T39" fmla="*/ -789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 h="480">
                                <a:moveTo>
                                  <a:pt x="20" y="451"/>
                                </a:moveTo>
                                <a:lnTo>
                                  <a:pt x="0" y="451"/>
                                </a:lnTo>
                                <a:lnTo>
                                  <a:pt x="0" y="480"/>
                                </a:lnTo>
                                <a:lnTo>
                                  <a:pt x="20" y="480"/>
                                </a:lnTo>
                                <a:lnTo>
                                  <a:pt x="20" y="451"/>
                                </a:lnTo>
                                <a:moveTo>
                                  <a:pt x="20" y="0"/>
                                </a:moveTo>
                                <a:lnTo>
                                  <a:pt x="0" y="0"/>
                                </a:lnTo>
                                <a:lnTo>
                                  <a:pt x="0" y="29"/>
                                </a:lnTo>
                                <a:lnTo>
                                  <a:pt x="20" y="29"/>
                                </a:lnTo>
                                <a:lnTo>
                                  <a:pt x="20" y="0"/>
                                </a:lnTo>
                              </a:path>
                            </a:pathLst>
                          </a:custGeom>
                          <a:solidFill>
                            <a:srgbClr val="A1DA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6"/>
                        <wps:cNvSpPr txBox="1">
                          <a:spLocks noChangeArrowheads="1"/>
                        </wps:cNvSpPr>
                        <wps:spPr bwMode="auto">
                          <a:xfrm>
                            <a:off x="9483" y="-793"/>
                            <a:ext cx="1531"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66FAF" w14:textId="77777777" w:rsidR="00E50FFA" w:rsidRDefault="00E50FFA" w:rsidP="00E50FFA">
                              <w:pPr>
                                <w:spacing w:before="90" w:line="235" w:lineRule="auto"/>
                                <w:ind w:left="207" w:right="59" w:hanging="67"/>
                                <w:rPr>
                                  <w:rFonts w:ascii="Century Gothic" w:hAnsi="Century Gothic"/>
                                  <w:b/>
                                  <w:sz w:val="14"/>
                                </w:rPr>
                              </w:pPr>
                              <w:r>
                                <w:rPr>
                                  <w:rFonts w:ascii="Century Gothic" w:hAnsi="Century Gothic"/>
                                  <w:b/>
                                  <w:bCs/>
                                  <w:w w:val="95"/>
                                  <w:sz w:val="14"/>
                                </w:rPr>
                                <w:t>(</w:t>
                              </w:r>
                              <w:proofErr w:type="spellStart"/>
                              <w:r>
                                <w:rPr>
                                  <w:rFonts w:ascii="Century Gothic" w:hAnsi="Century Gothic"/>
                                  <w:b/>
                                  <w:bCs/>
                                  <w:w w:val="95"/>
                                  <w:sz w:val="14"/>
                                </w:rPr>
                                <w:t>en</w:t>
                              </w:r>
                              <w:proofErr w:type="spellEnd"/>
                              <w:r>
                                <w:rPr>
                                  <w:rFonts w:ascii="Century Gothic" w:hAnsi="Century Gothic"/>
                                  <w:b/>
                                  <w:bCs/>
                                  <w:w w:val="95"/>
                                  <w:sz w:val="14"/>
                                </w:rPr>
                                <w:t xml:space="preserve"> miles de </w:t>
                              </w:r>
                              <w:proofErr w:type="spellStart"/>
                              <w:r>
                                <w:rPr>
                                  <w:rFonts w:ascii="Century Gothic" w:hAnsi="Century Gothic"/>
                                  <w:b/>
                                  <w:bCs/>
                                  <w:w w:val="95"/>
                                  <w:sz w:val="14"/>
                                </w:rPr>
                                <w:t>dólares</w:t>
                              </w:r>
                              <w:proofErr w:type="spellEnd"/>
                              <w:r>
                                <w:rPr>
                                  <w:rFonts w:ascii="Century Gothic" w:hAnsi="Century Gothic"/>
                                  <w:b/>
                                  <w:bCs/>
                                  <w:w w:val="95"/>
                                  <w:sz w:val="14"/>
                                </w:rPr>
                                <w:t xml:space="preserve"> </w:t>
                              </w:r>
                              <w:proofErr w:type="spellStart"/>
                              <w:r>
                                <w:rPr>
                                  <w:rFonts w:ascii="Century Gothic" w:hAnsi="Century Gothic"/>
                                  <w:b/>
                                  <w:bCs/>
                                  <w:w w:val="95"/>
                                  <w:sz w:val="14"/>
                                </w:rPr>
                                <w:t>estadounidenses</w:t>
                              </w:r>
                              <w:proofErr w:type="spellEnd"/>
                              <w:r>
                                <w:rPr>
                                  <w:rFonts w:ascii="Century Gothic" w:hAnsi="Century Gothic"/>
                                  <w:b/>
                                  <w:bCs/>
                                  <w:w w:val="95"/>
                                  <w:sz w:val="1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A09AF" id="Group 59" o:spid="_x0000_s1026" style="position:absolute;left:0;text-align:left;margin-left:469.6pt;margin-top:4.95pt;width:88.65pt;height:26.85pt;z-index:251676672;mso-position-horizontal-relative:page" coordorigin="9241,-810" coordsize="17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">
                <v:line id="Line 38" o:spid="_x0000_s1027" style="position:absolute;visibility:visible;mso-wrap-style:square" from="9312,-799" to="1072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" strokecolor="#a1daf8" strokeweight="1pt">
                  <v:stroke dashstyle="3 1"/>
                </v:line>
                <v:line id="Line 39" o:spid="_x0000_s1028" style="position:absolute;visibility:visible;mso-wrap-style:square" from="9241,-799" to="927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" strokecolor="#a1daf8" strokeweight="1pt"/>
                <v:rect id="Rectangle 40" o:spid="_x0000_s1029" style="position:absolute;left:10741;top:-810;width:3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" fillcolor="#a1daf8" stroked="f"/>
                <v:line id="Line 41" o:spid="_x0000_s1030" style="position:absolute;visibility:visible;mso-wrap-style:square" from="9312,-299" to="1072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" strokecolor="#a1daf8" strokeweight="1pt">
                  <v:stroke dashstyle="3 1"/>
                </v:line>
                <v:line id="Line 42" o:spid="_x0000_s1031" style="position:absolute;visibility:visible;mso-wrap-style:square" from="9241,-299" to="927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" strokecolor="#a1daf8" strokeweight="1pt"/>
                <v:rect id="Rectangle 43" o:spid="_x0000_s1032" style="position:absolute;left:10741;top:-310;width:3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" fillcolor="#a1daf8" stroked="f"/>
                <v:line id="Line 44" o:spid="_x0000_s1033" style="position:absolute;visibility:visible;mso-wrap-style:square" from="10762,-376" to="1076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" strokecolor="#a1daf8" strokeweight="1pt">
                  <v:stroke dashstyle="3 1"/>
                </v:line>
                <v:shape id="AutoShape 45" o:spid="_x0000_s1034" style="position:absolute;left:10751;top:-790;width:20;height:480;visibility:visible;mso-wrap-style:square;v-text-anchor:top" coordsize="2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" path="m20,451l,451r,29l20,480r,-29m20,l,,,29r20,l20,e" fillcolor="#a1daf8" stroked="f">
                  <v:path arrowok="t" o:connecttype="custom" o:connectlocs="20,-338;0,-338;0,-309;20,-309;20,-338;20,-789;0,-789;0,-760;20,-760;20,-789" o:connectangles="0,0,0,0,0,0,0,0,0,0"/>
                </v:shape>
                <v:shapetype id="_x0000_t202" coordsize="21600,21600" o:spt="202" path="m,l,21600r21600,l21600,xe">
                  <v:stroke joinstyle="miter"/>
                  <v:path gradientshapeok="t" o:connecttype="rect"/>
                </v:shapetype>
                <v:shape id="Text Box 46" o:spid="_x0000_s1035" type="#_x0000_t202" style="position:absolute;left:9483;top:-793;width:1531;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1566FAF" w14:textId="77777777" w:rsidR="00E50FFA" w:rsidRDefault="00E50FFA" w:rsidP="00E50FFA">
                        <w:pPr>
                          <w:spacing w:before="90" w:line="235" w:lineRule="auto"/>
                          <w:ind w:left="207" w:right="59" w:hanging="67"/>
                          <w:rPr>
                            <w:rFonts w:ascii="Century Gothic" w:hAnsi="Century Gothic"/>
                            <w:b/>
                            <w:sz w:val="14"/>
                          </w:rPr>
                        </w:pPr>
                        <w:r>
                          <w:rPr>
                            <w:rFonts w:ascii="Century Gothic" w:hAnsi="Century Gothic"/>
                            <w:b/>
                            <w:bCs/>
                            <w:w w:val="95"/>
                            <w:sz w:val="14"/>
                          </w:rPr>
                          <w:t>(en miles de dólares estadounidenses)</w:t>
                        </w:r>
                      </w:p>
                    </w:txbxContent>
                  </v:textbox>
                </v:shape>
                <w10:wrap anchorx="page"/>
              </v:group>
            </w:pict>
          </mc:Fallback>
        </mc:AlternateContent>
      </w:r>
    </w:p>
    <w:p w14:paraId="1C690FA0" w14:textId="0D00A1ED" w:rsidR="00E50FFA" w:rsidRPr="00501641" w:rsidRDefault="00E50FFA" w:rsidP="00E50FFA">
      <w:pPr>
        <w:pStyle w:val="BodyText"/>
        <w:ind w:left="283"/>
        <w:rPr>
          <w:sz w:val="20"/>
        </w:rPr>
      </w:pPr>
      <w:r w:rsidRPr="00501641">
        <w:rPr>
          <w:noProof/>
          <w:snapToGrid/>
          <w:lang w:val="fr-FR" w:eastAsia="fr-FR"/>
        </w:rPr>
        <mc:AlternateContent>
          <mc:Choice Requires="wps">
            <w:drawing>
              <wp:anchor distT="0" distB="0" distL="114300" distR="114300" simplePos="0" relativeHeight="251681792" behindDoc="0" locked="0" layoutInCell="1" allowOverlap="1" wp14:anchorId="3A629B16" wp14:editId="7075CD7E">
                <wp:simplePos x="0" y="0"/>
                <wp:positionH relativeFrom="column">
                  <wp:posOffset>4482244</wp:posOffset>
                </wp:positionH>
                <wp:positionV relativeFrom="paragraph">
                  <wp:posOffset>1510444</wp:posOffset>
                </wp:positionV>
                <wp:extent cx="1158949" cy="191386"/>
                <wp:effectExtent l="0" t="0" r="3175" b="0"/>
                <wp:wrapNone/>
                <wp:docPr id="51" name="Text Box 51"/>
                <wp:cNvGraphicFramePr/>
                <a:graphic xmlns:a="http://schemas.openxmlformats.org/drawingml/2006/main">
                  <a:graphicData uri="http://schemas.microsoft.com/office/word/2010/wordprocessingShape">
                    <wps:wsp>
                      <wps:cNvSpPr txBox="1"/>
                      <wps:spPr>
                        <a:xfrm>
                          <a:off x="0" y="0"/>
                          <a:ext cx="1158949" cy="191386"/>
                        </a:xfrm>
                        <a:prstGeom prst="rect">
                          <a:avLst/>
                        </a:prstGeom>
                        <a:solidFill>
                          <a:schemeClr val="lt1"/>
                        </a:solidFill>
                        <a:ln w="6350">
                          <a:noFill/>
                        </a:ln>
                      </wps:spPr>
                      <wps:txbx>
                        <w:txbxContent>
                          <w:p w14:paraId="43BA48C7" w14:textId="4AE3BB6B" w:rsidR="00E50FFA" w:rsidRPr="00E50FFA" w:rsidRDefault="00E50FFA" w:rsidP="00E50FFA">
                            <w:pPr>
                              <w:spacing w:line="170" w:lineRule="exact"/>
                              <w:rPr>
                                <w:rFonts w:ascii="Calibri"/>
                                <w:sz w:val="14"/>
                              </w:rPr>
                            </w:pPr>
                            <w:proofErr w:type="spellStart"/>
                            <w:r>
                              <w:rPr>
                                <w:rFonts w:ascii="Calibri" w:hAnsi="Calibri"/>
                                <w:sz w:val="14"/>
                              </w:rPr>
                              <w:t>Déficit</w:t>
                            </w:r>
                            <w:proofErr w:type="spellEnd"/>
                            <w:r>
                              <w:rPr>
                                <w:rFonts w:ascii="Calibri" w:hAnsi="Calibri"/>
                                <w:sz w:val="14"/>
                              </w:rPr>
                              <w:t xml:space="preserve"> de </w:t>
                            </w:r>
                            <w:proofErr w:type="spellStart"/>
                            <w:r>
                              <w:rPr>
                                <w:rFonts w:ascii="Calibri" w:hAnsi="Calibri"/>
                                <w:sz w:val="14"/>
                              </w:rPr>
                              <w:t>financiación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29B16" id="Text Box 51" o:spid="_x0000_s1036" type="#_x0000_t202" style="position:absolute;left:0;text-align:left;margin-left:352.95pt;margin-top:118.95pt;width:91.25pt;height:1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" fillcolor="white [3201]" stroked="f" strokeweight=".5pt">
                <v:textbox>
                  <w:txbxContent>
                    <w:p w14:paraId="43BA48C7" w14:textId="4AE3BB6B" w:rsidR="00E50FFA" w:rsidRPr="00E50FFA" w:rsidRDefault="00E50FFA" w:rsidP="00E50FFA">
                      <w:pPr>
                        <w:spacing w:line="170" w:lineRule="exact"/>
                        <w:rPr>
                          <w:rFonts w:ascii="Calibri"/>
                          <w:sz w:val="14"/>
                        </w:rPr>
                      </w:pPr>
                      <w:r>
                        <w:rPr>
                          <w:rFonts w:ascii="Calibri" w:hAnsi="Calibri"/>
                          <w:sz w:val="14"/>
                        </w:rPr>
                        <w:t>Déficit de financiación</w:t>
                      </w:r>
                    </w:p>
                  </w:txbxContent>
                </v:textbox>
              </v:shape>
            </w:pict>
          </mc:Fallback>
        </mc:AlternateContent>
      </w:r>
      <w:r w:rsidRPr="00501641">
        <w:rPr>
          <w:noProof/>
          <w:snapToGrid/>
          <w:lang w:val="fr-FR" w:eastAsia="fr-FR"/>
        </w:rPr>
        <mc:AlternateContent>
          <mc:Choice Requires="wps">
            <w:drawing>
              <wp:anchor distT="0" distB="0" distL="114300" distR="114300" simplePos="0" relativeHeight="251679744" behindDoc="0" locked="0" layoutInCell="1" allowOverlap="1" wp14:anchorId="2ED5FE96" wp14:editId="7ADB7AAE">
                <wp:simplePos x="0" y="0"/>
                <wp:positionH relativeFrom="column">
                  <wp:posOffset>4482613</wp:posOffset>
                </wp:positionH>
                <wp:positionV relativeFrom="paragraph">
                  <wp:posOffset>1319708</wp:posOffset>
                </wp:positionV>
                <wp:extent cx="1158949" cy="191386"/>
                <wp:effectExtent l="0" t="0" r="3175" b="0"/>
                <wp:wrapNone/>
                <wp:docPr id="50" name="Text Box 50"/>
                <wp:cNvGraphicFramePr/>
                <a:graphic xmlns:a="http://schemas.openxmlformats.org/drawingml/2006/main">
                  <a:graphicData uri="http://schemas.microsoft.com/office/word/2010/wordprocessingShape">
                    <wps:wsp>
                      <wps:cNvSpPr txBox="1"/>
                      <wps:spPr>
                        <a:xfrm>
                          <a:off x="0" y="0"/>
                          <a:ext cx="1158949" cy="191386"/>
                        </a:xfrm>
                        <a:prstGeom prst="rect">
                          <a:avLst/>
                        </a:prstGeom>
                        <a:solidFill>
                          <a:schemeClr val="lt1"/>
                        </a:solidFill>
                        <a:ln w="6350">
                          <a:noFill/>
                        </a:ln>
                      </wps:spPr>
                      <wps:txbx>
                        <w:txbxContent>
                          <w:p w14:paraId="618C7870" w14:textId="10533437" w:rsidR="00E50FFA" w:rsidRPr="00E50FFA" w:rsidRDefault="00E50FFA" w:rsidP="00E50FFA">
                            <w:pPr>
                              <w:spacing w:line="170" w:lineRule="exact"/>
                              <w:rPr>
                                <w:rFonts w:ascii="Calibri"/>
                                <w:sz w:val="14"/>
                              </w:rPr>
                            </w:pPr>
                            <w:proofErr w:type="spellStart"/>
                            <w:r>
                              <w:rPr>
                                <w:rFonts w:ascii="Calibri" w:hAnsi="Calibri"/>
                                <w:sz w:val="14"/>
                              </w:rPr>
                              <w:t>Contribuciones</w:t>
                            </w:r>
                            <w:proofErr w:type="spellEnd"/>
                            <w:r>
                              <w:rPr>
                                <w:rFonts w:ascii="Calibri" w:hAnsi="Calibri"/>
                                <w:sz w:val="14"/>
                              </w:rPr>
                              <w:t xml:space="preserve"> </w:t>
                            </w:r>
                            <w:proofErr w:type="spellStart"/>
                            <w:r>
                              <w:rPr>
                                <w:rFonts w:ascii="Calibri" w:hAnsi="Calibri"/>
                                <w:sz w:val="14"/>
                              </w:rPr>
                              <w:t>voluntarias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5FE96" id="Text Box 50" o:spid="_x0000_s1037" type="#_x0000_t202" style="position:absolute;left:0;text-align:left;margin-left:352.95pt;margin-top:103.9pt;width:91.25pt;height: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" fillcolor="white [3201]" stroked="f" strokeweight=".5pt">
                <v:textbox>
                  <w:txbxContent>
                    <w:p w14:paraId="618C7870" w14:textId="10533437" w:rsidR="00E50FFA" w:rsidRPr="00E50FFA" w:rsidRDefault="00E50FFA" w:rsidP="00E50FFA">
                      <w:pPr>
                        <w:spacing w:line="170" w:lineRule="exact"/>
                        <w:rPr>
                          <w:rFonts w:ascii="Calibri"/>
                          <w:sz w:val="14"/>
                        </w:rPr>
                      </w:pPr>
                      <w:r>
                        <w:rPr>
                          <w:rFonts w:ascii="Calibri" w:hAnsi="Calibri"/>
                          <w:sz w:val="14"/>
                        </w:rPr>
                        <w:t>Contribuciones voluntarias</w:t>
                      </w:r>
                    </w:p>
                  </w:txbxContent>
                </v:textbox>
              </v:shape>
            </w:pict>
          </mc:Fallback>
        </mc:AlternateContent>
      </w:r>
      <w:r w:rsidRPr="00501641">
        <w:rPr>
          <w:noProof/>
          <w:snapToGrid/>
          <w:lang w:val="fr-FR" w:eastAsia="fr-FR"/>
        </w:rPr>
        <mc:AlternateContent>
          <mc:Choice Requires="wps">
            <w:drawing>
              <wp:anchor distT="0" distB="0" distL="114300" distR="114300" simplePos="0" relativeHeight="251677696" behindDoc="0" locked="0" layoutInCell="1" allowOverlap="1" wp14:anchorId="22C57572" wp14:editId="577658EE">
                <wp:simplePos x="0" y="0"/>
                <wp:positionH relativeFrom="column">
                  <wp:posOffset>4479068</wp:posOffset>
                </wp:positionH>
                <wp:positionV relativeFrom="paragraph">
                  <wp:posOffset>1125058</wp:posOffset>
                </wp:positionV>
                <wp:extent cx="1158949" cy="191386"/>
                <wp:effectExtent l="0" t="0" r="3175" b="0"/>
                <wp:wrapNone/>
                <wp:docPr id="48" name="Text Box 48"/>
                <wp:cNvGraphicFramePr/>
                <a:graphic xmlns:a="http://schemas.openxmlformats.org/drawingml/2006/main">
                  <a:graphicData uri="http://schemas.microsoft.com/office/word/2010/wordprocessingShape">
                    <wps:wsp>
                      <wps:cNvSpPr txBox="1"/>
                      <wps:spPr>
                        <a:xfrm>
                          <a:off x="0" y="0"/>
                          <a:ext cx="1158949" cy="191386"/>
                        </a:xfrm>
                        <a:prstGeom prst="rect">
                          <a:avLst/>
                        </a:prstGeom>
                        <a:solidFill>
                          <a:schemeClr val="lt1"/>
                        </a:solidFill>
                        <a:ln w="6350">
                          <a:noFill/>
                        </a:ln>
                      </wps:spPr>
                      <wps:txbx>
                        <w:txbxContent>
                          <w:p w14:paraId="425C4781" w14:textId="318B9756" w:rsidR="00E50FFA" w:rsidRPr="00E50FFA" w:rsidRDefault="00E50FFA" w:rsidP="00E50FFA">
                            <w:pPr>
                              <w:spacing w:line="170" w:lineRule="exact"/>
                              <w:rPr>
                                <w:rFonts w:ascii="Calibri"/>
                                <w:sz w:val="14"/>
                              </w:rPr>
                            </w:pPr>
                            <w:proofErr w:type="spellStart"/>
                            <w:r>
                              <w:rPr>
                                <w:rFonts w:ascii="Calibri" w:hAnsi="Calibri"/>
                                <w:sz w:val="14"/>
                              </w:rPr>
                              <w:t>Programa</w:t>
                            </w:r>
                            <w:proofErr w:type="spellEnd"/>
                            <w:r>
                              <w:rPr>
                                <w:rFonts w:ascii="Calibri" w:hAnsi="Calibri"/>
                                <w:sz w:val="14"/>
                              </w:rPr>
                              <w:t xml:space="preserve"> </w:t>
                            </w:r>
                            <w:proofErr w:type="spellStart"/>
                            <w:r>
                              <w:rPr>
                                <w:rFonts w:ascii="Calibri" w:hAnsi="Calibri"/>
                                <w:sz w:val="14"/>
                              </w:rPr>
                              <w:t>ordinariov</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57572" id="Text Box 48" o:spid="_x0000_s1038" type="#_x0000_t202" style="position:absolute;left:0;text-align:left;margin-left:352.7pt;margin-top:88.6pt;width:91.25pt;height:1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" fillcolor="white [3201]" stroked="f" strokeweight=".5pt">
                <v:textbox>
                  <w:txbxContent>
                    <w:p w14:paraId="425C4781" w14:textId="318B9756" w:rsidR="00E50FFA" w:rsidRPr="00E50FFA" w:rsidRDefault="00E50FFA" w:rsidP="00E50FFA">
                      <w:pPr>
                        <w:spacing w:line="170" w:lineRule="exact"/>
                        <w:rPr>
                          <w:rFonts w:ascii="Calibri"/>
                          <w:sz w:val="14"/>
                        </w:rPr>
                      </w:pPr>
                      <w:r>
                        <w:rPr>
                          <w:rFonts w:ascii="Calibri" w:hAnsi="Calibri"/>
                          <w:sz w:val="14"/>
                        </w:rPr>
                        <w:t>Programa ordinariov</w:t>
                      </w:r>
                    </w:p>
                  </w:txbxContent>
                </v:textbox>
              </v:shape>
            </w:pict>
          </mc:Fallback>
        </mc:AlternateContent>
      </w:r>
      <w:r w:rsidRPr="00501641">
        <w:rPr>
          <w:noProof/>
          <w:snapToGrid/>
          <w:lang w:val="fr-FR" w:eastAsia="fr-FR"/>
        </w:rPr>
        <w:drawing>
          <wp:anchor distT="0" distB="0" distL="114300" distR="114300" simplePos="0" relativeHeight="251674624" behindDoc="1" locked="0" layoutInCell="1" allowOverlap="1" wp14:anchorId="6AEEF60F" wp14:editId="65D0BE34">
            <wp:simplePos x="0" y="0"/>
            <wp:positionH relativeFrom="column">
              <wp:posOffset>-71755</wp:posOffset>
            </wp:positionH>
            <wp:positionV relativeFrom="paragraph">
              <wp:posOffset>391514</wp:posOffset>
            </wp:positionV>
            <wp:extent cx="6106795" cy="3592830"/>
            <wp:effectExtent l="0" t="0" r="8255" b="7620"/>
            <wp:wrapTight wrapText="bothSides">
              <wp:wrapPolygon edited="0">
                <wp:start x="0" y="0"/>
                <wp:lineTo x="0" y="21531"/>
                <wp:lineTo x="21562" y="21531"/>
                <wp:lineTo x="21562" y="0"/>
                <wp:lineTo x="0" y="0"/>
              </wp:wrapPolygon>
            </wp:wrapTight>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rotWithShape="1">
                    <a:blip r:embed="rId24"/>
                    <a:srcRect t="8402"/>
                    <a:stretch/>
                  </pic:blipFill>
                  <pic:spPr bwMode="auto">
                    <a:xfrm>
                      <a:off x="0" y="0"/>
                      <a:ext cx="6106795" cy="3592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1641">
        <w:rPr>
          <w:noProof/>
          <w:lang w:val="fr-FR" w:eastAsia="fr-FR"/>
        </w:rPr>
        <mc:AlternateContent>
          <mc:Choice Requires="wps">
            <w:drawing>
              <wp:inline distT="0" distB="0" distL="0" distR="0" wp14:anchorId="60FD5C8C" wp14:editId="72D44C29">
                <wp:extent cx="5148580" cy="317500"/>
                <wp:effectExtent l="0" t="0" r="4445" b="0"/>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317500"/>
                        </a:xfrm>
                        <a:prstGeom prst="rect">
                          <a:avLst/>
                        </a:prstGeom>
                        <a:solidFill>
                          <a:srgbClr val="C9E9F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AEA8E" w14:textId="77777777" w:rsidR="00E50FFA" w:rsidRDefault="00E50FFA" w:rsidP="00E50FFA">
                            <w:pPr>
                              <w:spacing w:before="52"/>
                              <w:rPr>
                                <w:rFonts w:ascii="Century Gothic" w:hAnsi="Century Gothic"/>
                                <w:b/>
                                <w:sz w:val="24"/>
                              </w:rPr>
                            </w:pPr>
                            <w:proofErr w:type="spellStart"/>
                            <w:r>
                              <w:rPr>
                                <w:rFonts w:ascii="Century Gothic" w:hAnsi="Century Gothic"/>
                                <w:b/>
                                <w:bCs/>
                                <w:sz w:val="24"/>
                              </w:rPr>
                              <w:t>Presupuesto</w:t>
                            </w:r>
                            <w:proofErr w:type="spellEnd"/>
                            <w:r>
                              <w:rPr>
                                <w:rFonts w:ascii="Century Gothic" w:hAnsi="Century Gothic"/>
                                <w:b/>
                                <w:bCs/>
                                <w:sz w:val="24"/>
                              </w:rPr>
                              <w:t xml:space="preserve"> </w:t>
                            </w:r>
                            <w:proofErr w:type="spellStart"/>
                            <w:r>
                              <w:rPr>
                                <w:rFonts w:ascii="Century Gothic" w:hAnsi="Century Gothic"/>
                                <w:b/>
                                <w:bCs/>
                                <w:sz w:val="24"/>
                              </w:rPr>
                              <w:t>integrado</w:t>
                            </w:r>
                            <w:proofErr w:type="spellEnd"/>
                            <w:r>
                              <w:rPr>
                                <w:rFonts w:ascii="Century Gothic" w:hAnsi="Century Gothic"/>
                                <w:b/>
                                <w:bCs/>
                                <w:sz w:val="24"/>
                              </w:rPr>
                              <w:t xml:space="preserve"> total por </w:t>
                            </w:r>
                            <w:proofErr w:type="spellStart"/>
                            <w:r>
                              <w:rPr>
                                <w:rFonts w:ascii="Century Gothic" w:hAnsi="Century Gothic"/>
                                <w:b/>
                                <w:bCs/>
                                <w:sz w:val="24"/>
                              </w:rPr>
                              <w:t>producto</w:t>
                            </w:r>
                            <w:proofErr w:type="spellEnd"/>
                            <w:r>
                              <w:rPr>
                                <w:rFonts w:ascii="Century Gothic" w:hAnsi="Century Gothic"/>
                                <w:b/>
                                <w:bCs/>
                                <w:sz w:val="24"/>
                              </w:rPr>
                              <w:t xml:space="preserve"> y </w:t>
                            </w:r>
                            <w:proofErr w:type="spellStart"/>
                            <w:r>
                              <w:rPr>
                                <w:rFonts w:ascii="Century Gothic" w:hAnsi="Century Gothic"/>
                                <w:b/>
                                <w:bCs/>
                                <w:sz w:val="24"/>
                              </w:rPr>
                              <w:t>fuente</w:t>
                            </w:r>
                            <w:proofErr w:type="spellEnd"/>
                            <w:r>
                              <w:rPr>
                                <w:rFonts w:ascii="Century Gothic" w:hAnsi="Century Gothic"/>
                                <w:b/>
                                <w:bCs/>
                                <w:sz w:val="24"/>
                              </w:rPr>
                              <w:t xml:space="preserve"> de </w:t>
                            </w:r>
                            <w:proofErr w:type="spellStart"/>
                            <w:r>
                              <w:rPr>
                                <w:rFonts w:ascii="Century Gothic" w:hAnsi="Century Gothic"/>
                                <w:b/>
                                <w:bCs/>
                                <w:sz w:val="24"/>
                              </w:rPr>
                              <w:t>financiación</w:t>
                            </w:r>
                            <w:proofErr w:type="spellEnd"/>
                          </w:p>
                        </w:txbxContent>
                      </wps:txbx>
                      <wps:bodyPr rot="0" vert="horz" wrap="square" lIns="0" tIns="0" rIns="0" bIns="0" anchor="t" anchorCtr="0" upright="1">
                        <a:noAutofit/>
                      </wps:bodyPr>
                    </wps:wsp>
                  </a:graphicData>
                </a:graphic>
              </wp:inline>
            </w:drawing>
          </mc:Choice>
          <mc:Fallback>
            <w:pict>
              <v:shape w14:anchorId="60FD5C8C" id="Text Box 69" o:spid="_x0000_s1039" type="#_x0000_t202" style="width:405.4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" fillcolor="#c9e9fb" stroked="f">
                <v:textbox inset="0,0,0,0">
                  <w:txbxContent>
                    <w:p w14:paraId="08FAEA8E" w14:textId="77777777" w:rsidR="00E50FFA" w:rsidRDefault="00E50FFA" w:rsidP="00E50FFA">
                      <w:pPr>
                        <w:spacing w:before="52"/>
                        <w:rPr>
                          <w:rFonts w:ascii="Century Gothic" w:hAnsi="Century Gothic"/>
                          <w:b/>
                          <w:sz w:val="24"/>
                        </w:rPr>
                      </w:pPr>
                      <w:r>
                        <w:rPr>
                          <w:rFonts w:ascii="Century Gothic" w:hAnsi="Century Gothic"/>
                          <w:b/>
                          <w:bCs/>
                          <w:sz w:val="24"/>
                        </w:rPr>
                        <w:t>Presupuesto integrado total por producto y fuente de financiación</w:t>
                      </w:r>
                    </w:p>
                  </w:txbxContent>
                </v:textbox>
                <w10:anchorlock/>
              </v:shape>
            </w:pict>
          </mc:Fallback>
        </mc:AlternateContent>
      </w:r>
    </w:p>
    <w:p w14:paraId="36A11009" w14:textId="0AFC4615" w:rsidR="00A1295C" w:rsidRPr="00501641" w:rsidRDefault="00A1295C" w:rsidP="00E50FFA">
      <w:pPr>
        <w:pStyle w:val="BodyText"/>
        <w:rPr>
          <w:sz w:val="20"/>
        </w:rPr>
      </w:pPr>
    </w:p>
    <w:p w14:paraId="7F85A88D" w14:textId="77777777" w:rsidR="00714BDA" w:rsidRPr="00501641" w:rsidRDefault="00714BDA" w:rsidP="00714BDA">
      <w:pPr>
        <w:pStyle w:val="ParaCOI"/>
        <w:numPr>
          <w:ilvl w:val="0"/>
          <w:numId w:val="4"/>
        </w:numPr>
        <w:shd w:val="clear" w:color="auto" w:fill="FFFFFF"/>
        <w:ind w:left="0" w:firstLine="0"/>
      </w:pPr>
      <w:r>
        <w:rPr>
          <w:lang w:val="es"/>
        </w:rPr>
        <w:t>Las tablas y gráficos siguientes completan la presentación del programa y presupuesto de la COI en el proyecto de 41 C/5. Proporcionan el Proyecto de Marco Presupuestario Integrado 41 C/5 (2022-2023) completo, incluyendo las asignaciones propuestas por funciones y actividades, así como comparaciones con el 40 C/5 (2020-2021).</w:t>
      </w:r>
    </w:p>
    <w:p w14:paraId="2A664116" w14:textId="77777777" w:rsidR="00BF26BB" w:rsidRDefault="00BF26BB">
      <w:pPr>
        <w:widowControl/>
        <w:tabs>
          <w:tab w:val="clear" w:pos="567"/>
        </w:tabs>
        <w:adjustRightInd/>
        <w:snapToGrid/>
        <w:spacing w:line="240" w:lineRule="auto"/>
        <w:jc w:val="left"/>
        <w:textAlignment w:val="auto"/>
      </w:pPr>
      <w:r w:rsidRPr="00BF26BB">
        <w:rPr>
          <w:noProof/>
        </w:rPr>
        <w:drawing>
          <wp:inline distT="0" distB="0" distL="0" distR="0" wp14:anchorId="5E828C61" wp14:editId="4E5FE9A2">
            <wp:extent cx="6106795" cy="7653020"/>
            <wp:effectExtent l="0" t="0" r="825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6795" cy="7653020"/>
                    </a:xfrm>
                    <a:prstGeom prst="rect">
                      <a:avLst/>
                    </a:prstGeom>
                    <a:noFill/>
                    <a:ln>
                      <a:noFill/>
                    </a:ln>
                  </pic:spPr>
                </pic:pic>
              </a:graphicData>
            </a:graphic>
          </wp:inline>
        </w:drawing>
      </w:r>
    </w:p>
    <w:p w14:paraId="198F7C6E" w14:textId="77777777" w:rsidR="00BF26BB" w:rsidRDefault="00BF26BB">
      <w:pPr>
        <w:widowControl/>
        <w:tabs>
          <w:tab w:val="clear" w:pos="567"/>
        </w:tabs>
        <w:adjustRightInd/>
        <w:snapToGrid/>
        <w:spacing w:line="240" w:lineRule="auto"/>
        <w:jc w:val="left"/>
        <w:textAlignment w:val="auto"/>
      </w:pPr>
    </w:p>
    <w:p w14:paraId="4E16E729" w14:textId="77777777" w:rsidR="00BF26BB" w:rsidRDefault="00BF26BB">
      <w:pPr>
        <w:widowControl/>
        <w:tabs>
          <w:tab w:val="clear" w:pos="567"/>
        </w:tabs>
        <w:adjustRightInd/>
        <w:snapToGrid/>
        <w:spacing w:line="240" w:lineRule="auto"/>
        <w:jc w:val="left"/>
        <w:textAlignment w:val="auto"/>
      </w:pPr>
    </w:p>
    <w:p w14:paraId="4720628D" w14:textId="77777777" w:rsidR="00BF26BB" w:rsidRDefault="00BF26BB">
      <w:pPr>
        <w:widowControl/>
        <w:tabs>
          <w:tab w:val="clear" w:pos="567"/>
        </w:tabs>
        <w:adjustRightInd/>
        <w:snapToGrid/>
        <w:spacing w:line="240" w:lineRule="auto"/>
        <w:jc w:val="left"/>
        <w:textAlignment w:val="auto"/>
      </w:pPr>
      <w:r w:rsidRPr="00BF26BB">
        <w:rPr>
          <w:noProof/>
        </w:rPr>
        <w:lastRenderedPageBreak/>
        <w:drawing>
          <wp:inline distT="0" distB="0" distL="0" distR="0" wp14:anchorId="62E4AD1A" wp14:editId="19BF6DFC">
            <wp:extent cx="6106795" cy="4968875"/>
            <wp:effectExtent l="0" t="0" r="825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6795" cy="4968875"/>
                    </a:xfrm>
                    <a:prstGeom prst="rect">
                      <a:avLst/>
                    </a:prstGeom>
                    <a:noFill/>
                    <a:ln>
                      <a:noFill/>
                    </a:ln>
                  </pic:spPr>
                </pic:pic>
              </a:graphicData>
            </a:graphic>
          </wp:inline>
        </w:drawing>
      </w:r>
    </w:p>
    <w:p w14:paraId="61592E02" w14:textId="77777777" w:rsidR="00BF26BB" w:rsidRDefault="00BF26BB">
      <w:pPr>
        <w:widowControl/>
        <w:tabs>
          <w:tab w:val="clear" w:pos="567"/>
        </w:tabs>
        <w:adjustRightInd/>
        <w:snapToGrid/>
        <w:spacing w:line="240" w:lineRule="auto"/>
        <w:jc w:val="left"/>
        <w:textAlignment w:val="auto"/>
      </w:pPr>
    </w:p>
    <w:p w14:paraId="7C2F0555" w14:textId="77777777" w:rsidR="00BF26BB" w:rsidRDefault="00BF26BB">
      <w:pPr>
        <w:widowControl/>
        <w:tabs>
          <w:tab w:val="clear" w:pos="567"/>
        </w:tabs>
        <w:adjustRightInd/>
        <w:snapToGrid/>
        <w:spacing w:line="240" w:lineRule="auto"/>
        <w:jc w:val="left"/>
        <w:textAlignment w:val="auto"/>
      </w:pPr>
    </w:p>
    <w:p w14:paraId="29279ECE" w14:textId="32EC95A6" w:rsidR="0043316F" w:rsidRPr="00501641" w:rsidRDefault="0043316F">
      <w:pPr>
        <w:widowControl/>
        <w:tabs>
          <w:tab w:val="clear" w:pos="567"/>
        </w:tabs>
        <w:adjustRightInd/>
        <w:snapToGrid/>
        <w:spacing w:line="240" w:lineRule="auto"/>
        <w:jc w:val="left"/>
        <w:textAlignment w:val="auto"/>
      </w:pPr>
    </w:p>
    <w:p w14:paraId="46664FFB" w14:textId="77777777" w:rsidR="007D36A2" w:rsidRPr="004937F1" w:rsidRDefault="007D36A2" w:rsidP="007D36A2">
      <w:pPr>
        <w:widowControl/>
        <w:tabs>
          <w:tab w:val="clear" w:pos="567"/>
        </w:tabs>
        <w:adjustRightInd/>
        <w:snapToGrid/>
        <w:spacing w:line="240" w:lineRule="auto"/>
        <w:jc w:val="left"/>
        <w:textAlignment w:val="auto"/>
      </w:pPr>
    </w:p>
    <w:tbl>
      <w:tblPr>
        <w:tblW w:w="9400" w:type="dxa"/>
        <w:tblCellMar>
          <w:left w:w="70" w:type="dxa"/>
          <w:right w:w="70" w:type="dxa"/>
        </w:tblCellMar>
        <w:tblLook w:val="04A0" w:firstRow="1" w:lastRow="0" w:firstColumn="1" w:lastColumn="0" w:noHBand="0" w:noVBand="1"/>
      </w:tblPr>
      <w:tblGrid>
        <w:gridCol w:w="1400"/>
        <w:gridCol w:w="1006"/>
        <w:gridCol w:w="982"/>
        <w:gridCol w:w="1006"/>
        <w:gridCol w:w="1006"/>
        <w:gridCol w:w="1006"/>
        <w:gridCol w:w="982"/>
        <w:gridCol w:w="1006"/>
        <w:gridCol w:w="1006"/>
      </w:tblGrid>
      <w:tr w:rsidR="007D36A2" w:rsidRPr="004937F1" w14:paraId="62ABE154" w14:textId="77777777" w:rsidTr="003C4D3F">
        <w:trPr>
          <w:trHeight w:val="290"/>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71F88"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Función de la COI</w:t>
            </w:r>
          </w:p>
        </w:tc>
        <w:tc>
          <w:tcPr>
            <w:tcW w:w="40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218BF5"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40 C/5 (2020-2021) IBF</w:t>
            </w:r>
          </w:p>
        </w:tc>
        <w:tc>
          <w:tcPr>
            <w:tcW w:w="40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0310E4"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Proyecto 41 C/5 (2022-2023) IBF</w:t>
            </w:r>
          </w:p>
        </w:tc>
      </w:tr>
      <w:tr w:rsidR="007D36A2" w:rsidRPr="004937F1" w14:paraId="2D03F4EB" w14:textId="77777777" w:rsidTr="003C4D3F">
        <w:trPr>
          <w:trHeight w:val="24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76F03FEF"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b/>
                <w:bCs/>
                <w:snapToGrid/>
                <w:sz w:val="18"/>
                <w:szCs w:val="18"/>
              </w:rPr>
            </w:pPr>
          </w:p>
        </w:tc>
        <w:tc>
          <w:tcPr>
            <w:tcW w:w="1006" w:type="dxa"/>
            <w:tcBorders>
              <w:top w:val="nil"/>
              <w:left w:val="nil"/>
              <w:bottom w:val="single" w:sz="4" w:space="0" w:color="auto"/>
              <w:right w:val="single" w:sz="4" w:space="0" w:color="auto"/>
            </w:tcBorders>
            <w:shd w:val="clear" w:color="auto" w:fill="auto"/>
            <w:noWrap/>
            <w:vAlign w:val="center"/>
            <w:hideMark/>
          </w:tcPr>
          <w:p w14:paraId="79D1ADA8"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RB</w:t>
            </w:r>
          </w:p>
        </w:tc>
        <w:tc>
          <w:tcPr>
            <w:tcW w:w="982" w:type="dxa"/>
            <w:tcBorders>
              <w:top w:val="nil"/>
              <w:left w:val="nil"/>
              <w:bottom w:val="single" w:sz="4" w:space="0" w:color="auto"/>
              <w:right w:val="single" w:sz="4" w:space="0" w:color="auto"/>
            </w:tcBorders>
            <w:shd w:val="clear" w:color="auto" w:fill="auto"/>
            <w:noWrap/>
            <w:vAlign w:val="center"/>
            <w:hideMark/>
          </w:tcPr>
          <w:p w14:paraId="7BFFED5B"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CV en mano</w:t>
            </w:r>
          </w:p>
        </w:tc>
        <w:tc>
          <w:tcPr>
            <w:tcW w:w="1006" w:type="dxa"/>
            <w:tcBorders>
              <w:top w:val="nil"/>
              <w:left w:val="nil"/>
              <w:bottom w:val="single" w:sz="4" w:space="0" w:color="auto"/>
              <w:right w:val="single" w:sz="4" w:space="0" w:color="auto"/>
            </w:tcBorders>
            <w:shd w:val="clear" w:color="auto" w:fill="auto"/>
            <w:noWrap/>
            <w:vAlign w:val="center"/>
            <w:hideMark/>
          </w:tcPr>
          <w:p w14:paraId="2441A87B"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Brecha de la CV</w:t>
            </w:r>
          </w:p>
        </w:tc>
        <w:tc>
          <w:tcPr>
            <w:tcW w:w="1006" w:type="dxa"/>
            <w:tcBorders>
              <w:top w:val="nil"/>
              <w:left w:val="nil"/>
              <w:bottom w:val="single" w:sz="4" w:space="0" w:color="auto"/>
              <w:right w:val="single" w:sz="4" w:space="0" w:color="auto"/>
            </w:tcBorders>
            <w:shd w:val="clear" w:color="auto" w:fill="auto"/>
            <w:noWrap/>
            <w:vAlign w:val="center"/>
            <w:hideMark/>
          </w:tcPr>
          <w:p w14:paraId="05E94A3C"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 xml:space="preserve">Total </w:t>
            </w:r>
          </w:p>
        </w:tc>
        <w:tc>
          <w:tcPr>
            <w:tcW w:w="1006" w:type="dxa"/>
            <w:tcBorders>
              <w:top w:val="nil"/>
              <w:left w:val="nil"/>
              <w:bottom w:val="single" w:sz="4" w:space="0" w:color="auto"/>
              <w:right w:val="single" w:sz="4" w:space="0" w:color="auto"/>
            </w:tcBorders>
            <w:shd w:val="clear" w:color="auto" w:fill="auto"/>
            <w:noWrap/>
            <w:vAlign w:val="center"/>
            <w:hideMark/>
          </w:tcPr>
          <w:p w14:paraId="61D18137"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RB</w:t>
            </w:r>
          </w:p>
        </w:tc>
        <w:tc>
          <w:tcPr>
            <w:tcW w:w="982" w:type="dxa"/>
            <w:tcBorders>
              <w:top w:val="nil"/>
              <w:left w:val="nil"/>
              <w:bottom w:val="single" w:sz="4" w:space="0" w:color="auto"/>
              <w:right w:val="single" w:sz="4" w:space="0" w:color="auto"/>
            </w:tcBorders>
            <w:shd w:val="clear" w:color="auto" w:fill="auto"/>
            <w:noWrap/>
            <w:vAlign w:val="center"/>
            <w:hideMark/>
          </w:tcPr>
          <w:p w14:paraId="3D56F545"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CV en mano</w:t>
            </w:r>
          </w:p>
        </w:tc>
        <w:tc>
          <w:tcPr>
            <w:tcW w:w="1006" w:type="dxa"/>
            <w:tcBorders>
              <w:top w:val="nil"/>
              <w:left w:val="nil"/>
              <w:bottom w:val="single" w:sz="4" w:space="0" w:color="auto"/>
              <w:right w:val="single" w:sz="4" w:space="0" w:color="auto"/>
            </w:tcBorders>
            <w:shd w:val="clear" w:color="auto" w:fill="auto"/>
            <w:noWrap/>
            <w:vAlign w:val="center"/>
            <w:hideMark/>
          </w:tcPr>
          <w:p w14:paraId="4C0C2D2F"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Brecha de la CV</w:t>
            </w:r>
          </w:p>
        </w:tc>
        <w:tc>
          <w:tcPr>
            <w:tcW w:w="1006" w:type="dxa"/>
            <w:tcBorders>
              <w:top w:val="nil"/>
              <w:left w:val="nil"/>
              <w:bottom w:val="single" w:sz="4" w:space="0" w:color="auto"/>
              <w:right w:val="single" w:sz="4" w:space="0" w:color="auto"/>
            </w:tcBorders>
            <w:shd w:val="clear" w:color="auto" w:fill="auto"/>
            <w:noWrap/>
            <w:vAlign w:val="center"/>
            <w:hideMark/>
          </w:tcPr>
          <w:p w14:paraId="0A2E4B1B" w14:textId="77777777" w:rsidR="007D36A2" w:rsidRPr="004937F1" w:rsidRDefault="007D36A2" w:rsidP="003C4D3F">
            <w:pPr>
              <w:widowControl/>
              <w:tabs>
                <w:tab w:val="clear" w:pos="567"/>
              </w:tabs>
              <w:adjustRightInd/>
              <w:snapToGrid/>
              <w:spacing w:line="240" w:lineRule="auto"/>
              <w:jc w:val="center"/>
              <w:textAlignment w:val="auto"/>
              <w:rPr>
                <w:rFonts w:ascii="Calibri" w:hAnsi="Calibri" w:cs="Calibri"/>
                <w:b/>
                <w:bCs/>
                <w:snapToGrid/>
                <w:sz w:val="18"/>
                <w:szCs w:val="18"/>
              </w:rPr>
            </w:pPr>
            <w:r w:rsidRPr="004937F1">
              <w:rPr>
                <w:rFonts w:ascii="Calibri" w:hAnsi="Calibri" w:cs="Calibri"/>
                <w:b/>
                <w:bCs/>
                <w:snapToGrid/>
                <w:sz w:val="18"/>
                <w:szCs w:val="18"/>
                <w:lang w:val="es"/>
              </w:rPr>
              <w:t>Total</w:t>
            </w:r>
          </w:p>
        </w:tc>
      </w:tr>
      <w:tr w:rsidR="007D36A2" w:rsidRPr="004937F1" w14:paraId="1095C635" w14:textId="77777777" w:rsidTr="003C4D3F">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BD7B85C"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A</w:t>
            </w:r>
          </w:p>
        </w:tc>
        <w:tc>
          <w:tcPr>
            <w:tcW w:w="1006" w:type="dxa"/>
            <w:tcBorders>
              <w:top w:val="nil"/>
              <w:left w:val="nil"/>
              <w:bottom w:val="single" w:sz="4" w:space="0" w:color="auto"/>
              <w:right w:val="single" w:sz="4" w:space="0" w:color="auto"/>
            </w:tcBorders>
            <w:shd w:val="clear" w:color="auto" w:fill="auto"/>
            <w:noWrap/>
            <w:vAlign w:val="bottom"/>
            <w:hideMark/>
          </w:tcPr>
          <w:p w14:paraId="6DC864DB"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205 000</w:t>
            </w:r>
          </w:p>
        </w:tc>
        <w:tc>
          <w:tcPr>
            <w:tcW w:w="982" w:type="dxa"/>
            <w:tcBorders>
              <w:top w:val="nil"/>
              <w:left w:val="nil"/>
              <w:bottom w:val="single" w:sz="4" w:space="0" w:color="auto"/>
              <w:right w:val="single" w:sz="4" w:space="0" w:color="auto"/>
            </w:tcBorders>
            <w:shd w:val="clear" w:color="auto" w:fill="auto"/>
            <w:noWrap/>
            <w:vAlign w:val="bottom"/>
            <w:hideMark/>
          </w:tcPr>
          <w:p w14:paraId="3BD211AE"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50 000</w:t>
            </w:r>
          </w:p>
        </w:tc>
        <w:tc>
          <w:tcPr>
            <w:tcW w:w="1006" w:type="dxa"/>
            <w:tcBorders>
              <w:top w:val="nil"/>
              <w:left w:val="nil"/>
              <w:bottom w:val="single" w:sz="4" w:space="0" w:color="auto"/>
              <w:right w:val="single" w:sz="4" w:space="0" w:color="auto"/>
            </w:tcBorders>
            <w:shd w:val="clear" w:color="auto" w:fill="auto"/>
            <w:noWrap/>
            <w:vAlign w:val="bottom"/>
            <w:hideMark/>
          </w:tcPr>
          <w:p w14:paraId="04FD1E4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994 000</w:t>
            </w:r>
          </w:p>
        </w:tc>
        <w:tc>
          <w:tcPr>
            <w:tcW w:w="1006" w:type="dxa"/>
            <w:tcBorders>
              <w:top w:val="nil"/>
              <w:left w:val="nil"/>
              <w:bottom w:val="single" w:sz="4" w:space="0" w:color="auto"/>
              <w:right w:val="single" w:sz="4" w:space="0" w:color="auto"/>
            </w:tcBorders>
            <w:shd w:val="clear" w:color="auto" w:fill="auto"/>
            <w:noWrap/>
            <w:vAlign w:val="bottom"/>
            <w:hideMark/>
          </w:tcPr>
          <w:p w14:paraId="7D7E2F26"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1 249 000</w:t>
            </w:r>
          </w:p>
        </w:tc>
        <w:tc>
          <w:tcPr>
            <w:tcW w:w="1006" w:type="dxa"/>
            <w:tcBorders>
              <w:top w:val="nil"/>
              <w:left w:val="nil"/>
              <w:bottom w:val="single" w:sz="4" w:space="0" w:color="auto"/>
              <w:right w:val="single" w:sz="4" w:space="0" w:color="auto"/>
            </w:tcBorders>
            <w:shd w:val="clear" w:color="auto" w:fill="auto"/>
            <w:noWrap/>
            <w:vAlign w:val="bottom"/>
            <w:hideMark/>
          </w:tcPr>
          <w:p w14:paraId="6CE3C3F5"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135 745</w:t>
            </w:r>
          </w:p>
        </w:tc>
        <w:tc>
          <w:tcPr>
            <w:tcW w:w="982" w:type="dxa"/>
            <w:tcBorders>
              <w:top w:val="nil"/>
              <w:left w:val="nil"/>
              <w:bottom w:val="single" w:sz="4" w:space="0" w:color="auto"/>
              <w:right w:val="single" w:sz="4" w:space="0" w:color="auto"/>
            </w:tcBorders>
            <w:shd w:val="clear" w:color="auto" w:fill="auto"/>
            <w:noWrap/>
            <w:vAlign w:val="bottom"/>
            <w:hideMark/>
          </w:tcPr>
          <w:p w14:paraId="78E17148"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203 400</w:t>
            </w:r>
          </w:p>
        </w:tc>
        <w:tc>
          <w:tcPr>
            <w:tcW w:w="1006" w:type="dxa"/>
            <w:tcBorders>
              <w:top w:val="nil"/>
              <w:left w:val="nil"/>
              <w:bottom w:val="single" w:sz="4" w:space="0" w:color="auto"/>
              <w:right w:val="single" w:sz="4" w:space="0" w:color="auto"/>
            </w:tcBorders>
            <w:shd w:val="clear" w:color="auto" w:fill="auto"/>
            <w:noWrap/>
            <w:vAlign w:val="bottom"/>
            <w:hideMark/>
          </w:tcPr>
          <w:p w14:paraId="7BC3CAEB"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550 000</w:t>
            </w:r>
          </w:p>
        </w:tc>
        <w:tc>
          <w:tcPr>
            <w:tcW w:w="1006" w:type="dxa"/>
            <w:tcBorders>
              <w:top w:val="nil"/>
              <w:left w:val="nil"/>
              <w:bottom w:val="single" w:sz="4" w:space="0" w:color="auto"/>
              <w:right w:val="single" w:sz="4" w:space="0" w:color="auto"/>
            </w:tcBorders>
            <w:shd w:val="clear" w:color="auto" w:fill="auto"/>
            <w:noWrap/>
            <w:vAlign w:val="bottom"/>
            <w:hideMark/>
          </w:tcPr>
          <w:p w14:paraId="214C8BA4"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889 145</w:t>
            </w:r>
          </w:p>
        </w:tc>
      </w:tr>
      <w:tr w:rsidR="007D36A2" w:rsidRPr="004937F1" w14:paraId="2F5A3CD6" w14:textId="77777777" w:rsidTr="003C4D3F">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CE1987F"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B</w:t>
            </w:r>
          </w:p>
        </w:tc>
        <w:tc>
          <w:tcPr>
            <w:tcW w:w="1006" w:type="dxa"/>
            <w:tcBorders>
              <w:top w:val="nil"/>
              <w:left w:val="nil"/>
              <w:bottom w:val="single" w:sz="4" w:space="0" w:color="auto"/>
              <w:right w:val="single" w:sz="4" w:space="0" w:color="auto"/>
            </w:tcBorders>
            <w:shd w:val="clear" w:color="auto" w:fill="auto"/>
            <w:noWrap/>
            <w:vAlign w:val="bottom"/>
            <w:hideMark/>
          </w:tcPr>
          <w:p w14:paraId="55A437A5"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567 000</w:t>
            </w:r>
          </w:p>
        </w:tc>
        <w:tc>
          <w:tcPr>
            <w:tcW w:w="982" w:type="dxa"/>
            <w:tcBorders>
              <w:top w:val="nil"/>
              <w:left w:val="nil"/>
              <w:bottom w:val="single" w:sz="4" w:space="0" w:color="auto"/>
              <w:right w:val="single" w:sz="4" w:space="0" w:color="auto"/>
            </w:tcBorders>
            <w:shd w:val="clear" w:color="auto" w:fill="auto"/>
            <w:noWrap/>
            <w:vAlign w:val="bottom"/>
            <w:hideMark/>
          </w:tcPr>
          <w:p w14:paraId="17F7AA48"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220 000</w:t>
            </w:r>
          </w:p>
        </w:tc>
        <w:tc>
          <w:tcPr>
            <w:tcW w:w="1006" w:type="dxa"/>
            <w:tcBorders>
              <w:top w:val="nil"/>
              <w:left w:val="nil"/>
              <w:bottom w:val="single" w:sz="4" w:space="0" w:color="auto"/>
              <w:right w:val="single" w:sz="4" w:space="0" w:color="auto"/>
            </w:tcBorders>
            <w:shd w:val="clear" w:color="auto" w:fill="auto"/>
            <w:noWrap/>
            <w:vAlign w:val="bottom"/>
            <w:hideMark/>
          </w:tcPr>
          <w:p w14:paraId="134C50DE"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1 722 200</w:t>
            </w:r>
          </w:p>
        </w:tc>
        <w:tc>
          <w:tcPr>
            <w:tcW w:w="1006" w:type="dxa"/>
            <w:tcBorders>
              <w:top w:val="nil"/>
              <w:left w:val="nil"/>
              <w:bottom w:val="single" w:sz="4" w:space="0" w:color="auto"/>
              <w:right w:val="single" w:sz="4" w:space="0" w:color="auto"/>
            </w:tcBorders>
            <w:shd w:val="clear" w:color="auto" w:fill="auto"/>
            <w:noWrap/>
            <w:vAlign w:val="bottom"/>
            <w:hideMark/>
          </w:tcPr>
          <w:p w14:paraId="71C71DC7"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2 509 200</w:t>
            </w:r>
          </w:p>
        </w:tc>
        <w:tc>
          <w:tcPr>
            <w:tcW w:w="1006" w:type="dxa"/>
            <w:tcBorders>
              <w:top w:val="nil"/>
              <w:left w:val="nil"/>
              <w:bottom w:val="single" w:sz="4" w:space="0" w:color="auto"/>
              <w:right w:val="single" w:sz="4" w:space="0" w:color="auto"/>
            </w:tcBorders>
            <w:shd w:val="clear" w:color="auto" w:fill="auto"/>
            <w:noWrap/>
            <w:vAlign w:val="bottom"/>
            <w:hideMark/>
          </w:tcPr>
          <w:p w14:paraId="7ECE3FEB"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503 205</w:t>
            </w:r>
          </w:p>
        </w:tc>
        <w:tc>
          <w:tcPr>
            <w:tcW w:w="982" w:type="dxa"/>
            <w:tcBorders>
              <w:top w:val="nil"/>
              <w:left w:val="nil"/>
              <w:bottom w:val="single" w:sz="4" w:space="0" w:color="auto"/>
              <w:right w:val="single" w:sz="4" w:space="0" w:color="auto"/>
            </w:tcBorders>
            <w:shd w:val="clear" w:color="auto" w:fill="auto"/>
            <w:noWrap/>
            <w:vAlign w:val="bottom"/>
            <w:hideMark/>
          </w:tcPr>
          <w:p w14:paraId="4977187A"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1 714 500</w:t>
            </w:r>
          </w:p>
        </w:tc>
        <w:tc>
          <w:tcPr>
            <w:tcW w:w="1006" w:type="dxa"/>
            <w:tcBorders>
              <w:top w:val="nil"/>
              <w:left w:val="nil"/>
              <w:bottom w:val="single" w:sz="4" w:space="0" w:color="auto"/>
              <w:right w:val="single" w:sz="4" w:space="0" w:color="auto"/>
            </w:tcBorders>
            <w:shd w:val="clear" w:color="auto" w:fill="auto"/>
            <w:noWrap/>
            <w:vAlign w:val="bottom"/>
            <w:hideMark/>
          </w:tcPr>
          <w:p w14:paraId="78F2CEC4"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3 382 000</w:t>
            </w:r>
          </w:p>
        </w:tc>
        <w:tc>
          <w:tcPr>
            <w:tcW w:w="1006" w:type="dxa"/>
            <w:tcBorders>
              <w:top w:val="nil"/>
              <w:left w:val="nil"/>
              <w:bottom w:val="single" w:sz="4" w:space="0" w:color="auto"/>
              <w:right w:val="single" w:sz="4" w:space="0" w:color="auto"/>
            </w:tcBorders>
            <w:shd w:val="clear" w:color="auto" w:fill="auto"/>
            <w:noWrap/>
            <w:vAlign w:val="bottom"/>
            <w:hideMark/>
          </w:tcPr>
          <w:p w14:paraId="15F33C3A"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5 599 705</w:t>
            </w:r>
          </w:p>
        </w:tc>
      </w:tr>
      <w:tr w:rsidR="007D36A2" w:rsidRPr="004937F1" w14:paraId="68BB1D43" w14:textId="77777777" w:rsidTr="003C4D3F">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3DCA753"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C</w:t>
            </w:r>
          </w:p>
        </w:tc>
        <w:tc>
          <w:tcPr>
            <w:tcW w:w="1006" w:type="dxa"/>
            <w:tcBorders>
              <w:top w:val="nil"/>
              <w:left w:val="nil"/>
              <w:bottom w:val="single" w:sz="4" w:space="0" w:color="auto"/>
              <w:right w:val="single" w:sz="4" w:space="0" w:color="auto"/>
            </w:tcBorders>
            <w:shd w:val="clear" w:color="auto" w:fill="auto"/>
            <w:noWrap/>
            <w:vAlign w:val="bottom"/>
            <w:hideMark/>
          </w:tcPr>
          <w:p w14:paraId="330BDCDE"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450 000</w:t>
            </w:r>
          </w:p>
        </w:tc>
        <w:tc>
          <w:tcPr>
            <w:tcW w:w="982" w:type="dxa"/>
            <w:tcBorders>
              <w:top w:val="nil"/>
              <w:left w:val="nil"/>
              <w:bottom w:val="single" w:sz="4" w:space="0" w:color="auto"/>
              <w:right w:val="single" w:sz="4" w:space="0" w:color="auto"/>
            </w:tcBorders>
            <w:shd w:val="clear" w:color="auto" w:fill="auto"/>
            <w:noWrap/>
            <w:vAlign w:val="bottom"/>
            <w:hideMark/>
          </w:tcPr>
          <w:p w14:paraId="6924EF96"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550 000</w:t>
            </w:r>
          </w:p>
        </w:tc>
        <w:tc>
          <w:tcPr>
            <w:tcW w:w="1006" w:type="dxa"/>
            <w:tcBorders>
              <w:top w:val="nil"/>
              <w:left w:val="nil"/>
              <w:bottom w:val="single" w:sz="4" w:space="0" w:color="auto"/>
              <w:right w:val="single" w:sz="4" w:space="0" w:color="auto"/>
            </w:tcBorders>
            <w:shd w:val="clear" w:color="auto" w:fill="auto"/>
            <w:noWrap/>
            <w:vAlign w:val="bottom"/>
            <w:hideMark/>
          </w:tcPr>
          <w:p w14:paraId="49083D82"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2 130 000</w:t>
            </w:r>
          </w:p>
        </w:tc>
        <w:tc>
          <w:tcPr>
            <w:tcW w:w="1006" w:type="dxa"/>
            <w:tcBorders>
              <w:top w:val="nil"/>
              <w:left w:val="nil"/>
              <w:bottom w:val="single" w:sz="4" w:space="0" w:color="auto"/>
              <w:right w:val="single" w:sz="4" w:space="0" w:color="auto"/>
            </w:tcBorders>
            <w:shd w:val="clear" w:color="auto" w:fill="auto"/>
            <w:noWrap/>
            <w:vAlign w:val="bottom"/>
            <w:hideMark/>
          </w:tcPr>
          <w:p w14:paraId="5C2C9345"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3 130 000</w:t>
            </w:r>
          </w:p>
        </w:tc>
        <w:tc>
          <w:tcPr>
            <w:tcW w:w="1006" w:type="dxa"/>
            <w:tcBorders>
              <w:top w:val="nil"/>
              <w:left w:val="nil"/>
              <w:bottom w:val="single" w:sz="4" w:space="0" w:color="auto"/>
              <w:right w:val="single" w:sz="4" w:space="0" w:color="auto"/>
            </w:tcBorders>
            <w:shd w:val="clear" w:color="auto" w:fill="auto"/>
            <w:noWrap/>
            <w:vAlign w:val="bottom"/>
            <w:hideMark/>
          </w:tcPr>
          <w:p w14:paraId="351A9F4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261 045</w:t>
            </w:r>
          </w:p>
        </w:tc>
        <w:tc>
          <w:tcPr>
            <w:tcW w:w="982" w:type="dxa"/>
            <w:tcBorders>
              <w:top w:val="nil"/>
              <w:left w:val="nil"/>
              <w:bottom w:val="single" w:sz="4" w:space="0" w:color="auto"/>
              <w:right w:val="single" w:sz="4" w:space="0" w:color="auto"/>
            </w:tcBorders>
            <w:shd w:val="clear" w:color="auto" w:fill="auto"/>
            <w:noWrap/>
            <w:vAlign w:val="bottom"/>
            <w:hideMark/>
          </w:tcPr>
          <w:p w14:paraId="595C2447"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578 977</w:t>
            </w:r>
          </w:p>
        </w:tc>
        <w:tc>
          <w:tcPr>
            <w:tcW w:w="1006" w:type="dxa"/>
            <w:tcBorders>
              <w:top w:val="nil"/>
              <w:left w:val="nil"/>
              <w:bottom w:val="single" w:sz="4" w:space="0" w:color="auto"/>
              <w:right w:val="single" w:sz="4" w:space="0" w:color="auto"/>
            </w:tcBorders>
            <w:shd w:val="clear" w:color="auto" w:fill="auto"/>
            <w:noWrap/>
            <w:vAlign w:val="bottom"/>
            <w:hideMark/>
          </w:tcPr>
          <w:p w14:paraId="3EE8A351"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3 000 000</w:t>
            </w:r>
          </w:p>
        </w:tc>
        <w:tc>
          <w:tcPr>
            <w:tcW w:w="1006" w:type="dxa"/>
            <w:tcBorders>
              <w:top w:val="nil"/>
              <w:left w:val="nil"/>
              <w:bottom w:val="single" w:sz="4" w:space="0" w:color="auto"/>
              <w:right w:val="single" w:sz="4" w:space="0" w:color="auto"/>
            </w:tcBorders>
            <w:shd w:val="clear" w:color="auto" w:fill="auto"/>
            <w:noWrap/>
            <w:vAlign w:val="bottom"/>
            <w:hideMark/>
          </w:tcPr>
          <w:p w14:paraId="7DCE270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3 840 022</w:t>
            </w:r>
          </w:p>
        </w:tc>
      </w:tr>
      <w:tr w:rsidR="007D36A2" w:rsidRPr="004937F1" w14:paraId="6B5BAEBF" w14:textId="77777777" w:rsidTr="003C4D3F">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D5E93B1"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D</w:t>
            </w:r>
          </w:p>
        </w:tc>
        <w:tc>
          <w:tcPr>
            <w:tcW w:w="1006" w:type="dxa"/>
            <w:tcBorders>
              <w:top w:val="nil"/>
              <w:left w:val="nil"/>
              <w:bottom w:val="single" w:sz="4" w:space="0" w:color="auto"/>
              <w:right w:val="single" w:sz="4" w:space="0" w:color="auto"/>
            </w:tcBorders>
            <w:shd w:val="clear" w:color="auto" w:fill="auto"/>
            <w:noWrap/>
            <w:vAlign w:val="bottom"/>
            <w:hideMark/>
          </w:tcPr>
          <w:p w14:paraId="6054CCE8"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267 000</w:t>
            </w:r>
          </w:p>
        </w:tc>
        <w:tc>
          <w:tcPr>
            <w:tcW w:w="982" w:type="dxa"/>
            <w:tcBorders>
              <w:top w:val="nil"/>
              <w:left w:val="nil"/>
              <w:bottom w:val="single" w:sz="4" w:space="0" w:color="auto"/>
              <w:right w:val="single" w:sz="4" w:space="0" w:color="auto"/>
            </w:tcBorders>
            <w:shd w:val="clear" w:color="auto" w:fill="auto"/>
            <w:noWrap/>
            <w:vAlign w:val="bottom"/>
            <w:hideMark/>
          </w:tcPr>
          <w:p w14:paraId="3045D7CB"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0</w:t>
            </w:r>
          </w:p>
        </w:tc>
        <w:tc>
          <w:tcPr>
            <w:tcW w:w="1006" w:type="dxa"/>
            <w:tcBorders>
              <w:top w:val="nil"/>
              <w:left w:val="nil"/>
              <w:bottom w:val="single" w:sz="4" w:space="0" w:color="auto"/>
              <w:right w:val="single" w:sz="4" w:space="0" w:color="auto"/>
            </w:tcBorders>
            <w:shd w:val="clear" w:color="auto" w:fill="auto"/>
            <w:noWrap/>
            <w:vAlign w:val="bottom"/>
            <w:hideMark/>
          </w:tcPr>
          <w:p w14:paraId="027455B9"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2 016 000</w:t>
            </w:r>
          </w:p>
        </w:tc>
        <w:tc>
          <w:tcPr>
            <w:tcW w:w="1006" w:type="dxa"/>
            <w:tcBorders>
              <w:top w:val="nil"/>
              <w:left w:val="nil"/>
              <w:bottom w:val="single" w:sz="4" w:space="0" w:color="auto"/>
              <w:right w:val="single" w:sz="4" w:space="0" w:color="auto"/>
            </w:tcBorders>
            <w:shd w:val="clear" w:color="auto" w:fill="auto"/>
            <w:noWrap/>
            <w:vAlign w:val="bottom"/>
            <w:hideMark/>
          </w:tcPr>
          <w:p w14:paraId="44095EEB"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2 283 000</w:t>
            </w:r>
          </w:p>
        </w:tc>
        <w:tc>
          <w:tcPr>
            <w:tcW w:w="1006" w:type="dxa"/>
            <w:tcBorders>
              <w:top w:val="nil"/>
              <w:left w:val="nil"/>
              <w:bottom w:val="single" w:sz="4" w:space="0" w:color="auto"/>
              <w:right w:val="single" w:sz="4" w:space="0" w:color="auto"/>
            </w:tcBorders>
            <w:shd w:val="clear" w:color="auto" w:fill="auto"/>
            <w:noWrap/>
            <w:vAlign w:val="bottom"/>
            <w:hideMark/>
          </w:tcPr>
          <w:p w14:paraId="368B2681"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136 235</w:t>
            </w:r>
          </w:p>
        </w:tc>
        <w:tc>
          <w:tcPr>
            <w:tcW w:w="982" w:type="dxa"/>
            <w:tcBorders>
              <w:top w:val="nil"/>
              <w:left w:val="nil"/>
              <w:bottom w:val="single" w:sz="4" w:space="0" w:color="auto"/>
              <w:right w:val="single" w:sz="4" w:space="0" w:color="auto"/>
            </w:tcBorders>
            <w:shd w:val="clear" w:color="auto" w:fill="auto"/>
            <w:noWrap/>
            <w:vAlign w:val="bottom"/>
            <w:hideMark/>
          </w:tcPr>
          <w:p w14:paraId="1350F822"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171 980</w:t>
            </w:r>
          </w:p>
        </w:tc>
        <w:tc>
          <w:tcPr>
            <w:tcW w:w="1006" w:type="dxa"/>
            <w:tcBorders>
              <w:top w:val="nil"/>
              <w:left w:val="nil"/>
              <w:bottom w:val="single" w:sz="4" w:space="0" w:color="auto"/>
              <w:right w:val="single" w:sz="4" w:space="0" w:color="auto"/>
            </w:tcBorders>
            <w:shd w:val="clear" w:color="auto" w:fill="auto"/>
            <w:noWrap/>
            <w:vAlign w:val="bottom"/>
            <w:hideMark/>
          </w:tcPr>
          <w:p w14:paraId="244BFEF4"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900 000</w:t>
            </w:r>
          </w:p>
        </w:tc>
        <w:tc>
          <w:tcPr>
            <w:tcW w:w="1006" w:type="dxa"/>
            <w:tcBorders>
              <w:top w:val="nil"/>
              <w:left w:val="nil"/>
              <w:bottom w:val="single" w:sz="4" w:space="0" w:color="auto"/>
              <w:right w:val="single" w:sz="4" w:space="0" w:color="auto"/>
            </w:tcBorders>
            <w:shd w:val="clear" w:color="auto" w:fill="auto"/>
            <w:noWrap/>
            <w:vAlign w:val="bottom"/>
            <w:hideMark/>
          </w:tcPr>
          <w:p w14:paraId="12809EE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1 208 215</w:t>
            </w:r>
          </w:p>
        </w:tc>
      </w:tr>
      <w:tr w:rsidR="007D36A2" w:rsidRPr="004937F1" w14:paraId="4D2AAC79" w14:textId="77777777" w:rsidTr="003C4D3F">
        <w:trPr>
          <w:trHeight w:val="25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74BB825"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E</w:t>
            </w:r>
          </w:p>
        </w:tc>
        <w:tc>
          <w:tcPr>
            <w:tcW w:w="1006" w:type="dxa"/>
            <w:tcBorders>
              <w:top w:val="nil"/>
              <w:left w:val="nil"/>
              <w:bottom w:val="single" w:sz="4" w:space="0" w:color="auto"/>
              <w:right w:val="single" w:sz="4" w:space="0" w:color="auto"/>
            </w:tcBorders>
            <w:shd w:val="clear" w:color="auto" w:fill="auto"/>
            <w:noWrap/>
            <w:vAlign w:val="bottom"/>
            <w:hideMark/>
          </w:tcPr>
          <w:p w14:paraId="6EE4268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547 908</w:t>
            </w:r>
          </w:p>
        </w:tc>
        <w:tc>
          <w:tcPr>
            <w:tcW w:w="982" w:type="dxa"/>
            <w:tcBorders>
              <w:top w:val="nil"/>
              <w:left w:val="nil"/>
              <w:bottom w:val="single" w:sz="4" w:space="0" w:color="auto"/>
              <w:right w:val="single" w:sz="4" w:space="0" w:color="auto"/>
            </w:tcBorders>
            <w:shd w:val="clear" w:color="auto" w:fill="auto"/>
            <w:noWrap/>
            <w:vAlign w:val="bottom"/>
            <w:hideMark/>
          </w:tcPr>
          <w:p w14:paraId="41A5EC25"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1 630 000</w:t>
            </w:r>
          </w:p>
        </w:tc>
        <w:tc>
          <w:tcPr>
            <w:tcW w:w="1006" w:type="dxa"/>
            <w:tcBorders>
              <w:top w:val="nil"/>
              <w:left w:val="nil"/>
              <w:bottom w:val="single" w:sz="4" w:space="0" w:color="auto"/>
              <w:right w:val="single" w:sz="4" w:space="0" w:color="auto"/>
            </w:tcBorders>
            <w:shd w:val="clear" w:color="auto" w:fill="auto"/>
            <w:noWrap/>
            <w:vAlign w:val="bottom"/>
            <w:hideMark/>
          </w:tcPr>
          <w:p w14:paraId="156113CC"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4 123 000</w:t>
            </w:r>
          </w:p>
        </w:tc>
        <w:tc>
          <w:tcPr>
            <w:tcW w:w="1006" w:type="dxa"/>
            <w:tcBorders>
              <w:top w:val="nil"/>
              <w:left w:val="nil"/>
              <w:bottom w:val="single" w:sz="4" w:space="0" w:color="auto"/>
              <w:right w:val="single" w:sz="4" w:space="0" w:color="auto"/>
            </w:tcBorders>
            <w:shd w:val="clear" w:color="auto" w:fill="auto"/>
            <w:noWrap/>
            <w:vAlign w:val="bottom"/>
            <w:hideMark/>
          </w:tcPr>
          <w:p w14:paraId="4841301B"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6 300 908</w:t>
            </w:r>
          </w:p>
        </w:tc>
        <w:tc>
          <w:tcPr>
            <w:tcW w:w="1006" w:type="dxa"/>
            <w:tcBorders>
              <w:top w:val="nil"/>
              <w:left w:val="nil"/>
              <w:bottom w:val="single" w:sz="4" w:space="0" w:color="auto"/>
              <w:right w:val="single" w:sz="4" w:space="0" w:color="auto"/>
            </w:tcBorders>
            <w:shd w:val="clear" w:color="auto" w:fill="auto"/>
            <w:noWrap/>
            <w:vAlign w:val="bottom"/>
            <w:hideMark/>
          </w:tcPr>
          <w:p w14:paraId="07DF6217"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448 760</w:t>
            </w:r>
          </w:p>
        </w:tc>
        <w:tc>
          <w:tcPr>
            <w:tcW w:w="982" w:type="dxa"/>
            <w:tcBorders>
              <w:top w:val="nil"/>
              <w:left w:val="nil"/>
              <w:bottom w:val="single" w:sz="4" w:space="0" w:color="auto"/>
              <w:right w:val="single" w:sz="4" w:space="0" w:color="auto"/>
            </w:tcBorders>
            <w:shd w:val="clear" w:color="auto" w:fill="auto"/>
            <w:noWrap/>
            <w:vAlign w:val="bottom"/>
            <w:hideMark/>
          </w:tcPr>
          <w:p w14:paraId="1FC2BD83"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515 400</w:t>
            </w:r>
          </w:p>
        </w:tc>
        <w:tc>
          <w:tcPr>
            <w:tcW w:w="1006" w:type="dxa"/>
            <w:tcBorders>
              <w:top w:val="nil"/>
              <w:left w:val="nil"/>
              <w:bottom w:val="single" w:sz="4" w:space="0" w:color="auto"/>
              <w:right w:val="single" w:sz="4" w:space="0" w:color="auto"/>
            </w:tcBorders>
            <w:shd w:val="clear" w:color="auto" w:fill="auto"/>
            <w:noWrap/>
            <w:vAlign w:val="bottom"/>
            <w:hideMark/>
          </w:tcPr>
          <w:p w14:paraId="0CED041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5 436 000</w:t>
            </w:r>
          </w:p>
        </w:tc>
        <w:tc>
          <w:tcPr>
            <w:tcW w:w="1006" w:type="dxa"/>
            <w:tcBorders>
              <w:top w:val="nil"/>
              <w:left w:val="nil"/>
              <w:bottom w:val="single" w:sz="4" w:space="0" w:color="auto"/>
              <w:right w:val="single" w:sz="4" w:space="0" w:color="auto"/>
            </w:tcBorders>
            <w:shd w:val="clear" w:color="auto" w:fill="auto"/>
            <w:noWrap/>
            <w:vAlign w:val="bottom"/>
            <w:hideMark/>
          </w:tcPr>
          <w:p w14:paraId="7BC1998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6 400 160</w:t>
            </w:r>
          </w:p>
        </w:tc>
      </w:tr>
      <w:tr w:rsidR="007D36A2" w:rsidRPr="004937F1" w14:paraId="5D7EA18B" w14:textId="77777777" w:rsidTr="003C4D3F">
        <w:trPr>
          <w:trHeight w:val="25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9278A3A"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F</w:t>
            </w:r>
          </w:p>
        </w:tc>
        <w:tc>
          <w:tcPr>
            <w:tcW w:w="1006" w:type="dxa"/>
            <w:tcBorders>
              <w:top w:val="nil"/>
              <w:left w:val="nil"/>
              <w:bottom w:val="single" w:sz="4" w:space="0" w:color="auto"/>
              <w:right w:val="single" w:sz="4" w:space="0" w:color="auto"/>
            </w:tcBorders>
            <w:shd w:val="clear" w:color="auto" w:fill="auto"/>
            <w:noWrap/>
            <w:vAlign w:val="bottom"/>
            <w:hideMark/>
          </w:tcPr>
          <w:p w14:paraId="7CEEBEF7"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394 100</w:t>
            </w:r>
          </w:p>
        </w:tc>
        <w:tc>
          <w:tcPr>
            <w:tcW w:w="982" w:type="dxa"/>
            <w:tcBorders>
              <w:top w:val="nil"/>
              <w:left w:val="nil"/>
              <w:bottom w:val="single" w:sz="4" w:space="0" w:color="auto"/>
              <w:right w:val="single" w:sz="4" w:space="0" w:color="auto"/>
            </w:tcBorders>
            <w:shd w:val="clear" w:color="auto" w:fill="auto"/>
            <w:noWrap/>
            <w:vAlign w:val="bottom"/>
            <w:hideMark/>
          </w:tcPr>
          <w:p w14:paraId="6E20F925"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150 000</w:t>
            </w:r>
          </w:p>
        </w:tc>
        <w:tc>
          <w:tcPr>
            <w:tcW w:w="1006" w:type="dxa"/>
            <w:tcBorders>
              <w:top w:val="nil"/>
              <w:left w:val="nil"/>
              <w:bottom w:val="single" w:sz="4" w:space="0" w:color="auto"/>
              <w:right w:val="single" w:sz="4" w:space="0" w:color="auto"/>
            </w:tcBorders>
            <w:shd w:val="clear" w:color="auto" w:fill="auto"/>
            <w:noWrap/>
            <w:vAlign w:val="bottom"/>
            <w:hideMark/>
          </w:tcPr>
          <w:p w14:paraId="0203048B"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2 175 000</w:t>
            </w:r>
          </w:p>
        </w:tc>
        <w:tc>
          <w:tcPr>
            <w:tcW w:w="1006" w:type="dxa"/>
            <w:tcBorders>
              <w:top w:val="nil"/>
              <w:left w:val="nil"/>
              <w:bottom w:val="single" w:sz="4" w:space="0" w:color="auto"/>
              <w:right w:val="single" w:sz="4" w:space="0" w:color="auto"/>
            </w:tcBorders>
            <w:shd w:val="clear" w:color="auto" w:fill="auto"/>
            <w:noWrap/>
            <w:vAlign w:val="bottom"/>
            <w:hideMark/>
          </w:tcPr>
          <w:p w14:paraId="48D204F7"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2 719 100</w:t>
            </w:r>
          </w:p>
        </w:tc>
        <w:tc>
          <w:tcPr>
            <w:tcW w:w="1006" w:type="dxa"/>
            <w:tcBorders>
              <w:top w:val="nil"/>
              <w:left w:val="nil"/>
              <w:bottom w:val="single" w:sz="4" w:space="0" w:color="auto"/>
              <w:right w:val="single" w:sz="4" w:space="0" w:color="auto"/>
            </w:tcBorders>
            <w:shd w:val="clear" w:color="auto" w:fill="auto"/>
            <w:noWrap/>
            <w:vAlign w:val="bottom"/>
            <w:hideMark/>
          </w:tcPr>
          <w:p w14:paraId="3C15419D"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228 418</w:t>
            </w:r>
          </w:p>
        </w:tc>
        <w:tc>
          <w:tcPr>
            <w:tcW w:w="982" w:type="dxa"/>
            <w:tcBorders>
              <w:top w:val="nil"/>
              <w:left w:val="nil"/>
              <w:bottom w:val="single" w:sz="4" w:space="0" w:color="auto"/>
              <w:right w:val="single" w:sz="4" w:space="0" w:color="auto"/>
            </w:tcBorders>
            <w:shd w:val="clear" w:color="auto" w:fill="auto"/>
            <w:noWrap/>
            <w:vAlign w:val="bottom"/>
            <w:hideMark/>
          </w:tcPr>
          <w:p w14:paraId="1682F243"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1 201 983</w:t>
            </w:r>
          </w:p>
        </w:tc>
        <w:tc>
          <w:tcPr>
            <w:tcW w:w="1006" w:type="dxa"/>
            <w:tcBorders>
              <w:top w:val="nil"/>
              <w:left w:val="nil"/>
              <w:bottom w:val="single" w:sz="4" w:space="0" w:color="auto"/>
              <w:right w:val="single" w:sz="4" w:space="0" w:color="auto"/>
            </w:tcBorders>
            <w:shd w:val="clear" w:color="auto" w:fill="auto"/>
            <w:noWrap/>
            <w:vAlign w:val="bottom"/>
            <w:hideMark/>
          </w:tcPr>
          <w:p w14:paraId="3894C018"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2 925 000</w:t>
            </w:r>
          </w:p>
        </w:tc>
        <w:tc>
          <w:tcPr>
            <w:tcW w:w="1006" w:type="dxa"/>
            <w:tcBorders>
              <w:top w:val="nil"/>
              <w:left w:val="nil"/>
              <w:bottom w:val="single" w:sz="4" w:space="0" w:color="auto"/>
              <w:right w:val="single" w:sz="4" w:space="0" w:color="auto"/>
            </w:tcBorders>
            <w:shd w:val="clear" w:color="auto" w:fill="auto"/>
            <w:noWrap/>
            <w:vAlign w:val="bottom"/>
            <w:hideMark/>
          </w:tcPr>
          <w:p w14:paraId="3D9A24B2"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4 355 401</w:t>
            </w:r>
          </w:p>
        </w:tc>
      </w:tr>
      <w:tr w:rsidR="007D36A2" w:rsidRPr="004937F1" w14:paraId="3E16FA5F" w14:textId="77777777" w:rsidTr="003C4D3F">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E084C61"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Costes comunes</w:t>
            </w:r>
          </w:p>
        </w:tc>
        <w:tc>
          <w:tcPr>
            <w:tcW w:w="1006" w:type="dxa"/>
            <w:tcBorders>
              <w:top w:val="nil"/>
              <w:left w:val="nil"/>
              <w:bottom w:val="single" w:sz="4" w:space="0" w:color="auto"/>
              <w:right w:val="single" w:sz="4" w:space="0" w:color="auto"/>
            </w:tcBorders>
            <w:shd w:val="clear" w:color="auto" w:fill="auto"/>
            <w:noWrap/>
            <w:vAlign w:val="bottom"/>
            <w:hideMark/>
          </w:tcPr>
          <w:p w14:paraId="7F66FAE1"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171 292</w:t>
            </w:r>
          </w:p>
        </w:tc>
        <w:tc>
          <w:tcPr>
            <w:tcW w:w="982" w:type="dxa"/>
            <w:tcBorders>
              <w:top w:val="nil"/>
              <w:left w:val="nil"/>
              <w:bottom w:val="single" w:sz="4" w:space="0" w:color="auto"/>
              <w:right w:val="single" w:sz="4" w:space="0" w:color="auto"/>
            </w:tcBorders>
            <w:shd w:val="clear" w:color="auto" w:fill="auto"/>
            <w:noWrap/>
            <w:vAlign w:val="bottom"/>
            <w:hideMark/>
          </w:tcPr>
          <w:p w14:paraId="2CB37B2E"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 </w:t>
            </w:r>
          </w:p>
        </w:tc>
        <w:tc>
          <w:tcPr>
            <w:tcW w:w="1006" w:type="dxa"/>
            <w:tcBorders>
              <w:top w:val="nil"/>
              <w:left w:val="nil"/>
              <w:bottom w:val="single" w:sz="4" w:space="0" w:color="auto"/>
              <w:right w:val="single" w:sz="4" w:space="0" w:color="auto"/>
            </w:tcBorders>
            <w:shd w:val="clear" w:color="auto" w:fill="auto"/>
            <w:noWrap/>
            <w:vAlign w:val="bottom"/>
            <w:hideMark/>
          </w:tcPr>
          <w:p w14:paraId="7C896DD9"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 </w:t>
            </w:r>
          </w:p>
        </w:tc>
        <w:tc>
          <w:tcPr>
            <w:tcW w:w="1006" w:type="dxa"/>
            <w:tcBorders>
              <w:top w:val="nil"/>
              <w:left w:val="nil"/>
              <w:bottom w:val="single" w:sz="4" w:space="0" w:color="auto"/>
              <w:right w:val="single" w:sz="4" w:space="0" w:color="auto"/>
            </w:tcBorders>
            <w:shd w:val="clear" w:color="auto" w:fill="auto"/>
            <w:noWrap/>
            <w:vAlign w:val="bottom"/>
            <w:hideMark/>
          </w:tcPr>
          <w:p w14:paraId="3F480B61"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171 292</w:t>
            </w:r>
          </w:p>
        </w:tc>
        <w:tc>
          <w:tcPr>
            <w:tcW w:w="1006" w:type="dxa"/>
            <w:tcBorders>
              <w:top w:val="nil"/>
              <w:left w:val="nil"/>
              <w:bottom w:val="single" w:sz="4" w:space="0" w:color="auto"/>
              <w:right w:val="single" w:sz="4" w:space="0" w:color="auto"/>
            </w:tcBorders>
            <w:shd w:val="clear" w:color="auto" w:fill="auto"/>
            <w:noWrap/>
            <w:vAlign w:val="bottom"/>
            <w:hideMark/>
          </w:tcPr>
          <w:p w14:paraId="49E9514B"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121 392</w:t>
            </w:r>
          </w:p>
        </w:tc>
        <w:tc>
          <w:tcPr>
            <w:tcW w:w="982" w:type="dxa"/>
            <w:tcBorders>
              <w:top w:val="nil"/>
              <w:left w:val="nil"/>
              <w:bottom w:val="single" w:sz="4" w:space="0" w:color="auto"/>
              <w:right w:val="single" w:sz="4" w:space="0" w:color="auto"/>
            </w:tcBorders>
            <w:shd w:val="clear" w:color="auto" w:fill="auto"/>
            <w:noWrap/>
            <w:vAlign w:val="bottom"/>
            <w:hideMark/>
          </w:tcPr>
          <w:p w14:paraId="16E087E9"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 </w:t>
            </w:r>
          </w:p>
        </w:tc>
        <w:tc>
          <w:tcPr>
            <w:tcW w:w="1006" w:type="dxa"/>
            <w:tcBorders>
              <w:top w:val="nil"/>
              <w:left w:val="nil"/>
              <w:bottom w:val="single" w:sz="4" w:space="0" w:color="auto"/>
              <w:right w:val="single" w:sz="4" w:space="0" w:color="auto"/>
            </w:tcBorders>
            <w:shd w:val="clear" w:color="auto" w:fill="auto"/>
            <w:noWrap/>
            <w:vAlign w:val="bottom"/>
            <w:hideMark/>
          </w:tcPr>
          <w:p w14:paraId="3ECAAB12"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 </w:t>
            </w:r>
          </w:p>
        </w:tc>
        <w:tc>
          <w:tcPr>
            <w:tcW w:w="1006" w:type="dxa"/>
            <w:tcBorders>
              <w:top w:val="nil"/>
              <w:left w:val="nil"/>
              <w:bottom w:val="single" w:sz="4" w:space="0" w:color="auto"/>
              <w:right w:val="single" w:sz="4" w:space="0" w:color="auto"/>
            </w:tcBorders>
            <w:shd w:val="clear" w:color="auto" w:fill="auto"/>
            <w:noWrap/>
            <w:vAlign w:val="bottom"/>
            <w:hideMark/>
          </w:tcPr>
          <w:p w14:paraId="00119893"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121 392</w:t>
            </w:r>
          </w:p>
        </w:tc>
      </w:tr>
      <w:tr w:rsidR="007D36A2" w:rsidRPr="004937F1" w14:paraId="44CDBD97" w14:textId="77777777" w:rsidTr="003C4D3F">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28FE67B"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Personal (RB)</w:t>
            </w:r>
          </w:p>
        </w:tc>
        <w:tc>
          <w:tcPr>
            <w:tcW w:w="1006" w:type="dxa"/>
            <w:tcBorders>
              <w:top w:val="nil"/>
              <w:left w:val="nil"/>
              <w:bottom w:val="single" w:sz="4" w:space="0" w:color="auto"/>
              <w:right w:val="single" w:sz="4" w:space="0" w:color="auto"/>
            </w:tcBorders>
            <w:shd w:val="clear" w:color="auto" w:fill="auto"/>
            <w:noWrap/>
            <w:vAlign w:val="bottom"/>
            <w:hideMark/>
          </w:tcPr>
          <w:p w14:paraId="3589C73D"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8 271 700</w:t>
            </w:r>
          </w:p>
        </w:tc>
        <w:tc>
          <w:tcPr>
            <w:tcW w:w="982" w:type="dxa"/>
            <w:tcBorders>
              <w:top w:val="nil"/>
              <w:left w:val="nil"/>
              <w:bottom w:val="single" w:sz="4" w:space="0" w:color="auto"/>
              <w:right w:val="single" w:sz="4" w:space="0" w:color="auto"/>
            </w:tcBorders>
            <w:shd w:val="clear" w:color="auto" w:fill="auto"/>
            <w:noWrap/>
            <w:vAlign w:val="bottom"/>
            <w:hideMark/>
          </w:tcPr>
          <w:p w14:paraId="01AD3EBD"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 </w:t>
            </w:r>
          </w:p>
        </w:tc>
        <w:tc>
          <w:tcPr>
            <w:tcW w:w="1006" w:type="dxa"/>
            <w:tcBorders>
              <w:top w:val="nil"/>
              <w:left w:val="nil"/>
              <w:bottom w:val="single" w:sz="4" w:space="0" w:color="auto"/>
              <w:right w:val="single" w:sz="4" w:space="0" w:color="auto"/>
            </w:tcBorders>
            <w:shd w:val="clear" w:color="auto" w:fill="auto"/>
            <w:noWrap/>
            <w:vAlign w:val="bottom"/>
            <w:hideMark/>
          </w:tcPr>
          <w:p w14:paraId="6E4C8863"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 </w:t>
            </w:r>
          </w:p>
        </w:tc>
        <w:tc>
          <w:tcPr>
            <w:tcW w:w="1006" w:type="dxa"/>
            <w:tcBorders>
              <w:top w:val="nil"/>
              <w:left w:val="nil"/>
              <w:bottom w:val="single" w:sz="4" w:space="0" w:color="auto"/>
              <w:right w:val="single" w:sz="4" w:space="0" w:color="auto"/>
            </w:tcBorders>
            <w:shd w:val="clear" w:color="auto" w:fill="auto"/>
            <w:noWrap/>
            <w:vAlign w:val="bottom"/>
            <w:hideMark/>
          </w:tcPr>
          <w:p w14:paraId="091932DC"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8 271 700</w:t>
            </w:r>
          </w:p>
        </w:tc>
        <w:tc>
          <w:tcPr>
            <w:tcW w:w="1006" w:type="dxa"/>
            <w:tcBorders>
              <w:top w:val="nil"/>
              <w:left w:val="nil"/>
              <w:bottom w:val="single" w:sz="4" w:space="0" w:color="auto"/>
              <w:right w:val="single" w:sz="4" w:space="0" w:color="auto"/>
            </w:tcBorders>
            <w:shd w:val="clear" w:color="auto" w:fill="auto"/>
            <w:noWrap/>
            <w:vAlign w:val="bottom"/>
            <w:hideMark/>
          </w:tcPr>
          <w:p w14:paraId="26C0D3E7"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9 401 200</w:t>
            </w:r>
          </w:p>
        </w:tc>
        <w:tc>
          <w:tcPr>
            <w:tcW w:w="982" w:type="dxa"/>
            <w:tcBorders>
              <w:top w:val="nil"/>
              <w:left w:val="nil"/>
              <w:bottom w:val="single" w:sz="4" w:space="0" w:color="auto"/>
              <w:right w:val="single" w:sz="4" w:space="0" w:color="auto"/>
            </w:tcBorders>
            <w:shd w:val="clear" w:color="auto" w:fill="auto"/>
            <w:noWrap/>
            <w:vAlign w:val="bottom"/>
            <w:hideMark/>
          </w:tcPr>
          <w:p w14:paraId="4E8DFE50"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 </w:t>
            </w:r>
          </w:p>
        </w:tc>
        <w:tc>
          <w:tcPr>
            <w:tcW w:w="1006" w:type="dxa"/>
            <w:tcBorders>
              <w:top w:val="nil"/>
              <w:left w:val="nil"/>
              <w:bottom w:val="single" w:sz="4" w:space="0" w:color="auto"/>
              <w:right w:val="single" w:sz="4" w:space="0" w:color="auto"/>
            </w:tcBorders>
            <w:shd w:val="clear" w:color="auto" w:fill="auto"/>
            <w:noWrap/>
            <w:vAlign w:val="bottom"/>
            <w:hideMark/>
          </w:tcPr>
          <w:p w14:paraId="38622226"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snapToGrid/>
                <w:sz w:val="18"/>
                <w:szCs w:val="18"/>
              </w:rPr>
            </w:pPr>
            <w:r w:rsidRPr="004937F1">
              <w:rPr>
                <w:rFonts w:ascii="Calibri" w:hAnsi="Calibri" w:cs="Calibri"/>
                <w:snapToGrid/>
                <w:sz w:val="18"/>
                <w:szCs w:val="18"/>
                <w:lang w:val="es"/>
              </w:rPr>
              <w:t> </w:t>
            </w:r>
          </w:p>
        </w:tc>
        <w:tc>
          <w:tcPr>
            <w:tcW w:w="1006" w:type="dxa"/>
            <w:tcBorders>
              <w:top w:val="nil"/>
              <w:left w:val="nil"/>
              <w:bottom w:val="single" w:sz="4" w:space="0" w:color="auto"/>
              <w:right w:val="single" w:sz="4" w:space="0" w:color="auto"/>
            </w:tcBorders>
            <w:shd w:val="clear" w:color="auto" w:fill="auto"/>
            <w:noWrap/>
            <w:vAlign w:val="bottom"/>
            <w:hideMark/>
          </w:tcPr>
          <w:p w14:paraId="27C4D28A"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snapToGrid/>
                <w:sz w:val="18"/>
                <w:szCs w:val="18"/>
              </w:rPr>
            </w:pPr>
            <w:r w:rsidRPr="004937F1">
              <w:rPr>
                <w:rFonts w:ascii="Calibri" w:hAnsi="Calibri" w:cs="Calibri"/>
                <w:snapToGrid/>
                <w:sz w:val="18"/>
                <w:szCs w:val="18"/>
                <w:lang w:val="es"/>
              </w:rPr>
              <w:t>9 401 200</w:t>
            </w:r>
          </w:p>
        </w:tc>
      </w:tr>
      <w:tr w:rsidR="007D36A2" w:rsidRPr="004937F1" w14:paraId="77A7334B" w14:textId="77777777" w:rsidTr="003C4D3F">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3EF324F" w14:textId="77777777" w:rsidR="007D36A2" w:rsidRPr="004937F1" w:rsidRDefault="007D36A2" w:rsidP="003C4D3F">
            <w:pPr>
              <w:widowControl/>
              <w:tabs>
                <w:tab w:val="clear" w:pos="567"/>
              </w:tabs>
              <w:adjustRightInd/>
              <w:snapToGrid/>
              <w:spacing w:line="240" w:lineRule="auto"/>
              <w:jc w:val="left"/>
              <w:textAlignment w:val="auto"/>
              <w:rPr>
                <w:rFonts w:ascii="Calibri" w:hAnsi="Calibri" w:cs="Calibri"/>
                <w:b/>
                <w:bCs/>
                <w:snapToGrid/>
                <w:sz w:val="18"/>
                <w:szCs w:val="18"/>
              </w:rPr>
            </w:pPr>
            <w:r w:rsidRPr="004937F1">
              <w:rPr>
                <w:rFonts w:ascii="Calibri" w:hAnsi="Calibri" w:cs="Calibri"/>
                <w:b/>
                <w:bCs/>
                <w:snapToGrid/>
                <w:sz w:val="18"/>
                <w:szCs w:val="18"/>
                <w:lang w:val="es"/>
              </w:rPr>
              <w:t>TOTAL</w:t>
            </w:r>
          </w:p>
        </w:tc>
        <w:tc>
          <w:tcPr>
            <w:tcW w:w="1006" w:type="dxa"/>
            <w:tcBorders>
              <w:top w:val="nil"/>
              <w:left w:val="nil"/>
              <w:bottom w:val="single" w:sz="4" w:space="0" w:color="auto"/>
              <w:right w:val="single" w:sz="4" w:space="0" w:color="auto"/>
            </w:tcBorders>
            <w:shd w:val="clear" w:color="auto" w:fill="auto"/>
            <w:noWrap/>
            <w:vAlign w:val="bottom"/>
            <w:hideMark/>
          </w:tcPr>
          <w:p w14:paraId="2A69BC1E"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b/>
                <w:bCs/>
                <w:snapToGrid/>
                <w:sz w:val="18"/>
                <w:szCs w:val="18"/>
              </w:rPr>
            </w:pPr>
            <w:r w:rsidRPr="004937F1">
              <w:rPr>
                <w:rFonts w:ascii="Calibri" w:hAnsi="Calibri" w:cs="Calibri"/>
                <w:b/>
                <w:bCs/>
                <w:snapToGrid/>
                <w:sz w:val="18"/>
                <w:szCs w:val="18"/>
                <w:lang w:val="es"/>
              </w:rPr>
              <w:t>10 874 000</w:t>
            </w:r>
          </w:p>
        </w:tc>
        <w:tc>
          <w:tcPr>
            <w:tcW w:w="982" w:type="dxa"/>
            <w:tcBorders>
              <w:top w:val="nil"/>
              <w:left w:val="nil"/>
              <w:bottom w:val="single" w:sz="4" w:space="0" w:color="auto"/>
              <w:right w:val="single" w:sz="4" w:space="0" w:color="auto"/>
            </w:tcBorders>
            <w:shd w:val="clear" w:color="auto" w:fill="auto"/>
            <w:noWrap/>
            <w:vAlign w:val="bottom"/>
            <w:hideMark/>
          </w:tcPr>
          <w:p w14:paraId="3562A65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b/>
                <w:bCs/>
                <w:snapToGrid/>
                <w:sz w:val="18"/>
                <w:szCs w:val="18"/>
              </w:rPr>
            </w:pPr>
            <w:r w:rsidRPr="004937F1">
              <w:rPr>
                <w:rFonts w:ascii="Calibri" w:hAnsi="Calibri" w:cs="Calibri"/>
                <w:b/>
                <w:bCs/>
                <w:snapToGrid/>
                <w:sz w:val="18"/>
                <w:szCs w:val="18"/>
                <w:lang w:val="es"/>
              </w:rPr>
              <w:t>2 600 000</w:t>
            </w:r>
          </w:p>
        </w:tc>
        <w:tc>
          <w:tcPr>
            <w:tcW w:w="1006" w:type="dxa"/>
            <w:tcBorders>
              <w:top w:val="nil"/>
              <w:left w:val="nil"/>
              <w:bottom w:val="single" w:sz="4" w:space="0" w:color="auto"/>
              <w:right w:val="single" w:sz="4" w:space="0" w:color="auto"/>
            </w:tcBorders>
            <w:shd w:val="clear" w:color="auto" w:fill="auto"/>
            <w:noWrap/>
            <w:vAlign w:val="bottom"/>
            <w:hideMark/>
          </w:tcPr>
          <w:p w14:paraId="2493159E"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b/>
                <w:bCs/>
                <w:snapToGrid/>
                <w:sz w:val="18"/>
                <w:szCs w:val="18"/>
              </w:rPr>
            </w:pPr>
            <w:r w:rsidRPr="004937F1">
              <w:rPr>
                <w:rFonts w:ascii="Calibri" w:hAnsi="Calibri" w:cs="Calibri"/>
                <w:b/>
                <w:bCs/>
                <w:snapToGrid/>
                <w:sz w:val="18"/>
                <w:szCs w:val="18"/>
                <w:lang w:val="es"/>
              </w:rPr>
              <w:t>13 160 200</w:t>
            </w:r>
          </w:p>
        </w:tc>
        <w:tc>
          <w:tcPr>
            <w:tcW w:w="1006" w:type="dxa"/>
            <w:tcBorders>
              <w:top w:val="nil"/>
              <w:left w:val="nil"/>
              <w:bottom w:val="single" w:sz="4" w:space="0" w:color="auto"/>
              <w:right w:val="single" w:sz="4" w:space="0" w:color="auto"/>
            </w:tcBorders>
            <w:shd w:val="clear" w:color="auto" w:fill="auto"/>
            <w:noWrap/>
            <w:vAlign w:val="bottom"/>
            <w:hideMark/>
          </w:tcPr>
          <w:p w14:paraId="39B11DF9"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b/>
                <w:bCs/>
                <w:snapToGrid/>
                <w:sz w:val="18"/>
                <w:szCs w:val="18"/>
              </w:rPr>
            </w:pPr>
            <w:r w:rsidRPr="004937F1">
              <w:rPr>
                <w:rFonts w:ascii="Calibri" w:hAnsi="Calibri" w:cs="Calibri"/>
                <w:b/>
                <w:bCs/>
                <w:snapToGrid/>
                <w:sz w:val="18"/>
                <w:szCs w:val="18"/>
                <w:lang w:val="es"/>
              </w:rPr>
              <w:t>26 634 200</w:t>
            </w:r>
          </w:p>
        </w:tc>
        <w:tc>
          <w:tcPr>
            <w:tcW w:w="1006" w:type="dxa"/>
            <w:tcBorders>
              <w:top w:val="nil"/>
              <w:left w:val="nil"/>
              <w:bottom w:val="single" w:sz="4" w:space="0" w:color="auto"/>
              <w:right w:val="single" w:sz="4" w:space="0" w:color="auto"/>
            </w:tcBorders>
            <w:shd w:val="clear" w:color="auto" w:fill="auto"/>
            <w:noWrap/>
            <w:vAlign w:val="bottom"/>
            <w:hideMark/>
          </w:tcPr>
          <w:p w14:paraId="5AD7AF8C"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b/>
                <w:bCs/>
                <w:snapToGrid/>
                <w:sz w:val="18"/>
                <w:szCs w:val="18"/>
              </w:rPr>
            </w:pPr>
            <w:r w:rsidRPr="004937F1">
              <w:rPr>
                <w:rFonts w:ascii="Calibri" w:hAnsi="Calibri" w:cs="Calibri"/>
                <w:b/>
                <w:bCs/>
                <w:snapToGrid/>
                <w:sz w:val="18"/>
                <w:szCs w:val="18"/>
                <w:lang w:val="es"/>
              </w:rPr>
              <w:t>11 236 000</w:t>
            </w:r>
          </w:p>
        </w:tc>
        <w:tc>
          <w:tcPr>
            <w:tcW w:w="982" w:type="dxa"/>
            <w:tcBorders>
              <w:top w:val="nil"/>
              <w:left w:val="nil"/>
              <w:bottom w:val="single" w:sz="4" w:space="0" w:color="auto"/>
              <w:right w:val="single" w:sz="4" w:space="0" w:color="auto"/>
            </w:tcBorders>
            <w:shd w:val="clear" w:color="auto" w:fill="auto"/>
            <w:noWrap/>
            <w:vAlign w:val="bottom"/>
            <w:hideMark/>
          </w:tcPr>
          <w:p w14:paraId="1F7682C0"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b/>
                <w:bCs/>
                <w:snapToGrid/>
                <w:sz w:val="18"/>
                <w:szCs w:val="18"/>
              </w:rPr>
            </w:pPr>
            <w:r w:rsidRPr="004937F1">
              <w:rPr>
                <w:rFonts w:ascii="Calibri" w:hAnsi="Calibri" w:cs="Calibri"/>
                <w:b/>
                <w:bCs/>
                <w:snapToGrid/>
                <w:sz w:val="18"/>
                <w:szCs w:val="18"/>
                <w:lang w:val="es"/>
              </w:rPr>
              <w:t>4 386 240</w:t>
            </w:r>
          </w:p>
        </w:tc>
        <w:tc>
          <w:tcPr>
            <w:tcW w:w="1006" w:type="dxa"/>
            <w:tcBorders>
              <w:top w:val="nil"/>
              <w:left w:val="nil"/>
              <w:bottom w:val="single" w:sz="4" w:space="0" w:color="auto"/>
              <w:right w:val="single" w:sz="4" w:space="0" w:color="auto"/>
            </w:tcBorders>
            <w:shd w:val="clear" w:color="auto" w:fill="auto"/>
            <w:noWrap/>
            <w:vAlign w:val="bottom"/>
            <w:hideMark/>
          </w:tcPr>
          <w:p w14:paraId="2082C104"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b/>
                <w:bCs/>
                <w:snapToGrid/>
                <w:sz w:val="18"/>
                <w:szCs w:val="18"/>
              </w:rPr>
            </w:pPr>
            <w:r w:rsidRPr="004937F1">
              <w:rPr>
                <w:rFonts w:ascii="Calibri" w:hAnsi="Calibri" w:cs="Calibri"/>
                <w:b/>
                <w:bCs/>
                <w:snapToGrid/>
                <w:sz w:val="18"/>
                <w:szCs w:val="18"/>
                <w:lang w:val="es"/>
              </w:rPr>
              <w:t>16 193 000</w:t>
            </w:r>
          </w:p>
        </w:tc>
        <w:tc>
          <w:tcPr>
            <w:tcW w:w="1006" w:type="dxa"/>
            <w:tcBorders>
              <w:top w:val="nil"/>
              <w:left w:val="nil"/>
              <w:bottom w:val="single" w:sz="4" w:space="0" w:color="auto"/>
              <w:right w:val="single" w:sz="4" w:space="0" w:color="auto"/>
            </w:tcBorders>
            <w:shd w:val="clear" w:color="auto" w:fill="auto"/>
            <w:noWrap/>
            <w:vAlign w:val="bottom"/>
            <w:hideMark/>
          </w:tcPr>
          <w:p w14:paraId="533371F2" w14:textId="77777777" w:rsidR="007D36A2" w:rsidRPr="004937F1" w:rsidRDefault="007D36A2" w:rsidP="003C4D3F">
            <w:pPr>
              <w:widowControl/>
              <w:tabs>
                <w:tab w:val="clear" w:pos="567"/>
              </w:tabs>
              <w:adjustRightInd/>
              <w:snapToGrid/>
              <w:spacing w:line="240" w:lineRule="auto"/>
              <w:jc w:val="right"/>
              <w:textAlignment w:val="auto"/>
              <w:rPr>
                <w:rFonts w:ascii="Calibri" w:hAnsi="Calibri" w:cs="Calibri"/>
                <w:b/>
                <w:bCs/>
                <w:snapToGrid/>
                <w:sz w:val="18"/>
                <w:szCs w:val="18"/>
              </w:rPr>
            </w:pPr>
            <w:r w:rsidRPr="004937F1">
              <w:rPr>
                <w:rFonts w:ascii="Calibri" w:hAnsi="Calibri" w:cs="Calibri"/>
                <w:b/>
                <w:bCs/>
                <w:snapToGrid/>
                <w:sz w:val="18"/>
                <w:szCs w:val="18"/>
                <w:lang w:val="es"/>
              </w:rPr>
              <w:t>31 815 240</w:t>
            </w:r>
          </w:p>
        </w:tc>
      </w:tr>
    </w:tbl>
    <w:p w14:paraId="6467B10A" w14:textId="77777777" w:rsidR="007D36A2" w:rsidRPr="004937F1" w:rsidRDefault="007D36A2" w:rsidP="007D36A2">
      <w:pPr>
        <w:pStyle w:val="Marge"/>
        <w:tabs>
          <w:tab w:val="clear" w:pos="567"/>
          <w:tab w:val="left" w:pos="1162"/>
        </w:tabs>
        <w:spacing w:line="240" w:lineRule="auto"/>
      </w:pPr>
    </w:p>
    <w:p w14:paraId="36FB8963" w14:textId="0A6BB091" w:rsidR="00A1295C" w:rsidRPr="00501641" w:rsidRDefault="00A1295C" w:rsidP="005015A4">
      <w:pPr>
        <w:pStyle w:val="Marge"/>
        <w:tabs>
          <w:tab w:val="clear" w:pos="567"/>
          <w:tab w:val="left" w:pos="1162"/>
        </w:tabs>
        <w:spacing w:line="240" w:lineRule="auto"/>
      </w:pPr>
    </w:p>
    <w:p w14:paraId="606171C8" w14:textId="7CA35A4F" w:rsidR="00E80EDA" w:rsidRPr="00501641" w:rsidRDefault="00E80EDA" w:rsidP="005015A4">
      <w:pPr>
        <w:pStyle w:val="Marge"/>
        <w:tabs>
          <w:tab w:val="clear" w:pos="567"/>
          <w:tab w:val="left" w:pos="1162"/>
        </w:tabs>
        <w:spacing w:line="240" w:lineRule="auto"/>
      </w:pPr>
      <w:r w:rsidRPr="00501641">
        <w:rPr>
          <w:noProof/>
          <w:snapToGrid/>
          <w:lang w:val="fr-FR" w:eastAsia="fr-FR"/>
        </w:rPr>
        <w:lastRenderedPageBreak/>
        <w:drawing>
          <wp:inline distT="0" distB="0" distL="0" distR="0" wp14:anchorId="36BABF94" wp14:editId="00C7424A">
            <wp:extent cx="3086100" cy="216535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01641">
        <w:rPr>
          <w:noProof/>
          <w:snapToGrid/>
        </w:rPr>
        <w:t xml:space="preserve"> </w:t>
      </w:r>
      <w:r w:rsidRPr="00501641">
        <w:rPr>
          <w:noProof/>
          <w:snapToGrid/>
          <w:lang w:val="fr-FR" w:eastAsia="fr-FR"/>
        </w:rPr>
        <w:drawing>
          <wp:inline distT="0" distB="0" distL="0" distR="0" wp14:anchorId="0365B780" wp14:editId="21CC8229">
            <wp:extent cx="2933699" cy="2159000"/>
            <wp:effectExtent l="0" t="0" r="635" b="127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D3BA60E" w14:textId="3AA22E83" w:rsidR="002125C8" w:rsidRPr="00501641" w:rsidRDefault="00166860" w:rsidP="006E07C1">
      <w:pPr>
        <w:pStyle w:val="Marge"/>
        <w:tabs>
          <w:tab w:val="clear" w:pos="567"/>
          <w:tab w:val="left" w:pos="1162"/>
        </w:tabs>
        <w:spacing w:line="240" w:lineRule="auto"/>
        <w:jc w:val="center"/>
      </w:pPr>
      <w:r w:rsidRPr="00501641">
        <w:rPr>
          <w:noProof/>
          <w:snapToGrid/>
          <w:lang w:val="fr-FR" w:eastAsia="fr-FR"/>
        </w:rPr>
        <w:drawing>
          <wp:inline distT="0" distB="0" distL="0" distR="0" wp14:anchorId="7ADF25BD" wp14:editId="4F737D98">
            <wp:extent cx="5073650" cy="2476500"/>
            <wp:effectExtent l="0" t="0" r="1270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9616C01" w14:textId="344FEC18" w:rsidR="002125C8" w:rsidRPr="00501641" w:rsidRDefault="002125C8" w:rsidP="005015A4">
      <w:pPr>
        <w:pStyle w:val="Marge"/>
        <w:tabs>
          <w:tab w:val="clear" w:pos="567"/>
          <w:tab w:val="left" w:pos="1162"/>
        </w:tabs>
        <w:spacing w:line="240" w:lineRule="auto"/>
      </w:pPr>
    </w:p>
    <w:p w14:paraId="792116E1" w14:textId="60598457" w:rsidR="002125C8" w:rsidRPr="00501641" w:rsidRDefault="002125C8" w:rsidP="005015A4">
      <w:pPr>
        <w:pStyle w:val="Marge"/>
        <w:tabs>
          <w:tab w:val="clear" w:pos="567"/>
          <w:tab w:val="left" w:pos="1162"/>
        </w:tabs>
        <w:spacing w:line="240" w:lineRule="auto"/>
      </w:pPr>
    </w:p>
    <w:p w14:paraId="6536F08B" w14:textId="777D2B4E" w:rsidR="002125C8" w:rsidRPr="00501641" w:rsidRDefault="002125C8" w:rsidP="005015A4">
      <w:pPr>
        <w:pStyle w:val="Marge"/>
        <w:tabs>
          <w:tab w:val="clear" w:pos="567"/>
          <w:tab w:val="left" w:pos="1162"/>
        </w:tabs>
        <w:spacing w:line="240" w:lineRule="auto"/>
      </w:pPr>
    </w:p>
    <w:p w14:paraId="17F3341E" w14:textId="0F38909F" w:rsidR="00A14AE8" w:rsidRPr="00501641" w:rsidRDefault="00A14AE8">
      <w:pPr>
        <w:widowControl/>
        <w:tabs>
          <w:tab w:val="clear" w:pos="567"/>
        </w:tabs>
        <w:adjustRightInd/>
        <w:snapToGrid/>
        <w:spacing w:line="240" w:lineRule="auto"/>
        <w:jc w:val="left"/>
        <w:textAlignment w:val="auto"/>
      </w:pPr>
      <w:r w:rsidRPr="00501641">
        <w:br w:type="page"/>
      </w:r>
    </w:p>
    <w:p w14:paraId="1A6A6D94" w14:textId="23B69609" w:rsidR="00714BDA" w:rsidRPr="00501641" w:rsidRDefault="00714BDA" w:rsidP="00BF26BB">
      <w:pPr>
        <w:pStyle w:val="Marge"/>
        <w:tabs>
          <w:tab w:val="clear" w:pos="567"/>
          <w:tab w:val="left" w:pos="1162"/>
        </w:tabs>
        <w:spacing w:line="240" w:lineRule="auto"/>
        <w:rPr>
          <w:b/>
        </w:rPr>
      </w:pPr>
      <w:r>
        <w:rPr>
          <w:b/>
          <w:bCs/>
          <w:lang w:val="es"/>
        </w:rPr>
        <w:lastRenderedPageBreak/>
        <w:t>PROPUESTA DE ASIGNACIONES PRESUPUESTARIAS PARA LA CUENTA ESPECIAL DE LA COI 2022-2023</w:t>
      </w:r>
    </w:p>
    <w:p w14:paraId="4B370710" w14:textId="2DDD73F7" w:rsidR="00A14AE8" w:rsidRPr="00501641" w:rsidRDefault="00BF26BB" w:rsidP="00A14AE8">
      <w:pPr>
        <w:pStyle w:val="Marge"/>
        <w:tabs>
          <w:tab w:val="clear" w:pos="567"/>
          <w:tab w:val="left" w:pos="1162"/>
        </w:tabs>
        <w:spacing w:line="240" w:lineRule="auto"/>
        <w:jc w:val="center"/>
        <w:rPr>
          <w:b/>
        </w:rPr>
      </w:pPr>
      <w:r w:rsidRPr="00BF26BB">
        <w:rPr>
          <w:b/>
          <w:noProof/>
        </w:rPr>
        <w:drawing>
          <wp:anchor distT="0" distB="0" distL="114300" distR="114300" simplePos="0" relativeHeight="251682816" behindDoc="1" locked="0" layoutInCell="1" allowOverlap="1" wp14:anchorId="31E70295" wp14:editId="3926A1B4">
            <wp:simplePos x="0" y="0"/>
            <wp:positionH relativeFrom="column">
              <wp:posOffset>880110</wp:posOffset>
            </wp:positionH>
            <wp:positionV relativeFrom="paragraph">
              <wp:posOffset>0</wp:posOffset>
            </wp:positionV>
            <wp:extent cx="4638675" cy="8444230"/>
            <wp:effectExtent l="0" t="0" r="9525" b="0"/>
            <wp:wrapTight wrapText="bothSides">
              <wp:wrapPolygon edited="0">
                <wp:start x="0" y="0"/>
                <wp:lineTo x="0" y="21538"/>
                <wp:lineTo x="21556" y="21538"/>
                <wp:lineTo x="215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38675" cy="844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9AB5E" w14:textId="2169FEF8" w:rsidR="00A14AE8" w:rsidRPr="00501641" w:rsidRDefault="00A14AE8" w:rsidP="00A14AE8">
      <w:pPr>
        <w:pStyle w:val="Marge"/>
        <w:tabs>
          <w:tab w:val="clear" w:pos="567"/>
          <w:tab w:val="left" w:pos="1162"/>
        </w:tabs>
        <w:spacing w:line="240" w:lineRule="auto"/>
        <w:jc w:val="center"/>
        <w:rPr>
          <w:b/>
        </w:rPr>
      </w:pPr>
    </w:p>
    <w:sectPr w:rsidR="00A14AE8" w:rsidRPr="00501641" w:rsidSect="005A69BB">
      <w:headerReference w:type="default" r:id="rId31"/>
      <w:headerReference w:type="first" r:id="rId32"/>
      <w:type w:val="oddPage"/>
      <w:pgSz w:w="11906" w:h="16838" w:code="9"/>
      <w:pgMar w:top="-1398" w:right="1155"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189C5" w14:textId="77777777" w:rsidR="00C734D9" w:rsidRDefault="00C734D9">
      <w:r>
        <w:separator/>
      </w:r>
    </w:p>
  </w:endnote>
  <w:endnote w:type="continuationSeparator" w:id="0">
    <w:p w14:paraId="43BDBEB4" w14:textId="77777777" w:rsidR="00C734D9" w:rsidRDefault="00C734D9">
      <w:r>
        <w:continuationSeparator/>
      </w:r>
    </w:p>
  </w:endnote>
  <w:endnote w:type="continuationNotice" w:id="1">
    <w:p w14:paraId="683F4831" w14:textId="77777777" w:rsidR="00C734D9" w:rsidRDefault="00C73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yriadPro-Bol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8598C" w14:textId="77777777" w:rsidR="00C734D9" w:rsidRDefault="00C734D9">
      <w:r>
        <w:separator/>
      </w:r>
    </w:p>
  </w:footnote>
  <w:footnote w:type="continuationSeparator" w:id="0">
    <w:p w14:paraId="638554D2" w14:textId="77777777" w:rsidR="00C734D9" w:rsidRDefault="00C734D9">
      <w:r>
        <w:continuationSeparator/>
      </w:r>
    </w:p>
  </w:footnote>
  <w:footnote w:type="continuationNotice" w:id="1">
    <w:p w14:paraId="4E57F2A8" w14:textId="77777777" w:rsidR="00C734D9" w:rsidRDefault="00C734D9"/>
  </w:footnote>
  <w:footnote w:id="2">
    <w:p w14:paraId="11DD83F1" w14:textId="4A412252" w:rsidR="00C516F7" w:rsidRPr="009D0EB6" w:rsidRDefault="00C516F7">
      <w:pPr>
        <w:pStyle w:val="FootnoteText"/>
      </w:pPr>
      <w:r>
        <w:rPr>
          <w:rStyle w:val="FootnoteReference"/>
          <w:lang w:val="es"/>
        </w:rPr>
        <w:footnoteRef/>
      </w:r>
      <w:r>
        <w:rPr>
          <w:lang w:val="es"/>
        </w:rPr>
        <w:t xml:space="preserve"> Basado en el marco de funciones aprobado según el Proyecto de Estrategia a Medio Plazo 2022-2029 de la COI.</w:t>
      </w:r>
    </w:p>
  </w:footnote>
  <w:footnote w:id="3">
    <w:p w14:paraId="14596C35" w14:textId="357DF711" w:rsidR="00E50FFA" w:rsidRPr="00E50FFA" w:rsidRDefault="00E50FFA" w:rsidP="00E50FFA">
      <w:pPr>
        <w:pStyle w:val="FootnoteText"/>
        <w:tabs>
          <w:tab w:val="clear" w:pos="567"/>
          <w:tab w:val="left" w:pos="0"/>
        </w:tabs>
        <w:spacing w:line="240" w:lineRule="auto"/>
        <w:ind w:left="0" w:firstLine="0"/>
      </w:pPr>
      <w:r>
        <w:rPr>
          <w:rStyle w:val="FootnoteReference"/>
          <w:lang w:val="es"/>
        </w:rPr>
        <w:footnoteRef/>
      </w:r>
      <w:r>
        <w:rPr>
          <w:lang w:val="es"/>
        </w:rPr>
        <w:t xml:space="preserve"> Este indicador también es pertinente para el producto intersectorial 3.IP2, "Fortalecimiento de la educación ambiental a fin de preparar a los educandos para abordar los desafíos ambientales mundiales".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B677" w14:textId="3447D128" w:rsidR="00C516F7" w:rsidRDefault="00C516F7" w:rsidP="005A69BB">
    <w:pPr>
      <w:pStyle w:val="Header"/>
      <w:tabs>
        <w:tab w:val="clear" w:pos="8306"/>
      </w:tabs>
      <w:spacing w:line="240" w:lineRule="auto"/>
      <w:jc w:val="left"/>
      <w:rPr>
        <w:rFonts w:cs="Arial"/>
        <w:sz w:val="20"/>
        <w:szCs w:val="20"/>
      </w:rPr>
    </w:pPr>
    <w:r>
      <w:rPr>
        <w:rFonts w:cs="Arial"/>
        <w:sz w:val="20"/>
        <w:szCs w:val="20"/>
        <w:lang w:val="es"/>
      </w:rPr>
      <w:t>IOC</w:t>
    </w:r>
    <w:r w:rsidR="00FC0A1E">
      <w:rPr>
        <w:rFonts w:cs="Arial"/>
        <w:sz w:val="20"/>
        <w:szCs w:val="20"/>
        <w:lang w:val="es"/>
      </w:rPr>
      <w:t>/A</w:t>
    </w:r>
    <w:r>
      <w:rPr>
        <w:rFonts w:cs="Arial"/>
        <w:sz w:val="20"/>
        <w:szCs w:val="20"/>
        <w:lang w:val="es"/>
      </w:rPr>
      <w:t>-31/4.2Doc</w:t>
    </w:r>
  </w:p>
  <w:p w14:paraId="68F3E14C" w14:textId="67203F50" w:rsidR="00C516F7" w:rsidRPr="00556C1E" w:rsidRDefault="00C516F7" w:rsidP="005A69BB">
    <w:pPr>
      <w:pStyle w:val="Header"/>
      <w:tabs>
        <w:tab w:val="clear" w:pos="8306"/>
      </w:tabs>
      <w:spacing w:line="240" w:lineRule="auto"/>
      <w:rPr>
        <w:rFonts w:cs="Arial"/>
        <w:sz w:val="20"/>
        <w:szCs w:val="20"/>
      </w:rPr>
    </w:pPr>
    <w:r>
      <w:rPr>
        <w:rFonts w:cs="Arial"/>
        <w:sz w:val="20"/>
        <w:szCs w:val="20"/>
        <w:lang w:val="es"/>
      </w:rPr>
      <w:t xml:space="preserve">página </w:t>
    </w:r>
    <w:r>
      <w:rPr>
        <w:rFonts w:cs="Arial"/>
        <w:sz w:val="20"/>
        <w:szCs w:val="20"/>
        <w:lang w:val="es"/>
      </w:rPr>
      <w:fldChar w:fldCharType="begin"/>
    </w:r>
    <w:r>
      <w:rPr>
        <w:rFonts w:cs="Arial"/>
        <w:sz w:val="20"/>
        <w:szCs w:val="20"/>
        <w:lang w:val="es"/>
      </w:rPr>
      <w:instrText xml:space="preserve"> PAGE   \* MERGEFORMAT </w:instrText>
    </w:r>
    <w:r>
      <w:rPr>
        <w:rFonts w:cs="Arial"/>
        <w:sz w:val="20"/>
        <w:szCs w:val="20"/>
        <w:lang w:val="es"/>
      </w:rPr>
      <w:fldChar w:fldCharType="separate"/>
    </w:r>
    <w:r w:rsidR="00714BDA">
      <w:rPr>
        <w:rFonts w:cs="Arial"/>
        <w:noProof/>
        <w:sz w:val="20"/>
        <w:szCs w:val="20"/>
        <w:lang w:val="es"/>
      </w:rPr>
      <w:t>14</w:t>
    </w:r>
    <w:r>
      <w:rPr>
        <w:rFonts w:cs="Arial"/>
        <w:noProof/>
        <w:sz w:val="20"/>
        <w:szCs w:val="20"/>
        <w:lang w:val="es"/>
      </w:rPr>
      <w:fldChar w:fldCharType="end"/>
    </w:r>
  </w:p>
  <w:p w14:paraId="7800B055" w14:textId="77777777" w:rsidR="00C516F7" w:rsidRDefault="00C51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ADF2" w14:textId="6686F387" w:rsidR="00C516F7" w:rsidRDefault="00C516F7" w:rsidP="00556C1E">
    <w:pPr>
      <w:pStyle w:val="Header"/>
      <w:tabs>
        <w:tab w:val="clear" w:pos="8306"/>
      </w:tabs>
      <w:spacing w:line="240" w:lineRule="auto"/>
      <w:jc w:val="right"/>
      <w:rPr>
        <w:rFonts w:cs="Arial"/>
        <w:sz w:val="20"/>
        <w:szCs w:val="20"/>
      </w:rPr>
    </w:pPr>
    <w:r>
      <w:rPr>
        <w:rFonts w:cs="Arial"/>
        <w:sz w:val="20"/>
        <w:szCs w:val="20"/>
        <w:lang w:val="es"/>
      </w:rPr>
      <w:t>IOC/EC-53/5.1(2)</w:t>
    </w:r>
  </w:p>
  <w:p w14:paraId="033701EC" w14:textId="45CB7D8C" w:rsidR="00C516F7" w:rsidRPr="00556C1E" w:rsidRDefault="00C516F7" w:rsidP="00AC2957">
    <w:pPr>
      <w:pStyle w:val="Header"/>
      <w:tabs>
        <w:tab w:val="clear" w:pos="8306"/>
      </w:tabs>
      <w:spacing w:line="240" w:lineRule="auto"/>
      <w:ind w:left="12738"/>
      <w:jc w:val="left"/>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21</w:t>
    </w:r>
    <w:r>
      <w:rPr>
        <w:rStyle w:val="PageNumber"/>
        <w:rFonts w:cs="Arial"/>
        <w:sz w:val="20"/>
        <w:szCs w:val="20"/>
        <w:lang w:val="es"/>
      </w:rPr>
      <w:fldChar w:fldCharType="end"/>
    </w:r>
  </w:p>
  <w:p w14:paraId="70516883" w14:textId="77777777" w:rsidR="00C516F7" w:rsidRPr="00003B31" w:rsidRDefault="00C516F7" w:rsidP="00217892">
    <w:pPr>
      <w:pStyle w:val="Header"/>
      <w:spacing w:line="240" w:lineRule="auto"/>
      <w:ind w:firstLine="8077"/>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81FD5" w14:textId="2DD73B60" w:rsidR="00C516F7" w:rsidRDefault="00C516F7" w:rsidP="0006656E">
    <w:pPr>
      <w:pStyle w:val="Marge"/>
      <w:tabs>
        <w:tab w:val="left" w:pos="6663"/>
      </w:tabs>
      <w:spacing w:after="0" w:line="240" w:lineRule="auto"/>
      <w:rPr>
        <w:rFonts w:cs="Arial"/>
        <w:b/>
        <w:szCs w:val="22"/>
      </w:rPr>
    </w:pPr>
    <w:r>
      <w:rPr>
        <w:rFonts w:cs="Arial"/>
        <w:szCs w:val="22"/>
        <w:lang w:val="es"/>
      </w:rPr>
      <w:t>Distribución restringida</w:t>
    </w:r>
    <w:r>
      <w:rPr>
        <w:rFonts w:cs="Arial"/>
        <w:szCs w:val="22"/>
        <w:lang w:val="es"/>
      </w:rPr>
      <w:tab/>
    </w:r>
    <w:r>
      <w:rPr>
        <w:rFonts w:cs="Arial"/>
        <w:b/>
        <w:bCs/>
        <w:sz w:val="36"/>
        <w:szCs w:val="36"/>
        <w:lang w:val="es"/>
      </w:rPr>
      <w:t>IOC</w:t>
    </w:r>
    <w:r w:rsidR="00FC0A1E">
      <w:rPr>
        <w:rFonts w:cs="Arial"/>
        <w:b/>
        <w:bCs/>
        <w:sz w:val="36"/>
        <w:szCs w:val="36"/>
        <w:lang w:val="es"/>
      </w:rPr>
      <w:t>/A</w:t>
    </w:r>
    <w:r>
      <w:rPr>
        <w:rFonts w:cs="Arial"/>
        <w:b/>
        <w:bCs/>
        <w:sz w:val="36"/>
        <w:szCs w:val="36"/>
        <w:lang w:val="es"/>
      </w:rPr>
      <w:t>-31/4.2Doc</w:t>
    </w:r>
  </w:p>
  <w:p w14:paraId="34FA0094" w14:textId="73D9922E" w:rsidR="00C516F7" w:rsidRPr="005E544C" w:rsidRDefault="00C516F7" w:rsidP="0006656E">
    <w:pPr>
      <w:tabs>
        <w:tab w:val="clear" w:pos="567"/>
        <w:tab w:val="left" w:pos="6663"/>
      </w:tabs>
      <w:spacing w:line="240" w:lineRule="auto"/>
      <w:jc w:val="left"/>
      <w:rPr>
        <w:rFonts w:cs="Arial"/>
        <w:szCs w:val="22"/>
      </w:rPr>
    </w:pPr>
    <w:r>
      <w:rPr>
        <w:rFonts w:cs="Arial"/>
        <w:szCs w:val="22"/>
        <w:lang w:val="es"/>
      </w:rPr>
      <w:tab/>
      <w:t>París, 15 de abril de 2021</w:t>
    </w:r>
  </w:p>
  <w:p w14:paraId="75F4EB34" w14:textId="77777777" w:rsidR="00C516F7" w:rsidRPr="005E544C" w:rsidRDefault="00C516F7" w:rsidP="0006656E">
    <w:pPr>
      <w:tabs>
        <w:tab w:val="clear" w:pos="567"/>
        <w:tab w:val="left" w:pos="6663"/>
      </w:tabs>
      <w:spacing w:line="240" w:lineRule="auto"/>
      <w:jc w:val="left"/>
      <w:rPr>
        <w:rFonts w:cs="Arial"/>
        <w:szCs w:val="22"/>
      </w:rPr>
    </w:pPr>
    <w:r>
      <w:rPr>
        <w:rFonts w:cs="Arial"/>
        <w:szCs w:val="22"/>
        <w:lang w:val="es"/>
      </w:rPr>
      <w:tab/>
      <w:t xml:space="preserve">Original: </w:t>
    </w:r>
    <w:proofErr w:type="gramStart"/>
    <w:r>
      <w:rPr>
        <w:rFonts w:cs="Arial"/>
        <w:szCs w:val="22"/>
        <w:lang w:val="es"/>
      </w:rPr>
      <w:t>Inglés</w:t>
    </w:r>
    <w:proofErr w:type="gramEnd"/>
    <w:r>
      <w:rPr>
        <w:rFonts w:cs="Arial"/>
        <w:szCs w:val="22"/>
        <w:lang w:val="es"/>
      </w:rPr>
      <w:t xml:space="preserve"> </w:t>
    </w:r>
  </w:p>
  <w:p w14:paraId="4FF027FF"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4B3B3016"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38B09CA7" w14:textId="77777777" w:rsidR="00C516F7" w:rsidRPr="00010BBB" w:rsidRDefault="00C516F7" w:rsidP="005A69BB">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sz w:val="24"/>
      </w:rPr>
    </w:pPr>
    <w:r>
      <w:rPr>
        <w:b/>
        <w:bCs/>
        <w:lang w:val="es"/>
      </w:rPr>
      <w:t>COMISIÓN OCEANOGRÁFICA INTERGUBERNAMENTAL</w:t>
    </w:r>
  </w:p>
  <w:p w14:paraId="6A767248" w14:textId="77777777" w:rsidR="00C516F7" w:rsidRPr="003561BE" w:rsidRDefault="00C516F7" w:rsidP="005A69BB">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bCs/>
        <w:sz w:val="24"/>
      </w:rPr>
    </w:pPr>
    <w:r>
      <w:rPr>
        <w:rFonts w:cs="Arial"/>
        <w:b/>
        <w:bCs/>
        <w:sz w:val="24"/>
        <w:lang w:val="es"/>
      </w:rPr>
      <w:t>(de la UNESCO)</w:t>
    </w:r>
  </w:p>
  <w:p w14:paraId="5D0B1629"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0D5E1337" w14:textId="77777777" w:rsidR="00C516F7" w:rsidRPr="00BF254D" w:rsidRDefault="00C516F7" w:rsidP="005A69BB">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rFonts w:cs="Arial"/>
        <w:b/>
      </w:rPr>
    </w:pPr>
    <w:r>
      <w:rPr>
        <w:rFonts w:cs="Arial"/>
        <w:b/>
        <w:bCs/>
        <w:lang w:val="es"/>
      </w:rPr>
      <w:t>Trigésima primera reunión de la Asamblea</w:t>
    </w:r>
  </w:p>
  <w:p w14:paraId="6D13E32B" w14:textId="77777777" w:rsidR="00C516F7" w:rsidRPr="00423BDE" w:rsidRDefault="00C516F7" w:rsidP="005A69BB">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r>
      <w:rPr>
        <w:rFonts w:cs="Arial"/>
        <w:lang w:val="es"/>
      </w:rPr>
      <w:t>UNESCO, 14-25 de junio de 2021</w:t>
    </w:r>
  </w:p>
  <w:p w14:paraId="2EFEDFAF" w14:textId="77777777" w:rsidR="00C516F7" w:rsidRPr="005E544C" w:rsidRDefault="00C516F7" w:rsidP="005A69BB">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02D8082E" w14:textId="77777777" w:rsidR="00C516F7" w:rsidRDefault="00C516F7" w:rsidP="005A69BB">
    <w:pPr>
      <w:spacing w:line="240" w:lineRule="auto"/>
      <w:jc w:val="center"/>
      <w:rPr>
        <w:rFonts w:cs="Arial"/>
        <w:szCs w:val="22"/>
      </w:rPr>
    </w:pPr>
  </w:p>
  <w:p w14:paraId="34BE8AC1" w14:textId="77777777" w:rsidR="00C516F7" w:rsidRDefault="00C516F7" w:rsidP="005A69BB">
    <w:pPr>
      <w:jc w:val="center"/>
      <w:rPr>
        <w:rFonts w:cs="Arial"/>
        <w:szCs w:val="22"/>
      </w:rPr>
    </w:pPr>
  </w:p>
  <w:p w14:paraId="0CDDD0E1" w14:textId="77777777" w:rsidR="00C516F7" w:rsidRPr="005E544C" w:rsidRDefault="00C516F7" w:rsidP="005A69BB">
    <w:pPr>
      <w:jc w:val="center"/>
      <w:rPr>
        <w:rFonts w:cs="Arial"/>
        <w:szCs w:val="22"/>
      </w:rPr>
    </w:pPr>
  </w:p>
  <w:p w14:paraId="34A30C26" w14:textId="77777777" w:rsidR="00C516F7" w:rsidRPr="005E544C" w:rsidRDefault="00C516F7" w:rsidP="005A69BB">
    <w:pPr>
      <w:jc w:val="center"/>
      <w:rPr>
        <w:rFonts w:cs="Arial"/>
        <w:szCs w:val="22"/>
      </w:rPr>
    </w:pPr>
  </w:p>
  <w:p w14:paraId="6E15E16C" w14:textId="2A0342AA" w:rsidR="00C516F7" w:rsidRPr="008D2398" w:rsidRDefault="00C516F7" w:rsidP="005A69BB">
    <w:pPr>
      <w:pStyle w:val="Heading7"/>
      <w:tabs>
        <w:tab w:val="right" w:pos="9540"/>
      </w:tabs>
      <w:spacing w:line="240" w:lineRule="auto"/>
      <w:rPr>
        <w:rFonts w:cs="Arial"/>
        <w:sz w:val="24"/>
        <w:u w:val="none"/>
      </w:rPr>
    </w:pPr>
    <w:r>
      <w:rPr>
        <w:rFonts w:cs="Arial"/>
        <w:sz w:val="24"/>
        <w:lang w:val="es"/>
      </w:rPr>
      <w:t xml:space="preserve">Puntos </w:t>
    </w:r>
    <w:r>
      <w:rPr>
        <w:rFonts w:cs="Arial"/>
        <w:b/>
        <w:bCs/>
        <w:sz w:val="24"/>
        <w:lang w:val="es"/>
      </w:rPr>
      <w:t>4.2</w:t>
    </w:r>
    <w:r>
      <w:rPr>
        <w:rFonts w:cs="Arial"/>
        <w:sz w:val="24"/>
        <w:lang w:val="es"/>
      </w:rPr>
      <w:t xml:space="preserve"> y </w:t>
    </w:r>
    <w:r>
      <w:rPr>
        <w:rFonts w:cs="Arial"/>
        <w:b/>
        <w:bCs/>
        <w:sz w:val="24"/>
        <w:lang w:val="es"/>
      </w:rPr>
      <w:t>4.4</w:t>
    </w:r>
    <w:r>
      <w:rPr>
        <w:rFonts w:cs="Arial"/>
        <w:sz w:val="24"/>
        <w:lang w:val="es"/>
      </w:rPr>
      <w:t xml:space="preserve"> del orden del día provisional</w:t>
    </w:r>
  </w:p>
  <w:p w14:paraId="5875E159" w14:textId="77777777" w:rsidR="00C516F7" w:rsidRPr="005E544C" w:rsidRDefault="00C516F7" w:rsidP="005A69BB">
    <w:pPr>
      <w:spacing w:line="240" w:lineRule="auto"/>
      <w:rPr>
        <w:rFonts w:cs="Arial"/>
        <w:szCs w:val="22"/>
      </w:rPr>
    </w:pPr>
  </w:p>
  <w:p w14:paraId="3D52E993" w14:textId="77777777" w:rsidR="00C516F7" w:rsidRPr="005E544C" w:rsidRDefault="00C516F7" w:rsidP="005A69BB">
    <w:pPr>
      <w:spacing w:line="240" w:lineRule="auto"/>
      <w:rPr>
        <w:rFonts w:cs="Arial"/>
        <w:szCs w:val="22"/>
      </w:rPr>
    </w:pPr>
  </w:p>
  <w:p w14:paraId="30D788DD" w14:textId="77777777" w:rsidR="00C516F7" w:rsidRDefault="00C516F7" w:rsidP="005A69BB">
    <w:pPr>
      <w:pStyle w:val="Docheading"/>
      <w:spacing w:after="0" w:line="240" w:lineRule="auto"/>
    </w:pPr>
    <w:r>
      <w:rPr>
        <w:lang w:val="es"/>
      </w:rPr>
      <w:t xml:space="preserve">proyecto de programa y presupuesto para 2022-2025 (41 C/5) </w:t>
    </w:r>
  </w:p>
  <w:p w14:paraId="57AA65AB" w14:textId="77777777" w:rsidR="00C516F7" w:rsidRDefault="00C516F7" w:rsidP="005A69BB">
    <w:pPr>
      <w:pStyle w:val="Docheading"/>
      <w:spacing w:after="0" w:line="240" w:lineRule="auto"/>
    </w:pPr>
    <w:r>
      <w:rPr>
        <w:lang w:val="es"/>
      </w:rPr>
      <w:t>primer bienio 2022-2023</w:t>
    </w:r>
  </w:p>
  <w:p w14:paraId="02CC5735" w14:textId="33C40334" w:rsidR="00C516F7" w:rsidRPr="00556C1E" w:rsidRDefault="00C516F7" w:rsidP="00AC2957">
    <w:pPr>
      <w:pStyle w:val="Header"/>
      <w:spacing w:line="240" w:lineRule="auto"/>
      <w:ind w:left="12474"/>
      <w:rPr>
        <w:rStyle w:val="PageNumbe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sidR="00714BDA">
      <w:rPr>
        <w:rStyle w:val="PageNumber"/>
        <w:rFonts w:cs="Arial"/>
        <w:noProof/>
        <w:sz w:val="20"/>
        <w:szCs w:val="20"/>
        <w:lang w:val="es"/>
      </w:rPr>
      <w:t>1</w:t>
    </w:r>
    <w:r>
      <w:rPr>
        <w:rStyle w:val="PageNumber"/>
        <w:rFonts w:cs="Arial"/>
        <w:sz w:val="20"/>
        <w:szCs w:val="20"/>
        <w:lang w:val="es"/>
      </w:rPr>
      <w:fldChar w:fldCharType="end"/>
    </w:r>
  </w:p>
  <w:p w14:paraId="743A2E1E" w14:textId="77777777" w:rsidR="00C516F7" w:rsidRPr="00511BDC" w:rsidRDefault="00C516F7" w:rsidP="00AC2957">
    <w:pPr>
      <w:pStyle w:val="Header"/>
      <w:spacing w:line="240" w:lineRule="auto"/>
      <w:ind w:left="12474"/>
    </w:pPr>
    <w:r>
      <w:rPr>
        <w:noProof/>
        <w:lang w:val="fr-FR" w:eastAsia="fr-FR"/>
      </w:rPr>
      <mc:AlternateContent>
        <mc:Choice Requires="wps">
          <w:drawing>
            <wp:anchor distT="45720" distB="45720" distL="114300" distR="114300" simplePos="0" relativeHeight="251667456" behindDoc="0" locked="0" layoutInCell="1" allowOverlap="1" wp14:anchorId="770838FF" wp14:editId="117F8866">
              <wp:simplePos x="0" y="0"/>
              <wp:positionH relativeFrom="rightMargin">
                <wp:posOffset>2598420</wp:posOffset>
              </wp:positionH>
              <wp:positionV relativeFrom="page">
                <wp:posOffset>6175375</wp:posOffset>
              </wp:positionV>
              <wp:extent cx="1245235" cy="539750"/>
              <wp:effectExtent l="0" t="8572" r="3492" b="3493"/>
              <wp:wrapTopAndBottom/>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5235" cy="539750"/>
                      </a:xfrm>
                      <a:prstGeom prst="rect">
                        <a:avLst/>
                      </a:prstGeom>
                      <a:solidFill>
                        <a:srgbClr val="FFFFFF"/>
                      </a:solidFill>
                      <a:ln w="9525">
                        <a:noFill/>
                        <a:miter lim="800000"/>
                        <a:headEnd/>
                        <a:tailEnd/>
                      </a:ln>
                    </wps:spPr>
                    <wps:txbx>
                      <w:txbxContent>
                        <w:p w14:paraId="0AE6388D" w14:textId="77777777" w:rsidR="00C516F7" w:rsidRPr="00556C1E" w:rsidRDefault="00C516F7" w:rsidP="00511BDC">
                          <w:pPr>
                            <w:pStyle w:val="Header"/>
                            <w:tabs>
                              <w:tab w:val="clear" w:pos="8306"/>
                            </w:tabs>
                            <w:spacing w:line="240" w:lineRule="auto"/>
                            <w:jc w:val="left"/>
                            <w:rPr>
                              <w:rFonts w:cs="Arial"/>
                              <w:sz w:val="20"/>
                              <w:szCs w:val="20"/>
                            </w:rPr>
                          </w:pPr>
                          <w:r>
                            <w:rPr>
                              <w:rFonts w:cs="Arial"/>
                              <w:sz w:val="20"/>
                              <w:szCs w:val="20"/>
                              <w:lang w:val="es"/>
                            </w:rPr>
                            <w:t>IOC/EC-53/5.1(2)</w:t>
                          </w:r>
                        </w:p>
                        <w:p w14:paraId="3D141EC3" w14:textId="37C62154" w:rsidR="00C516F7" w:rsidRDefault="00C516F7" w:rsidP="00511BDC">
                          <w:pPr>
                            <w:pStyle w:val="Header"/>
                            <w:spacing w:line="240" w:lineRule="auto"/>
                            <w:rPr>
                              <w:rStyle w:val="PageNumbe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 Arabic </w:instrText>
                          </w:r>
                          <w:r>
                            <w:rPr>
                              <w:rStyle w:val="PageNumber"/>
                              <w:rFonts w:cs="Arial"/>
                              <w:sz w:val="20"/>
                              <w:szCs w:val="20"/>
                              <w:lang w:val="es"/>
                            </w:rPr>
                            <w:fldChar w:fldCharType="separate"/>
                          </w:r>
                          <w:r w:rsidR="00714BDA">
                            <w:rPr>
                              <w:rStyle w:val="PageNumber"/>
                              <w:rFonts w:cs="Arial"/>
                              <w:noProof/>
                              <w:sz w:val="20"/>
                              <w:szCs w:val="20"/>
                              <w:lang w:val="es"/>
                            </w:rPr>
                            <w:t>1</w:t>
                          </w:r>
                          <w:r>
                            <w:rPr>
                              <w:rStyle w:val="PageNumber"/>
                              <w:rFonts w:cs="Arial"/>
                              <w:sz w:val="20"/>
                              <w:szCs w:val="20"/>
                              <w:lang w:val="es"/>
                            </w:rPr>
                            <w:fldChar w:fldCharType="end"/>
                          </w:r>
                        </w:p>
                        <w:p w14:paraId="47ECF8C1" w14:textId="77777777" w:rsidR="00C516F7" w:rsidRPr="00511BDC" w:rsidRDefault="00C516F7" w:rsidP="00511BDC">
                          <w:pPr>
                            <w:pStyle w:val="Header"/>
                            <w:spacing w:line="240" w:lineRule="auto"/>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0838FF" id="_x0000_t202" coordsize="21600,21600" o:spt="202" path="m,l,21600r21600,l21600,xe">
              <v:stroke joinstyle="miter"/>
              <v:path gradientshapeok="t" o:connecttype="rect"/>
            </v:shapetype>
            <v:shape id="Zone de texte 2" o:spid="_x0000_s1040" type="#_x0000_t202" style="position:absolute;left:0;text-align:left;margin-left:204.6pt;margin-top:486.25pt;width:98.05pt;height:42.5pt;rotation:90;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" stroked="f">
              <v:textbox style="mso-fit-shape-to-text:t">
                <w:txbxContent>
                  <w:p w14:paraId="0AE6388D" w14:textId="77777777" w:rsidR="00C516F7" w:rsidRPr="00556C1E" w:rsidRDefault="00C516F7" w:rsidP="00511BDC">
                    <w:pPr>
                      <w:pStyle w:val="En-tte"/>
                      <w:tabs>
                        <w:tab w:val="clear" w:pos="8306"/>
                      </w:tabs>
                      <w:spacing w:line="240" w:lineRule="auto"/>
                      <w:jc w:val="left"/>
                      <w:rPr>
                        <w:rFonts w:cs="Arial"/>
                        <w:sz w:val="20"/>
                        <w:szCs w:val="20"/>
                      </w:rPr>
                    </w:pPr>
                    <w:r>
                      <w:rPr>
                        <w:rFonts w:cs="Arial"/>
                        <w:sz w:val="20"/>
                        <w:szCs w:val="20"/>
                        <w:lang w:val="es"/>
                      </w:rPr>
                      <w:t>IOC/EC-53/5.1(2)</w:t>
                    </w:r>
                  </w:p>
                  <w:p w14:paraId="3D141EC3" w14:textId="37C62154" w:rsidR="00C516F7" w:rsidRDefault="00C516F7" w:rsidP="00511BDC">
                    <w:pPr>
                      <w:pStyle w:val="En-tte"/>
                      <w:spacing w:line="240" w:lineRule="auto"/>
                      <w:rPr>
                        <w:rStyle w:val="Numrodepage"/>
                        <w:rFonts w:cs="Arial"/>
                        <w:sz w:val="20"/>
                        <w:szCs w:val="20"/>
                      </w:rPr>
                    </w:pPr>
                    <w:r>
                      <w:rPr>
                        <w:rFonts w:cs="Arial"/>
                        <w:sz w:val="20"/>
                        <w:szCs w:val="20"/>
                        <w:lang w:val="es"/>
                      </w:rPr>
                      <w:t xml:space="preserve">página </w:t>
                    </w:r>
                    <w:r>
                      <w:rPr>
                        <w:rStyle w:val="Numrodepage"/>
                        <w:rFonts w:cs="Arial"/>
                        <w:sz w:val="20"/>
                        <w:szCs w:val="20"/>
                        <w:lang w:val="es"/>
                      </w:rPr>
                      <w:fldChar w:fldCharType="begin"/>
                    </w:r>
                    <w:r>
                      <w:rPr>
                        <w:rStyle w:val="Numrodepage"/>
                        <w:rFonts w:cs="Arial"/>
                        <w:sz w:val="20"/>
                        <w:szCs w:val="20"/>
                        <w:lang w:val="es"/>
                      </w:rPr>
                      <w:instrText xml:space="preserve"> PAGE  \* Arabic </w:instrText>
                    </w:r>
                    <w:r>
                      <w:rPr>
                        <w:rStyle w:val="Numrodepage"/>
                        <w:rFonts w:cs="Arial"/>
                        <w:sz w:val="20"/>
                        <w:szCs w:val="20"/>
                        <w:lang w:val="es"/>
                      </w:rPr>
                      <w:fldChar w:fldCharType="separate"/>
                    </w:r>
                    <w:r w:rsidR="00714BDA">
                      <w:rPr>
                        <w:rStyle w:val="Numrodepage"/>
                        <w:rFonts w:cs="Arial"/>
                        <w:noProof/>
                        <w:sz w:val="20"/>
                        <w:szCs w:val="20"/>
                        <w:lang w:val="es"/>
                      </w:rPr>
                      <w:t>1</w:t>
                    </w:r>
                    <w:r>
                      <w:rPr>
                        <w:rStyle w:val="Numrodepage"/>
                        <w:rFonts w:cs="Arial"/>
                        <w:sz w:val="20"/>
                        <w:szCs w:val="20"/>
                        <w:lang w:val="es"/>
                      </w:rPr>
                      <w:fldChar w:fldCharType="end"/>
                    </w:r>
                  </w:p>
                  <w:p w14:paraId="47ECF8C1" w14:textId="77777777" w:rsidR="00C516F7" w:rsidRPr="00511BDC" w:rsidRDefault="00C516F7" w:rsidP="00511BDC">
                    <w:pPr>
                      <w:pStyle w:val="En-tte"/>
                      <w:spacing w:line="240" w:lineRule="auto"/>
                      <w:rPr>
                        <w:rFonts w:cs="Arial"/>
                        <w:sz w:val="20"/>
                        <w:szCs w:val="20"/>
                      </w:rPr>
                    </w:pPr>
                  </w:p>
                </w:txbxContent>
              </v:textbox>
              <w10:wrap type="topAndBottom"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B991" w14:textId="7EB1DDF4" w:rsidR="00C516F7" w:rsidRDefault="00C516F7" w:rsidP="00556C1E">
    <w:pPr>
      <w:pStyle w:val="Header"/>
      <w:tabs>
        <w:tab w:val="clear" w:pos="8306"/>
      </w:tabs>
      <w:spacing w:line="240" w:lineRule="auto"/>
      <w:jc w:val="right"/>
      <w:rPr>
        <w:rFonts w:cs="Arial"/>
        <w:sz w:val="20"/>
        <w:szCs w:val="20"/>
      </w:rPr>
    </w:pPr>
    <w:r>
      <w:rPr>
        <w:rFonts w:cs="Arial"/>
        <w:sz w:val="20"/>
        <w:szCs w:val="20"/>
        <w:lang w:val="es"/>
      </w:rPr>
      <w:t>IOC</w:t>
    </w:r>
    <w:r w:rsidR="00FC0A1E">
      <w:rPr>
        <w:rFonts w:cs="Arial"/>
        <w:sz w:val="20"/>
        <w:szCs w:val="20"/>
        <w:lang w:val="es"/>
      </w:rPr>
      <w:t>/A</w:t>
    </w:r>
    <w:r>
      <w:rPr>
        <w:rFonts w:cs="Arial"/>
        <w:sz w:val="20"/>
        <w:szCs w:val="20"/>
        <w:lang w:val="es"/>
      </w:rPr>
      <w:t>-31/4.2Doc</w:t>
    </w:r>
  </w:p>
  <w:p w14:paraId="48729010" w14:textId="6D5FE6F9" w:rsidR="00C516F7" w:rsidRDefault="0006656E" w:rsidP="00FC0A1E">
    <w:pPr>
      <w:pStyle w:val="Header"/>
      <w:tabs>
        <w:tab w:val="clear" w:pos="8306"/>
      </w:tabs>
      <w:spacing w:line="240" w:lineRule="auto"/>
      <w:ind w:left="7938" w:firstLine="167"/>
      <w:jc w:val="left"/>
      <w:rPr>
        <w:rFonts w:cs="Arial"/>
        <w:sz w:val="20"/>
        <w:szCs w:val="20"/>
      </w:rPr>
    </w:pPr>
    <w:r>
      <w:rPr>
        <w:rFonts w:cs="Arial"/>
        <w:sz w:val="20"/>
        <w:szCs w:val="20"/>
        <w:lang w:val="es"/>
      </w:rPr>
      <w:t xml:space="preserve">página </w:t>
    </w:r>
    <w:r>
      <w:rPr>
        <w:rFonts w:cs="Arial"/>
        <w:sz w:val="20"/>
        <w:szCs w:val="20"/>
        <w:lang w:val="es"/>
      </w:rPr>
      <w:fldChar w:fldCharType="begin"/>
    </w:r>
    <w:r>
      <w:rPr>
        <w:rFonts w:cs="Arial"/>
        <w:sz w:val="20"/>
        <w:szCs w:val="20"/>
        <w:lang w:val="es"/>
      </w:rPr>
      <w:instrText xml:space="preserve"> PAGE   \* MERGEFORMAT </w:instrText>
    </w:r>
    <w:r>
      <w:rPr>
        <w:rFonts w:cs="Arial"/>
        <w:sz w:val="20"/>
        <w:szCs w:val="20"/>
        <w:lang w:val="es"/>
      </w:rPr>
      <w:fldChar w:fldCharType="separate"/>
    </w:r>
    <w:r w:rsidR="00714BDA">
      <w:rPr>
        <w:rFonts w:cs="Arial"/>
        <w:noProof/>
        <w:sz w:val="20"/>
        <w:szCs w:val="20"/>
        <w:lang w:val="es"/>
      </w:rPr>
      <w:t>15</w:t>
    </w:r>
    <w:r>
      <w:rPr>
        <w:rFonts w:cs="Arial"/>
        <w:noProof/>
        <w:sz w:val="20"/>
        <w:szCs w:val="20"/>
        <w:lang w:val="es"/>
      </w:rPr>
      <w:fldChar w:fldCharType="end"/>
    </w:r>
  </w:p>
  <w:p w14:paraId="2EAAD13C" w14:textId="37E313B2" w:rsidR="00C516F7" w:rsidRPr="00556C1E" w:rsidRDefault="00C516F7" w:rsidP="00AC2957">
    <w:pPr>
      <w:pStyle w:val="Header"/>
      <w:tabs>
        <w:tab w:val="clear" w:pos="8306"/>
      </w:tabs>
      <w:spacing w:line="240" w:lineRule="auto"/>
      <w:ind w:left="12738"/>
      <w:jc w:val="left"/>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sidR="00714BDA">
      <w:rPr>
        <w:rStyle w:val="PageNumber"/>
        <w:rFonts w:cs="Arial"/>
        <w:noProof/>
        <w:sz w:val="20"/>
        <w:szCs w:val="20"/>
        <w:lang w:val="es"/>
      </w:rPr>
      <w:t>15</w:t>
    </w:r>
    <w:r>
      <w:rPr>
        <w:rStyle w:val="PageNumber"/>
        <w:rFonts w:cs="Arial"/>
        <w:sz w:val="20"/>
        <w:szCs w:val="20"/>
        <w:lang w:val="es"/>
      </w:rPr>
      <w:fldChar w:fldCharType="end"/>
    </w:r>
  </w:p>
  <w:p w14:paraId="6A29B14D" w14:textId="77777777" w:rsidR="00C516F7" w:rsidRPr="00003B31" w:rsidRDefault="00C516F7" w:rsidP="00217892">
    <w:pPr>
      <w:pStyle w:val="Header"/>
      <w:spacing w:line="240" w:lineRule="auto"/>
      <w:ind w:firstLine="8077"/>
      <w:rPr>
        <w:rFonts w:cs="Arial"/>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8991" w14:textId="3AC560F0" w:rsidR="00C516F7" w:rsidRDefault="00C516F7" w:rsidP="005A69BB">
    <w:pPr>
      <w:pStyle w:val="Header"/>
      <w:tabs>
        <w:tab w:val="clear" w:pos="8306"/>
      </w:tabs>
      <w:spacing w:line="240" w:lineRule="auto"/>
      <w:jc w:val="right"/>
      <w:rPr>
        <w:rFonts w:cs="Arial"/>
        <w:sz w:val="20"/>
        <w:szCs w:val="20"/>
      </w:rPr>
    </w:pPr>
    <w:r>
      <w:rPr>
        <w:rFonts w:cs="Arial"/>
        <w:sz w:val="20"/>
        <w:szCs w:val="20"/>
        <w:lang w:val="es"/>
      </w:rPr>
      <w:t>IOC</w:t>
    </w:r>
    <w:r w:rsidR="00FC0A1E">
      <w:rPr>
        <w:rFonts w:cs="Arial"/>
        <w:sz w:val="20"/>
        <w:szCs w:val="20"/>
        <w:lang w:val="es"/>
      </w:rPr>
      <w:t>/A</w:t>
    </w:r>
    <w:r>
      <w:rPr>
        <w:rFonts w:cs="Arial"/>
        <w:sz w:val="20"/>
        <w:szCs w:val="20"/>
        <w:lang w:val="es"/>
      </w:rPr>
      <w:t>-31/4.2Doc</w:t>
    </w:r>
  </w:p>
  <w:p w14:paraId="07DD15DD" w14:textId="6F1BD479" w:rsidR="00C516F7" w:rsidRPr="00556C1E" w:rsidRDefault="00C516F7" w:rsidP="00AC2957">
    <w:pPr>
      <w:pStyle w:val="Header"/>
      <w:spacing w:line="240" w:lineRule="auto"/>
      <w:ind w:left="12474"/>
      <w:rPr>
        <w:rStyle w:val="PageNumbe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sidR="00714BDA">
      <w:rPr>
        <w:rStyle w:val="PageNumber"/>
        <w:rFonts w:cs="Arial"/>
        <w:noProof/>
        <w:sz w:val="20"/>
        <w:szCs w:val="20"/>
        <w:lang w:val="es"/>
      </w:rPr>
      <w:t>1</w:t>
    </w:r>
    <w:r>
      <w:rPr>
        <w:rStyle w:val="PageNumber"/>
        <w:rFonts w:cs="Arial"/>
        <w:sz w:val="20"/>
        <w:szCs w:val="20"/>
        <w:lang w:val="es"/>
      </w:rPr>
      <w:fldChar w:fldCharType="end"/>
    </w:r>
  </w:p>
  <w:p w14:paraId="479C839F" w14:textId="77777777" w:rsidR="00C516F7" w:rsidRPr="00511BDC" w:rsidRDefault="00C516F7" w:rsidP="00AC2957">
    <w:pPr>
      <w:pStyle w:val="Header"/>
      <w:spacing w:line="240" w:lineRule="auto"/>
      <w:ind w:left="12474"/>
    </w:pPr>
    <w:r>
      <w:rPr>
        <w:noProof/>
        <w:lang w:val="fr-FR" w:eastAsia="fr-FR"/>
      </w:rPr>
      <mc:AlternateContent>
        <mc:Choice Requires="wps">
          <w:drawing>
            <wp:anchor distT="45720" distB="45720" distL="114300" distR="114300" simplePos="0" relativeHeight="251671552" behindDoc="0" locked="0" layoutInCell="1" allowOverlap="1" wp14:anchorId="16AF4F09" wp14:editId="5E77BEFF">
              <wp:simplePos x="0" y="0"/>
              <wp:positionH relativeFrom="rightMargin">
                <wp:posOffset>2598420</wp:posOffset>
              </wp:positionH>
              <wp:positionV relativeFrom="page">
                <wp:posOffset>6175375</wp:posOffset>
              </wp:positionV>
              <wp:extent cx="1245235" cy="539750"/>
              <wp:effectExtent l="0" t="8572" r="3492" b="3493"/>
              <wp:wrapTopAndBottom/>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5235" cy="539750"/>
                      </a:xfrm>
                      <a:prstGeom prst="rect">
                        <a:avLst/>
                      </a:prstGeom>
                      <a:solidFill>
                        <a:srgbClr val="FFFFFF"/>
                      </a:solidFill>
                      <a:ln w="9525">
                        <a:noFill/>
                        <a:miter lim="800000"/>
                        <a:headEnd/>
                        <a:tailEnd/>
                      </a:ln>
                    </wps:spPr>
                    <wps:txbx>
                      <w:txbxContent>
                        <w:p w14:paraId="1DA1908E" w14:textId="77777777" w:rsidR="00C516F7" w:rsidRPr="00556C1E" w:rsidRDefault="00C516F7" w:rsidP="00511BDC">
                          <w:pPr>
                            <w:pStyle w:val="Header"/>
                            <w:tabs>
                              <w:tab w:val="clear" w:pos="8306"/>
                            </w:tabs>
                            <w:spacing w:line="240" w:lineRule="auto"/>
                            <w:jc w:val="left"/>
                            <w:rPr>
                              <w:rFonts w:cs="Arial"/>
                              <w:sz w:val="20"/>
                              <w:szCs w:val="20"/>
                            </w:rPr>
                          </w:pPr>
                          <w:r>
                            <w:rPr>
                              <w:rFonts w:cs="Arial"/>
                              <w:sz w:val="20"/>
                              <w:szCs w:val="20"/>
                              <w:lang w:val="es"/>
                            </w:rPr>
                            <w:t>IOC/EC-53/5.1(2)</w:t>
                          </w:r>
                        </w:p>
                        <w:p w14:paraId="5A334C1C" w14:textId="718A96A8" w:rsidR="00C516F7" w:rsidRDefault="00C516F7" w:rsidP="00511BDC">
                          <w:pPr>
                            <w:pStyle w:val="Header"/>
                            <w:spacing w:line="240" w:lineRule="auto"/>
                            <w:rPr>
                              <w:rStyle w:val="PageNumbe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 Arabic </w:instrText>
                          </w:r>
                          <w:r>
                            <w:rPr>
                              <w:rStyle w:val="PageNumber"/>
                              <w:rFonts w:cs="Arial"/>
                              <w:sz w:val="20"/>
                              <w:szCs w:val="20"/>
                              <w:lang w:val="es"/>
                            </w:rPr>
                            <w:fldChar w:fldCharType="separate"/>
                          </w:r>
                          <w:r w:rsidR="00714BDA">
                            <w:rPr>
                              <w:rStyle w:val="PageNumber"/>
                              <w:rFonts w:cs="Arial"/>
                              <w:noProof/>
                              <w:sz w:val="20"/>
                              <w:szCs w:val="20"/>
                              <w:lang w:val="es"/>
                            </w:rPr>
                            <w:t>1</w:t>
                          </w:r>
                          <w:r>
                            <w:rPr>
                              <w:rStyle w:val="PageNumber"/>
                              <w:rFonts w:cs="Arial"/>
                              <w:sz w:val="20"/>
                              <w:szCs w:val="20"/>
                              <w:lang w:val="es"/>
                            </w:rPr>
                            <w:fldChar w:fldCharType="end"/>
                          </w:r>
                        </w:p>
                        <w:p w14:paraId="7CFBB4AC" w14:textId="77777777" w:rsidR="00C516F7" w:rsidRPr="00511BDC" w:rsidRDefault="00C516F7" w:rsidP="00511BDC">
                          <w:pPr>
                            <w:pStyle w:val="Header"/>
                            <w:spacing w:line="240" w:lineRule="auto"/>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AF4F09" id="_x0000_t202" coordsize="21600,21600" o:spt="202" path="m,l,21600r21600,l21600,xe">
              <v:stroke joinstyle="miter"/>
              <v:path gradientshapeok="t" o:connecttype="rect"/>
            </v:shapetype>
            <v:shape id="_x0000_s1041" type="#_x0000_t202" style="position:absolute;left:0;text-align:left;margin-left:204.6pt;margin-top:486.25pt;width:98.05pt;height:42.5pt;rotation:90;z-index:251671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" stroked="f">
              <v:textbox style="mso-fit-shape-to-text:t">
                <w:txbxContent>
                  <w:p w14:paraId="1DA1908E" w14:textId="77777777" w:rsidR="00C516F7" w:rsidRPr="00556C1E" w:rsidRDefault="00C516F7" w:rsidP="00511BDC">
                    <w:pPr>
                      <w:pStyle w:val="En-tte"/>
                      <w:tabs>
                        <w:tab w:val="clear" w:pos="8306"/>
                      </w:tabs>
                      <w:spacing w:line="240" w:lineRule="auto"/>
                      <w:jc w:val="left"/>
                      <w:rPr>
                        <w:rFonts w:cs="Arial"/>
                        <w:sz w:val="20"/>
                        <w:szCs w:val="20"/>
                      </w:rPr>
                    </w:pPr>
                    <w:r>
                      <w:rPr>
                        <w:rFonts w:cs="Arial"/>
                        <w:sz w:val="20"/>
                        <w:szCs w:val="20"/>
                        <w:lang w:val="es"/>
                      </w:rPr>
                      <w:t>IOC/EC-53/5.1(2)</w:t>
                    </w:r>
                  </w:p>
                  <w:p w14:paraId="5A334C1C" w14:textId="718A96A8" w:rsidR="00C516F7" w:rsidRDefault="00C516F7" w:rsidP="00511BDC">
                    <w:pPr>
                      <w:pStyle w:val="En-tte"/>
                      <w:spacing w:line="240" w:lineRule="auto"/>
                      <w:rPr>
                        <w:rStyle w:val="Numrodepage"/>
                        <w:rFonts w:cs="Arial"/>
                        <w:sz w:val="20"/>
                        <w:szCs w:val="20"/>
                      </w:rPr>
                    </w:pPr>
                    <w:r>
                      <w:rPr>
                        <w:rFonts w:cs="Arial"/>
                        <w:sz w:val="20"/>
                        <w:szCs w:val="20"/>
                        <w:lang w:val="es"/>
                      </w:rPr>
                      <w:t xml:space="preserve">página </w:t>
                    </w:r>
                    <w:r>
                      <w:rPr>
                        <w:rStyle w:val="Numrodepage"/>
                        <w:rFonts w:cs="Arial"/>
                        <w:sz w:val="20"/>
                        <w:szCs w:val="20"/>
                        <w:lang w:val="es"/>
                      </w:rPr>
                      <w:fldChar w:fldCharType="begin"/>
                    </w:r>
                    <w:r>
                      <w:rPr>
                        <w:rStyle w:val="Numrodepage"/>
                        <w:rFonts w:cs="Arial"/>
                        <w:sz w:val="20"/>
                        <w:szCs w:val="20"/>
                        <w:lang w:val="es"/>
                      </w:rPr>
                      <w:instrText xml:space="preserve"> PAGE  \* Arabic </w:instrText>
                    </w:r>
                    <w:r>
                      <w:rPr>
                        <w:rStyle w:val="Numrodepage"/>
                        <w:rFonts w:cs="Arial"/>
                        <w:sz w:val="20"/>
                        <w:szCs w:val="20"/>
                        <w:lang w:val="es"/>
                      </w:rPr>
                      <w:fldChar w:fldCharType="separate"/>
                    </w:r>
                    <w:r w:rsidR="00714BDA">
                      <w:rPr>
                        <w:rStyle w:val="Numrodepage"/>
                        <w:rFonts w:cs="Arial"/>
                        <w:noProof/>
                        <w:sz w:val="20"/>
                        <w:szCs w:val="20"/>
                        <w:lang w:val="es"/>
                      </w:rPr>
                      <w:t>1</w:t>
                    </w:r>
                    <w:r>
                      <w:rPr>
                        <w:rStyle w:val="Numrodepage"/>
                        <w:rFonts w:cs="Arial"/>
                        <w:sz w:val="20"/>
                        <w:szCs w:val="20"/>
                        <w:lang w:val="es"/>
                      </w:rPr>
                      <w:fldChar w:fldCharType="end"/>
                    </w:r>
                  </w:p>
                  <w:p w14:paraId="7CFBB4AC" w14:textId="77777777" w:rsidR="00C516F7" w:rsidRPr="00511BDC" w:rsidRDefault="00C516F7" w:rsidP="00511BDC">
                    <w:pPr>
                      <w:pStyle w:val="En-tte"/>
                      <w:spacing w:line="240" w:lineRule="auto"/>
                      <w:rPr>
                        <w:rFonts w:cs="Arial"/>
                        <w:sz w:val="20"/>
                        <w:szCs w:val="20"/>
                      </w:rPr>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4EC0466"/>
    <w:multiLevelType w:val="hybridMultilevel"/>
    <w:tmpl w:val="D97856B6"/>
    <w:lvl w:ilvl="0" w:tplc="DD3E1110">
      <w:start w:val="1"/>
      <w:numFmt w:val="lowerRoman"/>
      <w:lvlText w:val="%1)"/>
      <w:lvlJc w:val="left"/>
      <w:pPr>
        <w:ind w:left="113" w:hanging="128"/>
        <w:jc w:val="left"/>
      </w:pPr>
      <w:rPr>
        <w:rFonts w:ascii="Calibri" w:eastAsia="Calibri" w:hAnsi="Calibri" w:cs="Calibri" w:hint="default"/>
        <w:i/>
        <w:spacing w:val="0"/>
        <w:w w:val="94"/>
        <w:sz w:val="18"/>
        <w:szCs w:val="18"/>
      </w:rPr>
    </w:lvl>
    <w:lvl w:ilvl="1" w:tplc="F8604430">
      <w:numFmt w:val="bullet"/>
      <w:lvlText w:val="•"/>
      <w:lvlJc w:val="left"/>
      <w:pPr>
        <w:ind w:left="385" w:hanging="128"/>
      </w:pPr>
      <w:rPr>
        <w:rFonts w:hint="default"/>
      </w:rPr>
    </w:lvl>
    <w:lvl w:ilvl="2" w:tplc="5F06DBEC">
      <w:numFmt w:val="bullet"/>
      <w:lvlText w:val="•"/>
      <w:lvlJc w:val="left"/>
      <w:pPr>
        <w:ind w:left="650" w:hanging="128"/>
      </w:pPr>
      <w:rPr>
        <w:rFonts w:hint="default"/>
      </w:rPr>
    </w:lvl>
    <w:lvl w:ilvl="3" w:tplc="9DAAF628">
      <w:numFmt w:val="bullet"/>
      <w:lvlText w:val="•"/>
      <w:lvlJc w:val="left"/>
      <w:pPr>
        <w:ind w:left="915" w:hanging="128"/>
      </w:pPr>
      <w:rPr>
        <w:rFonts w:hint="default"/>
      </w:rPr>
    </w:lvl>
    <w:lvl w:ilvl="4" w:tplc="FCF0444E">
      <w:numFmt w:val="bullet"/>
      <w:lvlText w:val="•"/>
      <w:lvlJc w:val="left"/>
      <w:pPr>
        <w:ind w:left="1180" w:hanging="128"/>
      </w:pPr>
      <w:rPr>
        <w:rFonts w:hint="default"/>
      </w:rPr>
    </w:lvl>
    <w:lvl w:ilvl="5" w:tplc="F9BC52CE">
      <w:numFmt w:val="bullet"/>
      <w:lvlText w:val="•"/>
      <w:lvlJc w:val="left"/>
      <w:pPr>
        <w:ind w:left="1445" w:hanging="128"/>
      </w:pPr>
      <w:rPr>
        <w:rFonts w:hint="default"/>
      </w:rPr>
    </w:lvl>
    <w:lvl w:ilvl="6" w:tplc="36D8543E">
      <w:numFmt w:val="bullet"/>
      <w:lvlText w:val="•"/>
      <w:lvlJc w:val="left"/>
      <w:pPr>
        <w:ind w:left="1710" w:hanging="128"/>
      </w:pPr>
      <w:rPr>
        <w:rFonts w:hint="default"/>
      </w:rPr>
    </w:lvl>
    <w:lvl w:ilvl="7" w:tplc="279C07AA">
      <w:numFmt w:val="bullet"/>
      <w:lvlText w:val="•"/>
      <w:lvlJc w:val="left"/>
      <w:pPr>
        <w:ind w:left="1975" w:hanging="128"/>
      </w:pPr>
      <w:rPr>
        <w:rFonts w:hint="default"/>
      </w:rPr>
    </w:lvl>
    <w:lvl w:ilvl="8" w:tplc="509C063E">
      <w:numFmt w:val="bullet"/>
      <w:lvlText w:val="•"/>
      <w:lvlJc w:val="left"/>
      <w:pPr>
        <w:ind w:left="2240" w:hanging="128"/>
      </w:pPr>
      <w:rPr>
        <w:rFont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706DD"/>
    <w:multiLevelType w:val="hybridMultilevel"/>
    <w:tmpl w:val="E40E8FFC"/>
    <w:lvl w:ilvl="0" w:tplc="EF4612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8851E4"/>
    <w:multiLevelType w:val="hybridMultilevel"/>
    <w:tmpl w:val="A4A280AC"/>
    <w:lvl w:ilvl="0" w:tplc="B922017A">
      <w:start w:val="1"/>
      <w:numFmt w:val="lowerRoman"/>
      <w:lvlText w:val="%1)"/>
      <w:lvlJc w:val="left"/>
      <w:pPr>
        <w:ind w:left="113" w:hanging="128"/>
        <w:jc w:val="left"/>
      </w:pPr>
      <w:rPr>
        <w:rFonts w:ascii="Calibri" w:eastAsia="Calibri" w:hAnsi="Calibri" w:cs="Calibri" w:hint="default"/>
        <w:i/>
        <w:spacing w:val="0"/>
        <w:w w:val="94"/>
        <w:sz w:val="18"/>
        <w:szCs w:val="18"/>
      </w:rPr>
    </w:lvl>
    <w:lvl w:ilvl="1" w:tplc="06B4829A">
      <w:numFmt w:val="bullet"/>
      <w:lvlText w:val="•"/>
      <w:lvlJc w:val="left"/>
      <w:pPr>
        <w:ind w:left="408" w:hanging="128"/>
      </w:pPr>
      <w:rPr>
        <w:rFonts w:hint="default"/>
      </w:rPr>
    </w:lvl>
    <w:lvl w:ilvl="2" w:tplc="BEA68E74">
      <w:numFmt w:val="bullet"/>
      <w:lvlText w:val="•"/>
      <w:lvlJc w:val="left"/>
      <w:pPr>
        <w:ind w:left="697" w:hanging="128"/>
      </w:pPr>
      <w:rPr>
        <w:rFonts w:hint="default"/>
      </w:rPr>
    </w:lvl>
    <w:lvl w:ilvl="3" w:tplc="8D50BA60">
      <w:numFmt w:val="bullet"/>
      <w:lvlText w:val="•"/>
      <w:lvlJc w:val="left"/>
      <w:pPr>
        <w:ind w:left="986" w:hanging="128"/>
      </w:pPr>
      <w:rPr>
        <w:rFonts w:hint="default"/>
      </w:rPr>
    </w:lvl>
    <w:lvl w:ilvl="4" w:tplc="751C5338">
      <w:numFmt w:val="bullet"/>
      <w:lvlText w:val="•"/>
      <w:lvlJc w:val="left"/>
      <w:pPr>
        <w:ind w:left="1275" w:hanging="128"/>
      </w:pPr>
      <w:rPr>
        <w:rFonts w:hint="default"/>
      </w:rPr>
    </w:lvl>
    <w:lvl w:ilvl="5" w:tplc="FBBE3A7C">
      <w:numFmt w:val="bullet"/>
      <w:lvlText w:val="•"/>
      <w:lvlJc w:val="left"/>
      <w:pPr>
        <w:ind w:left="1564" w:hanging="128"/>
      </w:pPr>
      <w:rPr>
        <w:rFonts w:hint="default"/>
      </w:rPr>
    </w:lvl>
    <w:lvl w:ilvl="6" w:tplc="FC747618">
      <w:numFmt w:val="bullet"/>
      <w:lvlText w:val="•"/>
      <w:lvlJc w:val="left"/>
      <w:pPr>
        <w:ind w:left="1853" w:hanging="128"/>
      </w:pPr>
      <w:rPr>
        <w:rFonts w:hint="default"/>
      </w:rPr>
    </w:lvl>
    <w:lvl w:ilvl="7" w:tplc="E326E62C">
      <w:numFmt w:val="bullet"/>
      <w:lvlText w:val="•"/>
      <w:lvlJc w:val="left"/>
      <w:pPr>
        <w:ind w:left="2142" w:hanging="128"/>
      </w:pPr>
      <w:rPr>
        <w:rFonts w:hint="default"/>
      </w:rPr>
    </w:lvl>
    <w:lvl w:ilvl="8" w:tplc="CF0A4A20">
      <w:numFmt w:val="bullet"/>
      <w:lvlText w:val="•"/>
      <w:lvlJc w:val="left"/>
      <w:pPr>
        <w:ind w:left="2431" w:hanging="128"/>
      </w:pPr>
      <w:rPr>
        <w:rFonts w:hint="default"/>
      </w:rPr>
    </w:lvl>
  </w:abstractNum>
  <w:abstractNum w:abstractNumId="5"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D19060A"/>
    <w:multiLevelType w:val="hybridMultilevel"/>
    <w:tmpl w:val="D2AA3EE2"/>
    <w:lvl w:ilvl="0" w:tplc="EBFE2072">
      <w:start w:val="1"/>
      <w:numFmt w:val="lowerRoman"/>
      <w:lvlText w:val="%1)"/>
      <w:lvlJc w:val="left"/>
      <w:pPr>
        <w:ind w:left="113" w:hanging="128"/>
        <w:jc w:val="left"/>
      </w:pPr>
      <w:rPr>
        <w:rFonts w:ascii="Calibri" w:eastAsia="Calibri" w:hAnsi="Calibri" w:cs="Calibri" w:hint="default"/>
        <w:i/>
        <w:spacing w:val="0"/>
        <w:w w:val="94"/>
        <w:sz w:val="18"/>
        <w:szCs w:val="18"/>
      </w:rPr>
    </w:lvl>
    <w:lvl w:ilvl="1" w:tplc="3A182CDC">
      <w:numFmt w:val="bullet"/>
      <w:lvlText w:val="•"/>
      <w:lvlJc w:val="left"/>
      <w:pPr>
        <w:ind w:left="385" w:hanging="128"/>
      </w:pPr>
      <w:rPr>
        <w:rFonts w:hint="default"/>
      </w:rPr>
    </w:lvl>
    <w:lvl w:ilvl="2" w:tplc="7DC08A96">
      <w:numFmt w:val="bullet"/>
      <w:lvlText w:val="•"/>
      <w:lvlJc w:val="left"/>
      <w:pPr>
        <w:ind w:left="650" w:hanging="128"/>
      </w:pPr>
      <w:rPr>
        <w:rFonts w:hint="default"/>
      </w:rPr>
    </w:lvl>
    <w:lvl w:ilvl="3" w:tplc="343070BE">
      <w:numFmt w:val="bullet"/>
      <w:lvlText w:val="•"/>
      <w:lvlJc w:val="left"/>
      <w:pPr>
        <w:ind w:left="915" w:hanging="128"/>
      </w:pPr>
      <w:rPr>
        <w:rFonts w:hint="default"/>
      </w:rPr>
    </w:lvl>
    <w:lvl w:ilvl="4" w:tplc="C9F09D54">
      <w:numFmt w:val="bullet"/>
      <w:lvlText w:val="•"/>
      <w:lvlJc w:val="left"/>
      <w:pPr>
        <w:ind w:left="1180" w:hanging="128"/>
      </w:pPr>
      <w:rPr>
        <w:rFonts w:hint="default"/>
      </w:rPr>
    </w:lvl>
    <w:lvl w:ilvl="5" w:tplc="1A6E3D3A">
      <w:numFmt w:val="bullet"/>
      <w:lvlText w:val="•"/>
      <w:lvlJc w:val="left"/>
      <w:pPr>
        <w:ind w:left="1445" w:hanging="128"/>
      </w:pPr>
      <w:rPr>
        <w:rFonts w:hint="default"/>
      </w:rPr>
    </w:lvl>
    <w:lvl w:ilvl="6" w:tplc="482C333E">
      <w:numFmt w:val="bullet"/>
      <w:lvlText w:val="•"/>
      <w:lvlJc w:val="left"/>
      <w:pPr>
        <w:ind w:left="1710" w:hanging="128"/>
      </w:pPr>
      <w:rPr>
        <w:rFonts w:hint="default"/>
      </w:rPr>
    </w:lvl>
    <w:lvl w:ilvl="7" w:tplc="1ED8AA72">
      <w:numFmt w:val="bullet"/>
      <w:lvlText w:val="•"/>
      <w:lvlJc w:val="left"/>
      <w:pPr>
        <w:ind w:left="1975" w:hanging="128"/>
      </w:pPr>
      <w:rPr>
        <w:rFonts w:hint="default"/>
      </w:rPr>
    </w:lvl>
    <w:lvl w:ilvl="8" w:tplc="8A6269DC">
      <w:numFmt w:val="bullet"/>
      <w:lvlText w:val="•"/>
      <w:lvlJc w:val="left"/>
      <w:pPr>
        <w:ind w:left="2240" w:hanging="128"/>
      </w:pPr>
      <w:rPr>
        <w:rFonts w:hint="default"/>
      </w:rPr>
    </w:lvl>
  </w:abstractNum>
  <w:abstractNum w:abstractNumId="7" w15:restartNumberingAfterBreak="0">
    <w:nsid w:val="221532BA"/>
    <w:multiLevelType w:val="hybridMultilevel"/>
    <w:tmpl w:val="6DBAED2E"/>
    <w:lvl w:ilvl="0" w:tplc="B4F6C5A4">
      <w:start w:val="1"/>
      <w:numFmt w:val="decimal"/>
      <w:lvlText w:val="%1"/>
      <w:lvlJc w:val="left"/>
      <w:pPr>
        <w:ind w:left="283" w:hanging="171"/>
        <w:jc w:val="left"/>
      </w:pPr>
      <w:rPr>
        <w:rFonts w:ascii="Palatino Linotype" w:eastAsia="Palatino Linotype" w:hAnsi="Palatino Linotype" w:cs="Palatino Linotype" w:hint="default"/>
        <w:w w:val="94"/>
        <w:sz w:val="14"/>
        <w:szCs w:val="14"/>
      </w:rPr>
    </w:lvl>
    <w:lvl w:ilvl="1" w:tplc="AB543786">
      <w:numFmt w:val="bullet"/>
      <w:lvlText w:val="•"/>
      <w:lvlJc w:val="left"/>
      <w:pPr>
        <w:ind w:left="1242" w:hanging="171"/>
      </w:pPr>
      <w:rPr>
        <w:rFonts w:hint="default"/>
      </w:rPr>
    </w:lvl>
    <w:lvl w:ilvl="2" w:tplc="72523D8A">
      <w:numFmt w:val="bullet"/>
      <w:lvlText w:val="•"/>
      <w:lvlJc w:val="left"/>
      <w:pPr>
        <w:ind w:left="2205" w:hanging="171"/>
      </w:pPr>
      <w:rPr>
        <w:rFonts w:hint="default"/>
      </w:rPr>
    </w:lvl>
    <w:lvl w:ilvl="3" w:tplc="43744854">
      <w:numFmt w:val="bullet"/>
      <w:lvlText w:val="•"/>
      <w:lvlJc w:val="left"/>
      <w:pPr>
        <w:ind w:left="3167" w:hanging="171"/>
      </w:pPr>
      <w:rPr>
        <w:rFonts w:hint="default"/>
      </w:rPr>
    </w:lvl>
    <w:lvl w:ilvl="4" w:tplc="34028674">
      <w:numFmt w:val="bullet"/>
      <w:lvlText w:val="•"/>
      <w:lvlJc w:val="left"/>
      <w:pPr>
        <w:ind w:left="4130" w:hanging="171"/>
      </w:pPr>
      <w:rPr>
        <w:rFonts w:hint="default"/>
      </w:rPr>
    </w:lvl>
    <w:lvl w:ilvl="5" w:tplc="7076FB4E">
      <w:numFmt w:val="bullet"/>
      <w:lvlText w:val="•"/>
      <w:lvlJc w:val="left"/>
      <w:pPr>
        <w:ind w:left="5092" w:hanging="171"/>
      </w:pPr>
      <w:rPr>
        <w:rFonts w:hint="default"/>
      </w:rPr>
    </w:lvl>
    <w:lvl w:ilvl="6" w:tplc="6E32FB14">
      <w:numFmt w:val="bullet"/>
      <w:lvlText w:val="•"/>
      <w:lvlJc w:val="left"/>
      <w:pPr>
        <w:ind w:left="6055" w:hanging="171"/>
      </w:pPr>
      <w:rPr>
        <w:rFonts w:hint="default"/>
      </w:rPr>
    </w:lvl>
    <w:lvl w:ilvl="7" w:tplc="E1F4D786">
      <w:numFmt w:val="bullet"/>
      <w:lvlText w:val="•"/>
      <w:lvlJc w:val="left"/>
      <w:pPr>
        <w:ind w:left="7017" w:hanging="171"/>
      </w:pPr>
      <w:rPr>
        <w:rFonts w:hint="default"/>
      </w:rPr>
    </w:lvl>
    <w:lvl w:ilvl="8" w:tplc="B0E24566">
      <w:numFmt w:val="bullet"/>
      <w:lvlText w:val="•"/>
      <w:lvlJc w:val="left"/>
      <w:pPr>
        <w:ind w:left="7980" w:hanging="171"/>
      </w:pPr>
      <w:rPr>
        <w:rFonts w:hint="default"/>
      </w:rPr>
    </w:lvl>
  </w:abstractNum>
  <w:abstractNum w:abstractNumId="8" w15:restartNumberingAfterBreak="0">
    <w:nsid w:val="222821D7"/>
    <w:multiLevelType w:val="hybridMultilevel"/>
    <w:tmpl w:val="7B526A7C"/>
    <w:lvl w:ilvl="0" w:tplc="7EB09420">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D5AFB"/>
    <w:multiLevelType w:val="hybridMultilevel"/>
    <w:tmpl w:val="4D309F70"/>
    <w:lvl w:ilvl="0" w:tplc="FACE3AB4">
      <w:start w:val="1"/>
      <w:numFmt w:val="lowerRoman"/>
      <w:lvlText w:val="%1)"/>
      <w:lvlJc w:val="left"/>
      <w:pPr>
        <w:ind w:left="113" w:hanging="128"/>
        <w:jc w:val="left"/>
      </w:pPr>
      <w:rPr>
        <w:rFonts w:ascii="Calibri" w:eastAsia="Calibri" w:hAnsi="Calibri" w:cs="Calibri" w:hint="default"/>
        <w:i/>
        <w:spacing w:val="0"/>
        <w:w w:val="94"/>
        <w:sz w:val="18"/>
        <w:szCs w:val="18"/>
      </w:rPr>
    </w:lvl>
    <w:lvl w:ilvl="1" w:tplc="7E12DEDC">
      <w:numFmt w:val="bullet"/>
      <w:lvlText w:val="•"/>
      <w:lvlJc w:val="left"/>
      <w:pPr>
        <w:ind w:left="385" w:hanging="128"/>
      </w:pPr>
      <w:rPr>
        <w:rFonts w:hint="default"/>
      </w:rPr>
    </w:lvl>
    <w:lvl w:ilvl="2" w:tplc="2D0C798A">
      <w:numFmt w:val="bullet"/>
      <w:lvlText w:val="•"/>
      <w:lvlJc w:val="left"/>
      <w:pPr>
        <w:ind w:left="650" w:hanging="128"/>
      </w:pPr>
      <w:rPr>
        <w:rFonts w:hint="default"/>
      </w:rPr>
    </w:lvl>
    <w:lvl w:ilvl="3" w:tplc="23A288E4">
      <w:numFmt w:val="bullet"/>
      <w:lvlText w:val="•"/>
      <w:lvlJc w:val="left"/>
      <w:pPr>
        <w:ind w:left="915" w:hanging="128"/>
      </w:pPr>
      <w:rPr>
        <w:rFonts w:hint="default"/>
      </w:rPr>
    </w:lvl>
    <w:lvl w:ilvl="4" w:tplc="0FCA3B06">
      <w:numFmt w:val="bullet"/>
      <w:lvlText w:val="•"/>
      <w:lvlJc w:val="left"/>
      <w:pPr>
        <w:ind w:left="1180" w:hanging="128"/>
      </w:pPr>
      <w:rPr>
        <w:rFonts w:hint="default"/>
      </w:rPr>
    </w:lvl>
    <w:lvl w:ilvl="5" w:tplc="C3EE2B96">
      <w:numFmt w:val="bullet"/>
      <w:lvlText w:val="•"/>
      <w:lvlJc w:val="left"/>
      <w:pPr>
        <w:ind w:left="1445" w:hanging="128"/>
      </w:pPr>
      <w:rPr>
        <w:rFonts w:hint="default"/>
      </w:rPr>
    </w:lvl>
    <w:lvl w:ilvl="6" w:tplc="5DD8AD08">
      <w:numFmt w:val="bullet"/>
      <w:lvlText w:val="•"/>
      <w:lvlJc w:val="left"/>
      <w:pPr>
        <w:ind w:left="1710" w:hanging="128"/>
      </w:pPr>
      <w:rPr>
        <w:rFonts w:hint="default"/>
      </w:rPr>
    </w:lvl>
    <w:lvl w:ilvl="7" w:tplc="7A625DC6">
      <w:numFmt w:val="bullet"/>
      <w:lvlText w:val="•"/>
      <w:lvlJc w:val="left"/>
      <w:pPr>
        <w:ind w:left="1975" w:hanging="128"/>
      </w:pPr>
      <w:rPr>
        <w:rFonts w:hint="default"/>
      </w:rPr>
    </w:lvl>
    <w:lvl w:ilvl="8" w:tplc="EC2CF35A">
      <w:numFmt w:val="bullet"/>
      <w:lvlText w:val="•"/>
      <w:lvlJc w:val="left"/>
      <w:pPr>
        <w:ind w:left="2240" w:hanging="128"/>
      </w:pPr>
      <w:rPr>
        <w:rFonts w:hint="default"/>
      </w:r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373C2DD7"/>
    <w:multiLevelType w:val="hybridMultilevel"/>
    <w:tmpl w:val="8C72943C"/>
    <w:lvl w:ilvl="0" w:tplc="42BA3466">
      <w:numFmt w:val="bullet"/>
      <w:lvlText w:val="–"/>
      <w:lvlJc w:val="left"/>
      <w:pPr>
        <w:ind w:left="283" w:hanging="171"/>
      </w:pPr>
      <w:rPr>
        <w:rFonts w:ascii="Palatino Linotype" w:eastAsia="Palatino Linotype" w:hAnsi="Palatino Linotype" w:cs="Palatino Linotype" w:hint="default"/>
        <w:i/>
        <w:w w:val="98"/>
        <w:sz w:val="18"/>
        <w:szCs w:val="18"/>
      </w:rPr>
    </w:lvl>
    <w:lvl w:ilvl="1" w:tplc="7C5A2996">
      <w:numFmt w:val="bullet"/>
      <w:lvlText w:val="•"/>
      <w:lvlJc w:val="left"/>
      <w:pPr>
        <w:ind w:left="552" w:hanging="171"/>
      </w:pPr>
      <w:rPr>
        <w:rFonts w:hint="default"/>
      </w:rPr>
    </w:lvl>
    <w:lvl w:ilvl="2" w:tplc="CF2C828C">
      <w:numFmt w:val="bullet"/>
      <w:lvlText w:val="•"/>
      <w:lvlJc w:val="left"/>
      <w:pPr>
        <w:ind w:left="825" w:hanging="171"/>
      </w:pPr>
      <w:rPr>
        <w:rFonts w:hint="default"/>
      </w:rPr>
    </w:lvl>
    <w:lvl w:ilvl="3" w:tplc="A3BAC8C0">
      <w:numFmt w:val="bullet"/>
      <w:lvlText w:val="•"/>
      <w:lvlJc w:val="left"/>
      <w:pPr>
        <w:ind w:left="1098" w:hanging="171"/>
      </w:pPr>
      <w:rPr>
        <w:rFonts w:hint="default"/>
      </w:rPr>
    </w:lvl>
    <w:lvl w:ilvl="4" w:tplc="F95ABBFE">
      <w:numFmt w:val="bullet"/>
      <w:lvlText w:val="•"/>
      <w:lvlJc w:val="left"/>
      <w:pPr>
        <w:ind w:left="1371" w:hanging="171"/>
      </w:pPr>
      <w:rPr>
        <w:rFonts w:hint="default"/>
      </w:rPr>
    </w:lvl>
    <w:lvl w:ilvl="5" w:tplc="8AA0C860">
      <w:numFmt w:val="bullet"/>
      <w:lvlText w:val="•"/>
      <w:lvlJc w:val="left"/>
      <w:pPr>
        <w:ind w:left="1644" w:hanging="171"/>
      </w:pPr>
      <w:rPr>
        <w:rFonts w:hint="default"/>
      </w:rPr>
    </w:lvl>
    <w:lvl w:ilvl="6" w:tplc="BF1AC562">
      <w:numFmt w:val="bullet"/>
      <w:lvlText w:val="•"/>
      <w:lvlJc w:val="left"/>
      <w:pPr>
        <w:ind w:left="1917" w:hanging="171"/>
      </w:pPr>
      <w:rPr>
        <w:rFonts w:hint="default"/>
      </w:rPr>
    </w:lvl>
    <w:lvl w:ilvl="7" w:tplc="C7523084">
      <w:numFmt w:val="bullet"/>
      <w:lvlText w:val="•"/>
      <w:lvlJc w:val="left"/>
      <w:pPr>
        <w:ind w:left="2190" w:hanging="171"/>
      </w:pPr>
      <w:rPr>
        <w:rFonts w:hint="default"/>
      </w:rPr>
    </w:lvl>
    <w:lvl w:ilvl="8" w:tplc="BD26DAAA">
      <w:numFmt w:val="bullet"/>
      <w:lvlText w:val="•"/>
      <w:lvlJc w:val="left"/>
      <w:pPr>
        <w:ind w:left="2463" w:hanging="171"/>
      </w:pPr>
      <w:rPr>
        <w:rFonts w:hint="default"/>
      </w:rPr>
    </w:lvl>
  </w:abstractNum>
  <w:abstractNum w:abstractNumId="12" w15:restartNumberingAfterBreak="0">
    <w:nsid w:val="5C347A4A"/>
    <w:multiLevelType w:val="hybridMultilevel"/>
    <w:tmpl w:val="926E3422"/>
    <w:lvl w:ilvl="0" w:tplc="6504D908">
      <w:start w:val="1"/>
      <w:numFmt w:val="lowerRoman"/>
      <w:lvlText w:val="%1)"/>
      <w:lvlJc w:val="left"/>
      <w:pPr>
        <w:ind w:left="113" w:hanging="128"/>
        <w:jc w:val="left"/>
      </w:pPr>
      <w:rPr>
        <w:rFonts w:ascii="Calibri" w:eastAsia="Calibri" w:hAnsi="Calibri" w:cs="Calibri" w:hint="default"/>
        <w:i/>
        <w:spacing w:val="0"/>
        <w:w w:val="94"/>
        <w:sz w:val="18"/>
        <w:szCs w:val="18"/>
      </w:rPr>
    </w:lvl>
    <w:lvl w:ilvl="1" w:tplc="92D6A2FA">
      <w:numFmt w:val="bullet"/>
      <w:lvlText w:val="•"/>
      <w:lvlJc w:val="left"/>
      <w:pPr>
        <w:ind w:left="408" w:hanging="128"/>
      </w:pPr>
      <w:rPr>
        <w:rFonts w:hint="default"/>
      </w:rPr>
    </w:lvl>
    <w:lvl w:ilvl="2" w:tplc="C4B6375A">
      <w:numFmt w:val="bullet"/>
      <w:lvlText w:val="•"/>
      <w:lvlJc w:val="left"/>
      <w:pPr>
        <w:ind w:left="697" w:hanging="128"/>
      </w:pPr>
      <w:rPr>
        <w:rFonts w:hint="default"/>
      </w:rPr>
    </w:lvl>
    <w:lvl w:ilvl="3" w:tplc="C4E2AC1E">
      <w:numFmt w:val="bullet"/>
      <w:lvlText w:val="•"/>
      <w:lvlJc w:val="left"/>
      <w:pPr>
        <w:ind w:left="986" w:hanging="128"/>
      </w:pPr>
      <w:rPr>
        <w:rFonts w:hint="default"/>
      </w:rPr>
    </w:lvl>
    <w:lvl w:ilvl="4" w:tplc="9E3E2BC4">
      <w:numFmt w:val="bullet"/>
      <w:lvlText w:val="•"/>
      <w:lvlJc w:val="left"/>
      <w:pPr>
        <w:ind w:left="1275" w:hanging="128"/>
      </w:pPr>
      <w:rPr>
        <w:rFonts w:hint="default"/>
      </w:rPr>
    </w:lvl>
    <w:lvl w:ilvl="5" w:tplc="619043BA">
      <w:numFmt w:val="bullet"/>
      <w:lvlText w:val="•"/>
      <w:lvlJc w:val="left"/>
      <w:pPr>
        <w:ind w:left="1564" w:hanging="128"/>
      </w:pPr>
      <w:rPr>
        <w:rFonts w:hint="default"/>
      </w:rPr>
    </w:lvl>
    <w:lvl w:ilvl="6" w:tplc="8E70EE7E">
      <w:numFmt w:val="bullet"/>
      <w:lvlText w:val="•"/>
      <w:lvlJc w:val="left"/>
      <w:pPr>
        <w:ind w:left="1853" w:hanging="128"/>
      </w:pPr>
      <w:rPr>
        <w:rFonts w:hint="default"/>
      </w:rPr>
    </w:lvl>
    <w:lvl w:ilvl="7" w:tplc="FE7EF38E">
      <w:numFmt w:val="bullet"/>
      <w:lvlText w:val="•"/>
      <w:lvlJc w:val="left"/>
      <w:pPr>
        <w:ind w:left="2142" w:hanging="128"/>
      </w:pPr>
      <w:rPr>
        <w:rFonts w:hint="default"/>
      </w:rPr>
    </w:lvl>
    <w:lvl w:ilvl="8" w:tplc="2FF4F50A">
      <w:numFmt w:val="bullet"/>
      <w:lvlText w:val="•"/>
      <w:lvlJc w:val="left"/>
      <w:pPr>
        <w:ind w:left="2431" w:hanging="128"/>
      </w:pPr>
      <w:rPr>
        <w:rFonts w:hint="default"/>
      </w:rPr>
    </w:lvl>
  </w:abstractNum>
  <w:abstractNum w:abstractNumId="13" w15:restartNumberingAfterBreak="0">
    <w:nsid w:val="62994B92"/>
    <w:multiLevelType w:val="hybridMultilevel"/>
    <w:tmpl w:val="CC22EDE0"/>
    <w:lvl w:ilvl="0" w:tplc="4A6A36F2">
      <w:start w:val="1"/>
      <w:numFmt w:val="lowerRoman"/>
      <w:lvlText w:val="%1)"/>
      <w:lvlJc w:val="left"/>
      <w:pPr>
        <w:ind w:left="113" w:hanging="128"/>
        <w:jc w:val="left"/>
      </w:pPr>
      <w:rPr>
        <w:rFonts w:ascii="Calibri" w:eastAsia="Calibri" w:hAnsi="Calibri" w:cs="Calibri" w:hint="default"/>
        <w:i/>
        <w:spacing w:val="0"/>
        <w:w w:val="94"/>
        <w:sz w:val="18"/>
        <w:szCs w:val="18"/>
      </w:rPr>
    </w:lvl>
    <w:lvl w:ilvl="1" w:tplc="48A8BD84">
      <w:numFmt w:val="bullet"/>
      <w:lvlText w:val="•"/>
      <w:lvlJc w:val="left"/>
      <w:pPr>
        <w:ind w:left="408" w:hanging="128"/>
      </w:pPr>
      <w:rPr>
        <w:rFonts w:hint="default"/>
      </w:rPr>
    </w:lvl>
    <w:lvl w:ilvl="2" w:tplc="F82EAD18">
      <w:numFmt w:val="bullet"/>
      <w:lvlText w:val="•"/>
      <w:lvlJc w:val="left"/>
      <w:pPr>
        <w:ind w:left="697" w:hanging="128"/>
      </w:pPr>
      <w:rPr>
        <w:rFonts w:hint="default"/>
      </w:rPr>
    </w:lvl>
    <w:lvl w:ilvl="3" w:tplc="1B06FDE8">
      <w:numFmt w:val="bullet"/>
      <w:lvlText w:val="•"/>
      <w:lvlJc w:val="left"/>
      <w:pPr>
        <w:ind w:left="986" w:hanging="128"/>
      </w:pPr>
      <w:rPr>
        <w:rFonts w:hint="default"/>
      </w:rPr>
    </w:lvl>
    <w:lvl w:ilvl="4" w:tplc="63423E38">
      <w:numFmt w:val="bullet"/>
      <w:lvlText w:val="•"/>
      <w:lvlJc w:val="left"/>
      <w:pPr>
        <w:ind w:left="1275" w:hanging="128"/>
      </w:pPr>
      <w:rPr>
        <w:rFonts w:hint="default"/>
      </w:rPr>
    </w:lvl>
    <w:lvl w:ilvl="5" w:tplc="341C7BCC">
      <w:numFmt w:val="bullet"/>
      <w:lvlText w:val="•"/>
      <w:lvlJc w:val="left"/>
      <w:pPr>
        <w:ind w:left="1564" w:hanging="128"/>
      </w:pPr>
      <w:rPr>
        <w:rFonts w:hint="default"/>
      </w:rPr>
    </w:lvl>
    <w:lvl w:ilvl="6" w:tplc="CAB651AA">
      <w:numFmt w:val="bullet"/>
      <w:lvlText w:val="•"/>
      <w:lvlJc w:val="left"/>
      <w:pPr>
        <w:ind w:left="1853" w:hanging="128"/>
      </w:pPr>
      <w:rPr>
        <w:rFonts w:hint="default"/>
      </w:rPr>
    </w:lvl>
    <w:lvl w:ilvl="7" w:tplc="7922A3AC">
      <w:numFmt w:val="bullet"/>
      <w:lvlText w:val="•"/>
      <w:lvlJc w:val="left"/>
      <w:pPr>
        <w:ind w:left="2142" w:hanging="128"/>
      </w:pPr>
      <w:rPr>
        <w:rFonts w:hint="default"/>
      </w:rPr>
    </w:lvl>
    <w:lvl w:ilvl="8" w:tplc="8768198A">
      <w:numFmt w:val="bullet"/>
      <w:lvlText w:val="•"/>
      <w:lvlJc w:val="left"/>
      <w:pPr>
        <w:ind w:left="2431" w:hanging="128"/>
      </w:pPr>
      <w:rPr>
        <w:rFonts w:hint="default"/>
      </w:rPr>
    </w:lvl>
  </w:abstractNum>
  <w:abstractNum w:abstractNumId="14" w15:restartNumberingAfterBreak="0">
    <w:nsid w:val="745249B7"/>
    <w:multiLevelType w:val="hybridMultilevel"/>
    <w:tmpl w:val="74D2F658"/>
    <w:lvl w:ilvl="0" w:tplc="497A4CCA">
      <w:start w:val="1"/>
      <w:numFmt w:val="lowerRoman"/>
      <w:lvlText w:val="%1)"/>
      <w:lvlJc w:val="left"/>
      <w:pPr>
        <w:ind w:left="113" w:hanging="128"/>
        <w:jc w:val="left"/>
      </w:pPr>
      <w:rPr>
        <w:rFonts w:ascii="Calibri" w:eastAsia="Calibri" w:hAnsi="Calibri" w:cs="Calibri" w:hint="default"/>
        <w:i/>
        <w:spacing w:val="0"/>
        <w:w w:val="94"/>
        <w:sz w:val="18"/>
        <w:szCs w:val="18"/>
      </w:rPr>
    </w:lvl>
    <w:lvl w:ilvl="1" w:tplc="339C769E">
      <w:numFmt w:val="bullet"/>
      <w:lvlText w:val="•"/>
      <w:lvlJc w:val="left"/>
      <w:pPr>
        <w:ind w:left="385" w:hanging="128"/>
      </w:pPr>
      <w:rPr>
        <w:rFonts w:hint="default"/>
      </w:rPr>
    </w:lvl>
    <w:lvl w:ilvl="2" w:tplc="F3D49F16">
      <w:numFmt w:val="bullet"/>
      <w:lvlText w:val="•"/>
      <w:lvlJc w:val="left"/>
      <w:pPr>
        <w:ind w:left="650" w:hanging="128"/>
      </w:pPr>
      <w:rPr>
        <w:rFonts w:hint="default"/>
      </w:rPr>
    </w:lvl>
    <w:lvl w:ilvl="3" w:tplc="9476F468">
      <w:numFmt w:val="bullet"/>
      <w:lvlText w:val="•"/>
      <w:lvlJc w:val="left"/>
      <w:pPr>
        <w:ind w:left="915" w:hanging="128"/>
      </w:pPr>
      <w:rPr>
        <w:rFonts w:hint="default"/>
      </w:rPr>
    </w:lvl>
    <w:lvl w:ilvl="4" w:tplc="E5349C76">
      <w:numFmt w:val="bullet"/>
      <w:lvlText w:val="•"/>
      <w:lvlJc w:val="left"/>
      <w:pPr>
        <w:ind w:left="1180" w:hanging="128"/>
      </w:pPr>
      <w:rPr>
        <w:rFonts w:hint="default"/>
      </w:rPr>
    </w:lvl>
    <w:lvl w:ilvl="5" w:tplc="C6645D96">
      <w:numFmt w:val="bullet"/>
      <w:lvlText w:val="•"/>
      <w:lvlJc w:val="left"/>
      <w:pPr>
        <w:ind w:left="1445" w:hanging="128"/>
      </w:pPr>
      <w:rPr>
        <w:rFonts w:hint="default"/>
      </w:rPr>
    </w:lvl>
    <w:lvl w:ilvl="6" w:tplc="AA0282C4">
      <w:numFmt w:val="bullet"/>
      <w:lvlText w:val="•"/>
      <w:lvlJc w:val="left"/>
      <w:pPr>
        <w:ind w:left="1710" w:hanging="128"/>
      </w:pPr>
      <w:rPr>
        <w:rFonts w:hint="default"/>
      </w:rPr>
    </w:lvl>
    <w:lvl w:ilvl="7" w:tplc="070A7D94">
      <w:numFmt w:val="bullet"/>
      <w:lvlText w:val="•"/>
      <w:lvlJc w:val="left"/>
      <w:pPr>
        <w:ind w:left="1975" w:hanging="128"/>
      </w:pPr>
      <w:rPr>
        <w:rFonts w:hint="default"/>
      </w:rPr>
    </w:lvl>
    <w:lvl w:ilvl="8" w:tplc="2C447912">
      <w:numFmt w:val="bullet"/>
      <w:lvlText w:val="•"/>
      <w:lvlJc w:val="left"/>
      <w:pPr>
        <w:ind w:left="2240" w:hanging="128"/>
      </w:pPr>
      <w:rPr>
        <w:rFonts w:hint="default"/>
      </w:rPr>
    </w:lvl>
  </w:abstractNum>
  <w:abstractNum w:abstractNumId="15" w15:restartNumberingAfterBreak="0">
    <w:nsid w:val="7FF9477A"/>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0"/>
  </w:num>
  <w:num w:numId="2">
    <w:abstractNumId w:val="0"/>
  </w:num>
  <w:num w:numId="3">
    <w:abstractNumId w:val="2"/>
  </w:num>
  <w:num w:numId="4">
    <w:abstractNumId w:val="5"/>
  </w:num>
  <w:num w:numId="5">
    <w:abstractNumId w:val="8"/>
  </w:num>
  <w:num w:numId="6">
    <w:abstractNumId w:val="3"/>
  </w:num>
  <w:num w:numId="7">
    <w:abstractNumId w:val="6"/>
  </w:num>
  <w:num w:numId="8">
    <w:abstractNumId w:val="12"/>
  </w:num>
  <w:num w:numId="9">
    <w:abstractNumId w:val="1"/>
  </w:num>
  <w:num w:numId="10">
    <w:abstractNumId w:val="13"/>
  </w:num>
  <w:num w:numId="11">
    <w:abstractNumId w:val="9"/>
  </w:num>
  <w:num w:numId="12">
    <w:abstractNumId w:val="11"/>
  </w:num>
  <w:num w:numId="13">
    <w:abstractNumId w:val="14"/>
  </w:num>
  <w:num w:numId="14">
    <w:abstractNumId w:val="4"/>
  </w:num>
  <w:num w:numId="15">
    <w:abstractNumId w:val="7"/>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activeWritingStyle w:appName="MSWord" w:lang="zh-CN" w:vendorID="64" w:dllVersion="0" w:nlCheck="1" w:checkStyle="1"/>
  <w:activeWritingStyle w:appName="MSWord" w:lang="es-ES_tradnl"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2376"/>
    <w:rsid w:val="000125CC"/>
    <w:rsid w:val="000125FE"/>
    <w:rsid w:val="000152FB"/>
    <w:rsid w:val="00015336"/>
    <w:rsid w:val="00015EC5"/>
    <w:rsid w:val="00023F8E"/>
    <w:rsid w:val="00025067"/>
    <w:rsid w:val="00027702"/>
    <w:rsid w:val="00031BFF"/>
    <w:rsid w:val="00032FF1"/>
    <w:rsid w:val="00034CA9"/>
    <w:rsid w:val="00040C43"/>
    <w:rsid w:val="00040C74"/>
    <w:rsid w:val="000410FF"/>
    <w:rsid w:val="00042931"/>
    <w:rsid w:val="00044AA1"/>
    <w:rsid w:val="00044F78"/>
    <w:rsid w:val="000466C1"/>
    <w:rsid w:val="00046A42"/>
    <w:rsid w:val="00053F99"/>
    <w:rsid w:val="0005730C"/>
    <w:rsid w:val="00057632"/>
    <w:rsid w:val="00057F1F"/>
    <w:rsid w:val="00062D5E"/>
    <w:rsid w:val="000637CD"/>
    <w:rsid w:val="00064C78"/>
    <w:rsid w:val="00066075"/>
    <w:rsid w:val="0006656E"/>
    <w:rsid w:val="00067F09"/>
    <w:rsid w:val="000701F7"/>
    <w:rsid w:val="00070C91"/>
    <w:rsid w:val="00071027"/>
    <w:rsid w:val="000726BA"/>
    <w:rsid w:val="00075C6D"/>
    <w:rsid w:val="00084E44"/>
    <w:rsid w:val="00085AFE"/>
    <w:rsid w:val="000862C1"/>
    <w:rsid w:val="00093D61"/>
    <w:rsid w:val="0009605F"/>
    <w:rsid w:val="00096851"/>
    <w:rsid w:val="00097EB9"/>
    <w:rsid w:val="000A0188"/>
    <w:rsid w:val="000A273F"/>
    <w:rsid w:val="000B0A85"/>
    <w:rsid w:val="000B39BC"/>
    <w:rsid w:val="000B54A6"/>
    <w:rsid w:val="000B5A5A"/>
    <w:rsid w:val="000B6635"/>
    <w:rsid w:val="000B7B80"/>
    <w:rsid w:val="000C3567"/>
    <w:rsid w:val="000C401B"/>
    <w:rsid w:val="000C4609"/>
    <w:rsid w:val="000C5D9A"/>
    <w:rsid w:val="000D091A"/>
    <w:rsid w:val="000D4EB8"/>
    <w:rsid w:val="000D5CC2"/>
    <w:rsid w:val="000D7E61"/>
    <w:rsid w:val="000E1C4C"/>
    <w:rsid w:val="000E28D1"/>
    <w:rsid w:val="000E3F50"/>
    <w:rsid w:val="000E481A"/>
    <w:rsid w:val="000E6523"/>
    <w:rsid w:val="000E6F32"/>
    <w:rsid w:val="000F23FF"/>
    <w:rsid w:val="000F5D40"/>
    <w:rsid w:val="000F63B6"/>
    <w:rsid w:val="00100CF1"/>
    <w:rsid w:val="00101338"/>
    <w:rsid w:val="0010401E"/>
    <w:rsid w:val="0011199B"/>
    <w:rsid w:val="00111CC2"/>
    <w:rsid w:val="0012154D"/>
    <w:rsid w:val="00122D7B"/>
    <w:rsid w:val="00124825"/>
    <w:rsid w:val="001255D9"/>
    <w:rsid w:val="00125E26"/>
    <w:rsid w:val="00126B93"/>
    <w:rsid w:val="001270DB"/>
    <w:rsid w:val="00130375"/>
    <w:rsid w:val="0013262B"/>
    <w:rsid w:val="001332B5"/>
    <w:rsid w:val="00134957"/>
    <w:rsid w:val="0013699D"/>
    <w:rsid w:val="00143657"/>
    <w:rsid w:val="00143ECD"/>
    <w:rsid w:val="00147C2F"/>
    <w:rsid w:val="00151B1B"/>
    <w:rsid w:val="00153816"/>
    <w:rsid w:val="00156345"/>
    <w:rsid w:val="00160A8F"/>
    <w:rsid w:val="00163BC1"/>
    <w:rsid w:val="00164453"/>
    <w:rsid w:val="00164DEB"/>
    <w:rsid w:val="00164F21"/>
    <w:rsid w:val="00165F24"/>
    <w:rsid w:val="00166860"/>
    <w:rsid w:val="00166967"/>
    <w:rsid w:val="00176F77"/>
    <w:rsid w:val="0017747E"/>
    <w:rsid w:val="00180A84"/>
    <w:rsid w:val="001848B3"/>
    <w:rsid w:val="001867C5"/>
    <w:rsid w:val="00190F84"/>
    <w:rsid w:val="00193E67"/>
    <w:rsid w:val="00197DC3"/>
    <w:rsid w:val="001A016D"/>
    <w:rsid w:val="001A0A77"/>
    <w:rsid w:val="001A398C"/>
    <w:rsid w:val="001A7EE2"/>
    <w:rsid w:val="001B199A"/>
    <w:rsid w:val="001B449D"/>
    <w:rsid w:val="001B5180"/>
    <w:rsid w:val="001B5E6F"/>
    <w:rsid w:val="001B7B99"/>
    <w:rsid w:val="001C4FED"/>
    <w:rsid w:val="001C5469"/>
    <w:rsid w:val="001C754A"/>
    <w:rsid w:val="001C7957"/>
    <w:rsid w:val="001D1F2A"/>
    <w:rsid w:val="001D36F1"/>
    <w:rsid w:val="001D4E11"/>
    <w:rsid w:val="001D6238"/>
    <w:rsid w:val="001D6CA9"/>
    <w:rsid w:val="001E0E3F"/>
    <w:rsid w:val="001E64CF"/>
    <w:rsid w:val="001E7B54"/>
    <w:rsid w:val="001F0D76"/>
    <w:rsid w:val="001F230A"/>
    <w:rsid w:val="001F2819"/>
    <w:rsid w:val="001F7F9D"/>
    <w:rsid w:val="0020461E"/>
    <w:rsid w:val="00205B9B"/>
    <w:rsid w:val="00210160"/>
    <w:rsid w:val="002105D3"/>
    <w:rsid w:val="00212203"/>
    <w:rsid w:val="002125C8"/>
    <w:rsid w:val="00212782"/>
    <w:rsid w:val="002139DF"/>
    <w:rsid w:val="00213F64"/>
    <w:rsid w:val="0021475C"/>
    <w:rsid w:val="00217892"/>
    <w:rsid w:val="00217D3E"/>
    <w:rsid w:val="002202DA"/>
    <w:rsid w:val="00220894"/>
    <w:rsid w:val="00223738"/>
    <w:rsid w:val="00230A58"/>
    <w:rsid w:val="00231911"/>
    <w:rsid w:val="00235519"/>
    <w:rsid w:val="00236087"/>
    <w:rsid w:val="0023782D"/>
    <w:rsid w:val="00244DD5"/>
    <w:rsid w:val="00244FE9"/>
    <w:rsid w:val="00245FA7"/>
    <w:rsid w:val="002469DF"/>
    <w:rsid w:val="002475D4"/>
    <w:rsid w:val="00252780"/>
    <w:rsid w:val="0025372B"/>
    <w:rsid w:val="0025545F"/>
    <w:rsid w:val="00257321"/>
    <w:rsid w:val="00257F64"/>
    <w:rsid w:val="00260969"/>
    <w:rsid w:val="002618B7"/>
    <w:rsid w:val="0026202B"/>
    <w:rsid w:val="0026409B"/>
    <w:rsid w:val="00270B43"/>
    <w:rsid w:val="00270B53"/>
    <w:rsid w:val="00271FBB"/>
    <w:rsid w:val="00272760"/>
    <w:rsid w:val="00272BC9"/>
    <w:rsid w:val="00273223"/>
    <w:rsid w:val="00273394"/>
    <w:rsid w:val="00277FAD"/>
    <w:rsid w:val="0028239A"/>
    <w:rsid w:val="00284D6A"/>
    <w:rsid w:val="0028714C"/>
    <w:rsid w:val="00287274"/>
    <w:rsid w:val="002875A7"/>
    <w:rsid w:val="0029184A"/>
    <w:rsid w:val="00293996"/>
    <w:rsid w:val="0029433F"/>
    <w:rsid w:val="002A1CF6"/>
    <w:rsid w:val="002A5E59"/>
    <w:rsid w:val="002A7359"/>
    <w:rsid w:val="002B029D"/>
    <w:rsid w:val="002B1C21"/>
    <w:rsid w:val="002B3173"/>
    <w:rsid w:val="002B40B7"/>
    <w:rsid w:val="002B4BDB"/>
    <w:rsid w:val="002B4CFF"/>
    <w:rsid w:val="002B5B2B"/>
    <w:rsid w:val="002B6F67"/>
    <w:rsid w:val="002C08BD"/>
    <w:rsid w:val="002C56E5"/>
    <w:rsid w:val="002C69D1"/>
    <w:rsid w:val="002D19C6"/>
    <w:rsid w:val="002D1F1D"/>
    <w:rsid w:val="002D3E0C"/>
    <w:rsid w:val="002D4214"/>
    <w:rsid w:val="002D65E1"/>
    <w:rsid w:val="002E228E"/>
    <w:rsid w:val="002E2A2C"/>
    <w:rsid w:val="002E3D9D"/>
    <w:rsid w:val="002E6F9F"/>
    <w:rsid w:val="002F05AC"/>
    <w:rsid w:val="002F17B8"/>
    <w:rsid w:val="002F26C7"/>
    <w:rsid w:val="002F59ED"/>
    <w:rsid w:val="00301A07"/>
    <w:rsid w:val="00303D06"/>
    <w:rsid w:val="0031076A"/>
    <w:rsid w:val="0031078D"/>
    <w:rsid w:val="0031139B"/>
    <w:rsid w:val="0031317B"/>
    <w:rsid w:val="00313E45"/>
    <w:rsid w:val="003157C5"/>
    <w:rsid w:val="00315CE4"/>
    <w:rsid w:val="00317662"/>
    <w:rsid w:val="00320994"/>
    <w:rsid w:val="003214DD"/>
    <w:rsid w:val="00321B19"/>
    <w:rsid w:val="00324672"/>
    <w:rsid w:val="0032563F"/>
    <w:rsid w:val="00327954"/>
    <w:rsid w:val="00331331"/>
    <w:rsid w:val="0033253A"/>
    <w:rsid w:val="00333E34"/>
    <w:rsid w:val="00334720"/>
    <w:rsid w:val="003355EA"/>
    <w:rsid w:val="003413B1"/>
    <w:rsid w:val="00343E5F"/>
    <w:rsid w:val="003465F0"/>
    <w:rsid w:val="0035201C"/>
    <w:rsid w:val="00353764"/>
    <w:rsid w:val="00355915"/>
    <w:rsid w:val="00363E47"/>
    <w:rsid w:val="0036554B"/>
    <w:rsid w:val="00366801"/>
    <w:rsid w:val="00366AB7"/>
    <w:rsid w:val="00371299"/>
    <w:rsid w:val="003731C5"/>
    <w:rsid w:val="003753BC"/>
    <w:rsid w:val="00381F92"/>
    <w:rsid w:val="00384639"/>
    <w:rsid w:val="00386DB2"/>
    <w:rsid w:val="00396755"/>
    <w:rsid w:val="003A0C3E"/>
    <w:rsid w:val="003A4536"/>
    <w:rsid w:val="003A5457"/>
    <w:rsid w:val="003A6C6F"/>
    <w:rsid w:val="003B1117"/>
    <w:rsid w:val="003B1253"/>
    <w:rsid w:val="003B7B57"/>
    <w:rsid w:val="003C5780"/>
    <w:rsid w:val="003D2575"/>
    <w:rsid w:val="003D31A8"/>
    <w:rsid w:val="003D3B99"/>
    <w:rsid w:val="003E3394"/>
    <w:rsid w:val="003E3A84"/>
    <w:rsid w:val="003E4155"/>
    <w:rsid w:val="003E64CD"/>
    <w:rsid w:val="003F5632"/>
    <w:rsid w:val="004005BF"/>
    <w:rsid w:val="004024C7"/>
    <w:rsid w:val="0040336C"/>
    <w:rsid w:val="0040391C"/>
    <w:rsid w:val="004041BF"/>
    <w:rsid w:val="004114F2"/>
    <w:rsid w:val="0041471F"/>
    <w:rsid w:val="00415394"/>
    <w:rsid w:val="00417BE5"/>
    <w:rsid w:val="00417CA7"/>
    <w:rsid w:val="00420219"/>
    <w:rsid w:val="004219E8"/>
    <w:rsid w:val="00421B58"/>
    <w:rsid w:val="00426CB0"/>
    <w:rsid w:val="00426CC1"/>
    <w:rsid w:val="004279B1"/>
    <w:rsid w:val="00427F27"/>
    <w:rsid w:val="004316B4"/>
    <w:rsid w:val="0043316F"/>
    <w:rsid w:val="00433176"/>
    <w:rsid w:val="0043516D"/>
    <w:rsid w:val="00435B90"/>
    <w:rsid w:val="0044056D"/>
    <w:rsid w:val="004430C5"/>
    <w:rsid w:val="00443A7C"/>
    <w:rsid w:val="004504DA"/>
    <w:rsid w:val="004505BA"/>
    <w:rsid w:val="004527D0"/>
    <w:rsid w:val="00454CE0"/>
    <w:rsid w:val="00457B09"/>
    <w:rsid w:val="004643A1"/>
    <w:rsid w:val="004646A1"/>
    <w:rsid w:val="00474B79"/>
    <w:rsid w:val="00484D0B"/>
    <w:rsid w:val="004902A1"/>
    <w:rsid w:val="00490987"/>
    <w:rsid w:val="00491439"/>
    <w:rsid w:val="00492912"/>
    <w:rsid w:val="00493800"/>
    <w:rsid w:val="00497305"/>
    <w:rsid w:val="00497869"/>
    <w:rsid w:val="00497993"/>
    <w:rsid w:val="004A0EEC"/>
    <w:rsid w:val="004A4580"/>
    <w:rsid w:val="004A4B80"/>
    <w:rsid w:val="004A4C48"/>
    <w:rsid w:val="004A4D10"/>
    <w:rsid w:val="004A4FDF"/>
    <w:rsid w:val="004A691A"/>
    <w:rsid w:val="004B3311"/>
    <w:rsid w:val="004B5C1D"/>
    <w:rsid w:val="004C009A"/>
    <w:rsid w:val="004C110A"/>
    <w:rsid w:val="004C3ADF"/>
    <w:rsid w:val="004C54B6"/>
    <w:rsid w:val="004C5FE5"/>
    <w:rsid w:val="004D0732"/>
    <w:rsid w:val="004D212E"/>
    <w:rsid w:val="004D28C4"/>
    <w:rsid w:val="004D41B9"/>
    <w:rsid w:val="004D54E9"/>
    <w:rsid w:val="004D7427"/>
    <w:rsid w:val="004E0B17"/>
    <w:rsid w:val="004E30C4"/>
    <w:rsid w:val="004E3492"/>
    <w:rsid w:val="004E4EFB"/>
    <w:rsid w:val="004E5DC0"/>
    <w:rsid w:val="004F450D"/>
    <w:rsid w:val="004F47B2"/>
    <w:rsid w:val="00500552"/>
    <w:rsid w:val="005015A4"/>
    <w:rsid w:val="00501641"/>
    <w:rsid w:val="005018A5"/>
    <w:rsid w:val="00502B57"/>
    <w:rsid w:val="00504E98"/>
    <w:rsid w:val="00505CCF"/>
    <w:rsid w:val="005061C2"/>
    <w:rsid w:val="0050728D"/>
    <w:rsid w:val="00507B60"/>
    <w:rsid w:val="005103E9"/>
    <w:rsid w:val="005103EA"/>
    <w:rsid w:val="00511BDC"/>
    <w:rsid w:val="00512C73"/>
    <w:rsid w:val="00517970"/>
    <w:rsid w:val="0052098B"/>
    <w:rsid w:val="00521CE6"/>
    <w:rsid w:val="00525EA8"/>
    <w:rsid w:val="00526DF7"/>
    <w:rsid w:val="00531156"/>
    <w:rsid w:val="00534699"/>
    <w:rsid w:val="005349E2"/>
    <w:rsid w:val="005350C2"/>
    <w:rsid w:val="00535534"/>
    <w:rsid w:val="005358B0"/>
    <w:rsid w:val="00535EA9"/>
    <w:rsid w:val="00536B04"/>
    <w:rsid w:val="00542489"/>
    <w:rsid w:val="005442DA"/>
    <w:rsid w:val="005519E0"/>
    <w:rsid w:val="00556C1E"/>
    <w:rsid w:val="00560FA4"/>
    <w:rsid w:val="005638E8"/>
    <w:rsid w:val="00563BAA"/>
    <w:rsid w:val="0056419E"/>
    <w:rsid w:val="005660A2"/>
    <w:rsid w:val="0056735F"/>
    <w:rsid w:val="00577DB8"/>
    <w:rsid w:val="0058095F"/>
    <w:rsid w:val="00585119"/>
    <w:rsid w:val="0059352D"/>
    <w:rsid w:val="00594BD0"/>
    <w:rsid w:val="005A5309"/>
    <w:rsid w:val="005A69BB"/>
    <w:rsid w:val="005B1A87"/>
    <w:rsid w:val="005B3E1C"/>
    <w:rsid w:val="005B6B0F"/>
    <w:rsid w:val="005C60EC"/>
    <w:rsid w:val="005D1540"/>
    <w:rsid w:val="005D2C50"/>
    <w:rsid w:val="005D4B28"/>
    <w:rsid w:val="005D64A3"/>
    <w:rsid w:val="005D6B36"/>
    <w:rsid w:val="005D6DB4"/>
    <w:rsid w:val="005D6FFB"/>
    <w:rsid w:val="005E366D"/>
    <w:rsid w:val="005E3703"/>
    <w:rsid w:val="005E53E3"/>
    <w:rsid w:val="005E6A84"/>
    <w:rsid w:val="005E7CEF"/>
    <w:rsid w:val="005E7DE4"/>
    <w:rsid w:val="005F4250"/>
    <w:rsid w:val="005F535D"/>
    <w:rsid w:val="005F6147"/>
    <w:rsid w:val="006001A0"/>
    <w:rsid w:val="00602B90"/>
    <w:rsid w:val="00605FE3"/>
    <w:rsid w:val="00606522"/>
    <w:rsid w:val="00606A25"/>
    <w:rsid w:val="00606B3C"/>
    <w:rsid w:val="006109BC"/>
    <w:rsid w:val="00612EEF"/>
    <w:rsid w:val="00614509"/>
    <w:rsid w:val="006220F3"/>
    <w:rsid w:val="006316F9"/>
    <w:rsid w:val="0063359A"/>
    <w:rsid w:val="0063498A"/>
    <w:rsid w:val="0063526A"/>
    <w:rsid w:val="00635927"/>
    <w:rsid w:val="00637D56"/>
    <w:rsid w:val="00640279"/>
    <w:rsid w:val="006503DB"/>
    <w:rsid w:val="00650CAE"/>
    <w:rsid w:val="00651EE8"/>
    <w:rsid w:val="006530B5"/>
    <w:rsid w:val="00657005"/>
    <w:rsid w:val="0065732A"/>
    <w:rsid w:val="00663442"/>
    <w:rsid w:val="006653A8"/>
    <w:rsid w:val="006667AF"/>
    <w:rsid w:val="00666938"/>
    <w:rsid w:val="00670983"/>
    <w:rsid w:val="00672100"/>
    <w:rsid w:val="00675434"/>
    <w:rsid w:val="00675CBB"/>
    <w:rsid w:val="00682143"/>
    <w:rsid w:val="00682F1F"/>
    <w:rsid w:val="00686350"/>
    <w:rsid w:val="0069055A"/>
    <w:rsid w:val="00691099"/>
    <w:rsid w:val="0069109A"/>
    <w:rsid w:val="0069320F"/>
    <w:rsid w:val="006943EC"/>
    <w:rsid w:val="0069732B"/>
    <w:rsid w:val="006A1E5D"/>
    <w:rsid w:val="006A48F4"/>
    <w:rsid w:val="006A4979"/>
    <w:rsid w:val="006A7D35"/>
    <w:rsid w:val="006B17FF"/>
    <w:rsid w:val="006B7852"/>
    <w:rsid w:val="006B7F15"/>
    <w:rsid w:val="006C3B83"/>
    <w:rsid w:val="006C71DF"/>
    <w:rsid w:val="006D0267"/>
    <w:rsid w:val="006D2330"/>
    <w:rsid w:val="006D2487"/>
    <w:rsid w:val="006D42C5"/>
    <w:rsid w:val="006D44A7"/>
    <w:rsid w:val="006D62BF"/>
    <w:rsid w:val="006D6480"/>
    <w:rsid w:val="006E07C1"/>
    <w:rsid w:val="006E259C"/>
    <w:rsid w:val="006E31C5"/>
    <w:rsid w:val="006E4B24"/>
    <w:rsid w:val="006E6691"/>
    <w:rsid w:val="006E7BE3"/>
    <w:rsid w:val="006F2D9C"/>
    <w:rsid w:val="006F4018"/>
    <w:rsid w:val="006F4D2F"/>
    <w:rsid w:val="006F690B"/>
    <w:rsid w:val="006F7175"/>
    <w:rsid w:val="006F749B"/>
    <w:rsid w:val="00700920"/>
    <w:rsid w:val="007055EE"/>
    <w:rsid w:val="00710E64"/>
    <w:rsid w:val="00711190"/>
    <w:rsid w:val="00711C37"/>
    <w:rsid w:val="0071235B"/>
    <w:rsid w:val="007141B4"/>
    <w:rsid w:val="00714925"/>
    <w:rsid w:val="00714BDA"/>
    <w:rsid w:val="00715753"/>
    <w:rsid w:val="00720184"/>
    <w:rsid w:val="007201ED"/>
    <w:rsid w:val="007204B5"/>
    <w:rsid w:val="007209E4"/>
    <w:rsid w:val="007213D4"/>
    <w:rsid w:val="007221B6"/>
    <w:rsid w:val="00722480"/>
    <w:rsid w:val="007245CD"/>
    <w:rsid w:val="00724808"/>
    <w:rsid w:val="007276E3"/>
    <w:rsid w:val="00730A1B"/>
    <w:rsid w:val="007315AC"/>
    <w:rsid w:val="007317CE"/>
    <w:rsid w:val="00734777"/>
    <w:rsid w:val="007372EB"/>
    <w:rsid w:val="00745198"/>
    <w:rsid w:val="0074737D"/>
    <w:rsid w:val="00752407"/>
    <w:rsid w:val="00757269"/>
    <w:rsid w:val="007638D3"/>
    <w:rsid w:val="00763E4A"/>
    <w:rsid w:val="00767D29"/>
    <w:rsid w:val="0077334E"/>
    <w:rsid w:val="00773A1C"/>
    <w:rsid w:val="00774A25"/>
    <w:rsid w:val="007769E4"/>
    <w:rsid w:val="00781F9F"/>
    <w:rsid w:val="00782815"/>
    <w:rsid w:val="007849CA"/>
    <w:rsid w:val="00790599"/>
    <w:rsid w:val="007924A3"/>
    <w:rsid w:val="0079321A"/>
    <w:rsid w:val="00793AA1"/>
    <w:rsid w:val="007969B7"/>
    <w:rsid w:val="0079709E"/>
    <w:rsid w:val="007A0AB4"/>
    <w:rsid w:val="007A2D89"/>
    <w:rsid w:val="007A3AFF"/>
    <w:rsid w:val="007A79E6"/>
    <w:rsid w:val="007B6F4B"/>
    <w:rsid w:val="007B71CA"/>
    <w:rsid w:val="007D0D7C"/>
    <w:rsid w:val="007D2FE3"/>
    <w:rsid w:val="007D36A2"/>
    <w:rsid w:val="007D3F70"/>
    <w:rsid w:val="007D5503"/>
    <w:rsid w:val="007D55EA"/>
    <w:rsid w:val="007D71FE"/>
    <w:rsid w:val="007E1184"/>
    <w:rsid w:val="007E1BA1"/>
    <w:rsid w:val="007E3B78"/>
    <w:rsid w:val="007F0A6A"/>
    <w:rsid w:val="007F43AC"/>
    <w:rsid w:val="007F5DE1"/>
    <w:rsid w:val="007F6743"/>
    <w:rsid w:val="007F6B37"/>
    <w:rsid w:val="008013F8"/>
    <w:rsid w:val="00805B0F"/>
    <w:rsid w:val="008064B5"/>
    <w:rsid w:val="00807E2B"/>
    <w:rsid w:val="008103D1"/>
    <w:rsid w:val="00811CBD"/>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C1A"/>
    <w:rsid w:val="00843A47"/>
    <w:rsid w:val="00846659"/>
    <w:rsid w:val="00846D18"/>
    <w:rsid w:val="00853187"/>
    <w:rsid w:val="008550F1"/>
    <w:rsid w:val="00856954"/>
    <w:rsid w:val="00856B73"/>
    <w:rsid w:val="00860379"/>
    <w:rsid w:val="00861016"/>
    <w:rsid w:val="00861590"/>
    <w:rsid w:val="008624E2"/>
    <w:rsid w:val="008626EC"/>
    <w:rsid w:val="00862DAB"/>
    <w:rsid w:val="00863A35"/>
    <w:rsid w:val="008648F2"/>
    <w:rsid w:val="008667DD"/>
    <w:rsid w:val="00870045"/>
    <w:rsid w:val="00871104"/>
    <w:rsid w:val="008720A2"/>
    <w:rsid w:val="00877B4C"/>
    <w:rsid w:val="00880F28"/>
    <w:rsid w:val="00881D74"/>
    <w:rsid w:val="00881DFC"/>
    <w:rsid w:val="008839A7"/>
    <w:rsid w:val="008848F7"/>
    <w:rsid w:val="0088700B"/>
    <w:rsid w:val="008879E6"/>
    <w:rsid w:val="0089351C"/>
    <w:rsid w:val="008962A2"/>
    <w:rsid w:val="008A4781"/>
    <w:rsid w:val="008A7251"/>
    <w:rsid w:val="008B2212"/>
    <w:rsid w:val="008B2B49"/>
    <w:rsid w:val="008B3570"/>
    <w:rsid w:val="008B35AC"/>
    <w:rsid w:val="008B46AB"/>
    <w:rsid w:val="008B71DF"/>
    <w:rsid w:val="008C055A"/>
    <w:rsid w:val="008C0D96"/>
    <w:rsid w:val="008C1C2E"/>
    <w:rsid w:val="008C30FB"/>
    <w:rsid w:val="008C5772"/>
    <w:rsid w:val="008C6052"/>
    <w:rsid w:val="008D2F7A"/>
    <w:rsid w:val="008D78C3"/>
    <w:rsid w:val="008E3912"/>
    <w:rsid w:val="008E4611"/>
    <w:rsid w:val="008E7A21"/>
    <w:rsid w:val="008E7D58"/>
    <w:rsid w:val="008F3970"/>
    <w:rsid w:val="008F4A73"/>
    <w:rsid w:val="00903DCE"/>
    <w:rsid w:val="00905285"/>
    <w:rsid w:val="00906C9E"/>
    <w:rsid w:val="00906E5D"/>
    <w:rsid w:val="009165F9"/>
    <w:rsid w:val="00921D65"/>
    <w:rsid w:val="00925E0C"/>
    <w:rsid w:val="00933FDE"/>
    <w:rsid w:val="00936F2C"/>
    <w:rsid w:val="009378D7"/>
    <w:rsid w:val="0094014B"/>
    <w:rsid w:val="009477E0"/>
    <w:rsid w:val="00953057"/>
    <w:rsid w:val="009545A0"/>
    <w:rsid w:val="009545F6"/>
    <w:rsid w:val="00954A51"/>
    <w:rsid w:val="00955D1C"/>
    <w:rsid w:val="00957A94"/>
    <w:rsid w:val="00957D29"/>
    <w:rsid w:val="00960BD7"/>
    <w:rsid w:val="00962F56"/>
    <w:rsid w:val="0096314F"/>
    <w:rsid w:val="00963D5B"/>
    <w:rsid w:val="00973E02"/>
    <w:rsid w:val="00973E59"/>
    <w:rsid w:val="00975600"/>
    <w:rsid w:val="009833E1"/>
    <w:rsid w:val="00984E74"/>
    <w:rsid w:val="0098631E"/>
    <w:rsid w:val="0098720D"/>
    <w:rsid w:val="009873EC"/>
    <w:rsid w:val="00987DD4"/>
    <w:rsid w:val="0099241C"/>
    <w:rsid w:val="00992C73"/>
    <w:rsid w:val="00996015"/>
    <w:rsid w:val="009A2C21"/>
    <w:rsid w:val="009A39D8"/>
    <w:rsid w:val="009A3AAC"/>
    <w:rsid w:val="009A53BA"/>
    <w:rsid w:val="009B0249"/>
    <w:rsid w:val="009B0E5E"/>
    <w:rsid w:val="009B19FF"/>
    <w:rsid w:val="009B3334"/>
    <w:rsid w:val="009B35D7"/>
    <w:rsid w:val="009B4498"/>
    <w:rsid w:val="009B573D"/>
    <w:rsid w:val="009B66AE"/>
    <w:rsid w:val="009B77DC"/>
    <w:rsid w:val="009C06EA"/>
    <w:rsid w:val="009D0EB6"/>
    <w:rsid w:val="009D1215"/>
    <w:rsid w:val="009D2F5B"/>
    <w:rsid w:val="009D3FCD"/>
    <w:rsid w:val="009D73C7"/>
    <w:rsid w:val="009E27DF"/>
    <w:rsid w:val="009E36C5"/>
    <w:rsid w:val="009E7415"/>
    <w:rsid w:val="009F0DDF"/>
    <w:rsid w:val="009F33C4"/>
    <w:rsid w:val="009F6CA1"/>
    <w:rsid w:val="009F7ED6"/>
    <w:rsid w:val="00A03125"/>
    <w:rsid w:val="00A0326A"/>
    <w:rsid w:val="00A03C9B"/>
    <w:rsid w:val="00A05A80"/>
    <w:rsid w:val="00A06E67"/>
    <w:rsid w:val="00A07D75"/>
    <w:rsid w:val="00A10341"/>
    <w:rsid w:val="00A11FAA"/>
    <w:rsid w:val="00A1295C"/>
    <w:rsid w:val="00A14AE8"/>
    <w:rsid w:val="00A15ACB"/>
    <w:rsid w:val="00A1617D"/>
    <w:rsid w:val="00A16424"/>
    <w:rsid w:val="00A17B4E"/>
    <w:rsid w:val="00A237B6"/>
    <w:rsid w:val="00A23DF3"/>
    <w:rsid w:val="00A2629D"/>
    <w:rsid w:val="00A273A8"/>
    <w:rsid w:val="00A307EB"/>
    <w:rsid w:val="00A310AD"/>
    <w:rsid w:val="00A36C73"/>
    <w:rsid w:val="00A37FF1"/>
    <w:rsid w:val="00A40438"/>
    <w:rsid w:val="00A432D8"/>
    <w:rsid w:val="00A4351F"/>
    <w:rsid w:val="00A457BC"/>
    <w:rsid w:val="00A56858"/>
    <w:rsid w:val="00A56C7F"/>
    <w:rsid w:val="00A62714"/>
    <w:rsid w:val="00A65DAA"/>
    <w:rsid w:val="00A71451"/>
    <w:rsid w:val="00A719EE"/>
    <w:rsid w:val="00A740DB"/>
    <w:rsid w:val="00A741CA"/>
    <w:rsid w:val="00A80158"/>
    <w:rsid w:val="00A80645"/>
    <w:rsid w:val="00A827C1"/>
    <w:rsid w:val="00A82AA0"/>
    <w:rsid w:val="00A8316A"/>
    <w:rsid w:val="00A832EA"/>
    <w:rsid w:val="00A852C7"/>
    <w:rsid w:val="00A86A47"/>
    <w:rsid w:val="00A86B35"/>
    <w:rsid w:val="00A90726"/>
    <w:rsid w:val="00A94212"/>
    <w:rsid w:val="00A94C29"/>
    <w:rsid w:val="00A951D6"/>
    <w:rsid w:val="00AA08A6"/>
    <w:rsid w:val="00AA5D1E"/>
    <w:rsid w:val="00AA5E9D"/>
    <w:rsid w:val="00AA7F5C"/>
    <w:rsid w:val="00AB22E5"/>
    <w:rsid w:val="00AB27E9"/>
    <w:rsid w:val="00AB60F8"/>
    <w:rsid w:val="00AB7C49"/>
    <w:rsid w:val="00AC11B1"/>
    <w:rsid w:val="00AC1485"/>
    <w:rsid w:val="00AC2957"/>
    <w:rsid w:val="00AC4DEF"/>
    <w:rsid w:val="00AC51F2"/>
    <w:rsid w:val="00AC5857"/>
    <w:rsid w:val="00AC6142"/>
    <w:rsid w:val="00AC6AA2"/>
    <w:rsid w:val="00AC6DC6"/>
    <w:rsid w:val="00AD1F11"/>
    <w:rsid w:val="00AD1FA1"/>
    <w:rsid w:val="00AD2E2C"/>
    <w:rsid w:val="00AE31B6"/>
    <w:rsid w:val="00AE47F1"/>
    <w:rsid w:val="00AE7BC7"/>
    <w:rsid w:val="00AF0EAC"/>
    <w:rsid w:val="00AF5C9D"/>
    <w:rsid w:val="00AF603D"/>
    <w:rsid w:val="00B01D54"/>
    <w:rsid w:val="00B0569F"/>
    <w:rsid w:val="00B11053"/>
    <w:rsid w:val="00B114D1"/>
    <w:rsid w:val="00B12EB4"/>
    <w:rsid w:val="00B130D9"/>
    <w:rsid w:val="00B13250"/>
    <w:rsid w:val="00B13EFE"/>
    <w:rsid w:val="00B20514"/>
    <w:rsid w:val="00B30463"/>
    <w:rsid w:val="00B3245C"/>
    <w:rsid w:val="00B37EED"/>
    <w:rsid w:val="00B47FA5"/>
    <w:rsid w:val="00B50592"/>
    <w:rsid w:val="00B525C8"/>
    <w:rsid w:val="00B53CCD"/>
    <w:rsid w:val="00B5681C"/>
    <w:rsid w:val="00B60A1E"/>
    <w:rsid w:val="00B62B01"/>
    <w:rsid w:val="00B634CE"/>
    <w:rsid w:val="00B654C1"/>
    <w:rsid w:val="00B6590F"/>
    <w:rsid w:val="00B6636C"/>
    <w:rsid w:val="00B673B0"/>
    <w:rsid w:val="00B71183"/>
    <w:rsid w:val="00B748BC"/>
    <w:rsid w:val="00B7566A"/>
    <w:rsid w:val="00B76045"/>
    <w:rsid w:val="00B7778D"/>
    <w:rsid w:val="00B80960"/>
    <w:rsid w:val="00B82287"/>
    <w:rsid w:val="00B84796"/>
    <w:rsid w:val="00B84A1E"/>
    <w:rsid w:val="00B87874"/>
    <w:rsid w:val="00B913F0"/>
    <w:rsid w:val="00B91464"/>
    <w:rsid w:val="00B95CC7"/>
    <w:rsid w:val="00BA18C3"/>
    <w:rsid w:val="00BA60B4"/>
    <w:rsid w:val="00BA7F9B"/>
    <w:rsid w:val="00BB18CA"/>
    <w:rsid w:val="00BB76E3"/>
    <w:rsid w:val="00BC03EB"/>
    <w:rsid w:val="00BC132E"/>
    <w:rsid w:val="00BC243D"/>
    <w:rsid w:val="00BC2A8D"/>
    <w:rsid w:val="00BD09C7"/>
    <w:rsid w:val="00BD0BAC"/>
    <w:rsid w:val="00BD147D"/>
    <w:rsid w:val="00BD454C"/>
    <w:rsid w:val="00BD511A"/>
    <w:rsid w:val="00BD71D6"/>
    <w:rsid w:val="00BD7A1E"/>
    <w:rsid w:val="00BE2839"/>
    <w:rsid w:val="00BE3612"/>
    <w:rsid w:val="00BE3E8A"/>
    <w:rsid w:val="00BE4ECD"/>
    <w:rsid w:val="00BE6311"/>
    <w:rsid w:val="00BF26BB"/>
    <w:rsid w:val="00BF4F8D"/>
    <w:rsid w:val="00BF6F06"/>
    <w:rsid w:val="00BF7235"/>
    <w:rsid w:val="00C021F6"/>
    <w:rsid w:val="00C0575F"/>
    <w:rsid w:val="00C05C0C"/>
    <w:rsid w:val="00C05E41"/>
    <w:rsid w:val="00C0600E"/>
    <w:rsid w:val="00C1100C"/>
    <w:rsid w:val="00C13A0D"/>
    <w:rsid w:val="00C248EE"/>
    <w:rsid w:val="00C27459"/>
    <w:rsid w:val="00C32F83"/>
    <w:rsid w:val="00C3430F"/>
    <w:rsid w:val="00C364B4"/>
    <w:rsid w:val="00C40886"/>
    <w:rsid w:val="00C4373B"/>
    <w:rsid w:val="00C50711"/>
    <w:rsid w:val="00C516F7"/>
    <w:rsid w:val="00C55B74"/>
    <w:rsid w:val="00C55D1F"/>
    <w:rsid w:val="00C56D36"/>
    <w:rsid w:val="00C658A2"/>
    <w:rsid w:val="00C71BD5"/>
    <w:rsid w:val="00C72229"/>
    <w:rsid w:val="00C73040"/>
    <w:rsid w:val="00C734D9"/>
    <w:rsid w:val="00C73D3C"/>
    <w:rsid w:val="00C74A3B"/>
    <w:rsid w:val="00C752FE"/>
    <w:rsid w:val="00C76716"/>
    <w:rsid w:val="00C76D2C"/>
    <w:rsid w:val="00C864D9"/>
    <w:rsid w:val="00C915F6"/>
    <w:rsid w:val="00C9353F"/>
    <w:rsid w:val="00CA71FC"/>
    <w:rsid w:val="00CB063C"/>
    <w:rsid w:val="00CB3B85"/>
    <w:rsid w:val="00CB529B"/>
    <w:rsid w:val="00CC624D"/>
    <w:rsid w:val="00CD0520"/>
    <w:rsid w:val="00CD54C5"/>
    <w:rsid w:val="00CE0A92"/>
    <w:rsid w:val="00CE3272"/>
    <w:rsid w:val="00CE5D39"/>
    <w:rsid w:val="00CE61A0"/>
    <w:rsid w:val="00CE67C3"/>
    <w:rsid w:val="00CF0C99"/>
    <w:rsid w:val="00CF25D4"/>
    <w:rsid w:val="00CF4B07"/>
    <w:rsid w:val="00CF4DBC"/>
    <w:rsid w:val="00CF79D2"/>
    <w:rsid w:val="00D03DA5"/>
    <w:rsid w:val="00D04AD3"/>
    <w:rsid w:val="00D06060"/>
    <w:rsid w:val="00D11498"/>
    <w:rsid w:val="00D11DE3"/>
    <w:rsid w:val="00D129B4"/>
    <w:rsid w:val="00D1342E"/>
    <w:rsid w:val="00D16765"/>
    <w:rsid w:val="00D17ACC"/>
    <w:rsid w:val="00D22A76"/>
    <w:rsid w:val="00D265C2"/>
    <w:rsid w:val="00D27198"/>
    <w:rsid w:val="00D33B9C"/>
    <w:rsid w:val="00D34D27"/>
    <w:rsid w:val="00D35F8D"/>
    <w:rsid w:val="00D400BC"/>
    <w:rsid w:val="00D40296"/>
    <w:rsid w:val="00D402E2"/>
    <w:rsid w:val="00D42AEB"/>
    <w:rsid w:val="00D44D34"/>
    <w:rsid w:val="00D463E9"/>
    <w:rsid w:val="00D47B80"/>
    <w:rsid w:val="00D51CF6"/>
    <w:rsid w:val="00D52D49"/>
    <w:rsid w:val="00D52DBB"/>
    <w:rsid w:val="00D52FA8"/>
    <w:rsid w:val="00D56958"/>
    <w:rsid w:val="00D61AF0"/>
    <w:rsid w:val="00D6464B"/>
    <w:rsid w:val="00D70C66"/>
    <w:rsid w:val="00D7301C"/>
    <w:rsid w:val="00D73615"/>
    <w:rsid w:val="00D755C2"/>
    <w:rsid w:val="00D7580A"/>
    <w:rsid w:val="00D761A1"/>
    <w:rsid w:val="00D76BA2"/>
    <w:rsid w:val="00D815DE"/>
    <w:rsid w:val="00D81FE9"/>
    <w:rsid w:val="00D873DE"/>
    <w:rsid w:val="00D93AB5"/>
    <w:rsid w:val="00D97743"/>
    <w:rsid w:val="00DA0458"/>
    <w:rsid w:val="00DA0C35"/>
    <w:rsid w:val="00DA232B"/>
    <w:rsid w:val="00DA2450"/>
    <w:rsid w:val="00DA65DF"/>
    <w:rsid w:val="00DB192E"/>
    <w:rsid w:val="00DB250E"/>
    <w:rsid w:val="00DB4686"/>
    <w:rsid w:val="00DB4786"/>
    <w:rsid w:val="00DB4C68"/>
    <w:rsid w:val="00DC28F1"/>
    <w:rsid w:val="00DC64DD"/>
    <w:rsid w:val="00DC6C58"/>
    <w:rsid w:val="00DC71DC"/>
    <w:rsid w:val="00DC7556"/>
    <w:rsid w:val="00DD0FFB"/>
    <w:rsid w:val="00DD407B"/>
    <w:rsid w:val="00DD5AD2"/>
    <w:rsid w:val="00DD75EF"/>
    <w:rsid w:val="00DE3E20"/>
    <w:rsid w:val="00DE5499"/>
    <w:rsid w:val="00DE7E7B"/>
    <w:rsid w:val="00DE7FC3"/>
    <w:rsid w:val="00DF02EA"/>
    <w:rsid w:val="00DF123A"/>
    <w:rsid w:val="00DF2691"/>
    <w:rsid w:val="00DF48EA"/>
    <w:rsid w:val="00DF4B34"/>
    <w:rsid w:val="00DF5337"/>
    <w:rsid w:val="00DF709A"/>
    <w:rsid w:val="00DF7398"/>
    <w:rsid w:val="00E01B67"/>
    <w:rsid w:val="00E10712"/>
    <w:rsid w:val="00E124F4"/>
    <w:rsid w:val="00E125F8"/>
    <w:rsid w:val="00E12961"/>
    <w:rsid w:val="00E16B76"/>
    <w:rsid w:val="00E16BA3"/>
    <w:rsid w:val="00E201BC"/>
    <w:rsid w:val="00E202CD"/>
    <w:rsid w:val="00E20D94"/>
    <w:rsid w:val="00E20DE8"/>
    <w:rsid w:val="00E31713"/>
    <w:rsid w:val="00E34C85"/>
    <w:rsid w:val="00E352C0"/>
    <w:rsid w:val="00E35DF0"/>
    <w:rsid w:val="00E362BA"/>
    <w:rsid w:val="00E3687C"/>
    <w:rsid w:val="00E4268C"/>
    <w:rsid w:val="00E46249"/>
    <w:rsid w:val="00E50D17"/>
    <w:rsid w:val="00E50F19"/>
    <w:rsid w:val="00E50FFA"/>
    <w:rsid w:val="00E519F2"/>
    <w:rsid w:val="00E52F25"/>
    <w:rsid w:val="00E54B6B"/>
    <w:rsid w:val="00E55CE3"/>
    <w:rsid w:val="00E5647B"/>
    <w:rsid w:val="00E62991"/>
    <w:rsid w:val="00E75EC9"/>
    <w:rsid w:val="00E80EDA"/>
    <w:rsid w:val="00E83DB0"/>
    <w:rsid w:val="00E84349"/>
    <w:rsid w:val="00E85D55"/>
    <w:rsid w:val="00E90166"/>
    <w:rsid w:val="00E90F2E"/>
    <w:rsid w:val="00E914E6"/>
    <w:rsid w:val="00E955F4"/>
    <w:rsid w:val="00E972C6"/>
    <w:rsid w:val="00EA2729"/>
    <w:rsid w:val="00EA3A9E"/>
    <w:rsid w:val="00EA6BD6"/>
    <w:rsid w:val="00EA7C7B"/>
    <w:rsid w:val="00EB05A0"/>
    <w:rsid w:val="00EB2FF9"/>
    <w:rsid w:val="00EB4175"/>
    <w:rsid w:val="00EC1E3A"/>
    <w:rsid w:val="00EC2019"/>
    <w:rsid w:val="00EC2E9B"/>
    <w:rsid w:val="00EC3F7F"/>
    <w:rsid w:val="00EC6D03"/>
    <w:rsid w:val="00ED35CB"/>
    <w:rsid w:val="00ED7A21"/>
    <w:rsid w:val="00EE176B"/>
    <w:rsid w:val="00EE2E3C"/>
    <w:rsid w:val="00EE31BE"/>
    <w:rsid w:val="00EE5E0F"/>
    <w:rsid w:val="00EE7834"/>
    <w:rsid w:val="00EF0FE0"/>
    <w:rsid w:val="00EF2B05"/>
    <w:rsid w:val="00EF528E"/>
    <w:rsid w:val="00EF5A59"/>
    <w:rsid w:val="00EF6512"/>
    <w:rsid w:val="00F005CC"/>
    <w:rsid w:val="00F07628"/>
    <w:rsid w:val="00F11232"/>
    <w:rsid w:val="00F13272"/>
    <w:rsid w:val="00F13664"/>
    <w:rsid w:val="00F136DE"/>
    <w:rsid w:val="00F145CF"/>
    <w:rsid w:val="00F16243"/>
    <w:rsid w:val="00F17279"/>
    <w:rsid w:val="00F20449"/>
    <w:rsid w:val="00F23D99"/>
    <w:rsid w:val="00F33C28"/>
    <w:rsid w:val="00F33FB9"/>
    <w:rsid w:val="00F40B6B"/>
    <w:rsid w:val="00F4161F"/>
    <w:rsid w:val="00F4176B"/>
    <w:rsid w:val="00F452B4"/>
    <w:rsid w:val="00F45F3F"/>
    <w:rsid w:val="00F4630C"/>
    <w:rsid w:val="00F471FD"/>
    <w:rsid w:val="00F50248"/>
    <w:rsid w:val="00F50269"/>
    <w:rsid w:val="00F528F5"/>
    <w:rsid w:val="00F52E7C"/>
    <w:rsid w:val="00F53DE7"/>
    <w:rsid w:val="00F560A1"/>
    <w:rsid w:val="00F57257"/>
    <w:rsid w:val="00F610A3"/>
    <w:rsid w:val="00F61C39"/>
    <w:rsid w:val="00F64AD6"/>
    <w:rsid w:val="00F74106"/>
    <w:rsid w:val="00F744EA"/>
    <w:rsid w:val="00F76D5B"/>
    <w:rsid w:val="00F80961"/>
    <w:rsid w:val="00F82727"/>
    <w:rsid w:val="00F82802"/>
    <w:rsid w:val="00F86ED1"/>
    <w:rsid w:val="00F87EAE"/>
    <w:rsid w:val="00F87EAF"/>
    <w:rsid w:val="00F92A37"/>
    <w:rsid w:val="00F930ED"/>
    <w:rsid w:val="00F93CD0"/>
    <w:rsid w:val="00F967E4"/>
    <w:rsid w:val="00FA044A"/>
    <w:rsid w:val="00FA2C9C"/>
    <w:rsid w:val="00FA3145"/>
    <w:rsid w:val="00FA3243"/>
    <w:rsid w:val="00FA50DE"/>
    <w:rsid w:val="00FA5C92"/>
    <w:rsid w:val="00FA67A1"/>
    <w:rsid w:val="00FA782E"/>
    <w:rsid w:val="00FB02EE"/>
    <w:rsid w:val="00FB1725"/>
    <w:rsid w:val="00FB1C87"/>
    <w:rsid w:val="00FB379B"/>
    <w:rsid w:val="00FB4708"/>
    <w:rsid w:val="00FB4A94"/>
    <w:rsid w:val="00FC09F7"/>
    <w:rsid w:val="00FC0A1E"/>
    <w:rsid w:val="00FC1CC0"/>
    <w:rsid w:val="00FC3530"/>
    <w:rsid w:val="00FC39DF"/>
    <w:rsid w:val="00FC4348"/>
    <w:rsid w:val="00FC6937"/>
    <w:rsid w:val="00FC7AF3"/>
    <w:rsid w:val="00FD04EB"/>
    <w:rsid w:val="00FD4BF1"/>
    <w:rsid w:val="00FE2012"/>
    <w:rsid w:val="00FE20A7"/>
    <w:rsid w:val="00FE7C2B"/>
    <w:rsid w:val="00FE7EEE"/>
    <w:rsid w:val="00FE7FE8"/>
    <w:rsid w:val="00FF3E11"/>
    <w:rsid w:val="00FF3F63"/>
    <w:rsid w:val="00FF4A36"/>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aliases w:val="ft,DSE note,single space,footnote text,fn,Footnote Text Char1,Footnote Text Char2 Char,Footnote Text Char1 Char Char,Footnote Text Char2 Char Char Char,Footnote Text Char1 Char Char Char Char,AD,A,FN,Footnote Text Char Char,f"/>
    <w:basedOn w:val="Normal"/>
    <w:link w:val="FootnoteTextChar"/>
    <w:uiPriority w:val="99"/>
    <w:qFormat/>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uiPriority w:val="99"/>
    <w:rsid w:val="00BF69FE"/>
    <w:rPr>
      <w:sz w:val="16"/>
      <w:szCs w:val="16"/>
    </w:rPr>
  </w:style>
  <w:style w:type="paragraph" w:styleId="CommentText">
    <w:name w:val="annotation text"/>
    <w:basedOn w:val="Normal"/>
    <w:link w:val="CommentTextChar"/>
    <w:uiPriority w:val="99"/>
    <w:rsid w:val="00BF69FE"/>
    <w:rPr>
      <w:sz w:val="20"/>
      <w:szCs w:val="20"/>
      <w:lang w:val="x-none"/>
    </w:rPr>
  </w:style>
  <w:style w:type="character" w:customStyle="1" w:styleId="CommentTextChar">
    <w:name w:val="Comment Text Char"/>
    <w:link w:val="CommentText"/>
    <w:uiPriority w:val="99"/>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1"/>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aliases w:val="ft Char,DSE note Char,single space Char,footnote text Char,fn Char,Footnote Text Char1 Char,Footnote Text Char2 Char Char,Footnote Text Char1 Char Char Char,Footnote Text Char2 Char Char Char Char,AD Char,A Char,FN Char,f Char"/>
    <w:basedOn w:val="DefaultParagraphFont"/>
    <w:link w:val="FootnoteText"/>
    <w:uiPriority w:val="99"/>
    <w:rsid w:val="00B71183"/>
    <w:rPr>
      <w:rFonts w:ascii="Arial" w:hAnsi="Arial"/>
      <w:snapToGrid w:val="0"/>
      <w:lang w:eastAsia="en-US"/>
    </w:rPr>
  </w:style>
  <w:style w:type="table" w:styleId="TableGrid">
    <w:name w:val="Table Grid"/>
    <w:basedOn w:val="TableNormal"/>
    <w:uiPriority w:val="39"/>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COI"/>
    <w:link w:val="ParaCOICar"/>
    <w:qFormat/>
    <w:rsid w:val="00A03125"/>
    <w:pPr>
      <w:tabs>
        <w:tab w:val="left" w:pos="709"/>
      </w:tabs>
      <w:autoSpaceDE/>
      <w:autoSpaceDN/>
      <w:snapToGrid w:val="0"/>
      <w:spacing w:after="240"/>
    </w:pPr>
    <w:rPr>
      <w:rFonts w:eastAsia="Times New Roman" w:cs="Times New Roman"/>
      <w:b w:val="0"/>
      <w:noProof w:val="0"/>
      <w:snapToGrid w:val="0"/>
      <w:lang w:val="en-GB" w:eastAsia="zh-CN"/>
    </w:rPr>
  </w:style>
  <w:style w:type="character" w:customStyle="1" w:styleId="ParaCOICar">
    <w:name w:val="Para COI Car"/>
    <w:link w:val="ParaCOI"/>
    <w:rsid w:val="00A03125"/>
    <w:rPr>
      <w:rFonts w:ascii="Arial" w:hAnsi="Arial"/>
      <w:snapToGrid w:val="0"/>
      <w:sz w:val="22"/>
      <w:szCs w:val="22"/>
    </w:rPr>
  </w:style>
  <w:style w:type="character" w:customStyle="1" w:styleId="MargeCar">
    <w:name w:val="Marge Car"/>
    <w:locked/>
    <w:rsid w:val="004C110A"/>
    <w:rPr>
      <w:rFonts w:eastAsia="Times New Roman"/>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4C110A"/>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character" w:customStyle="1" w:styleId="UnresolvedMention2">
    <w:name w:val="Unresolved Mention2"/>
    <w:basedOn w:val="DefaultParagraphFont"/>
    <w:uiPriority w:val="99"/>
    <w:semiHidden/>
    <w:unhideWhenUsed/>
    <w:rsid w:val="0099241C"/>
    <w:rPr>
      <w:color w:val="605E5C"/>
      <w:shd w:val="clear" w:color="auto" w:fill="E1DFDD"/>
    </w:rPr>
  </w:style>
  <w:style w:type="character" w:customStyle="1" w:styleId="UnresolvedMention3">
    <w:name w:val="Unresolved Mention3"/>
    <w:basedOn w:val="DefaultParagraphFont"/>
    <w:uiPriority w:val="99"/>
    <w:semiHidden/>
    <w:unhideWhenUsed/>
    <w:rsid w:val="00987DD4"/>
    <w:rPr>
      <w:color w:val="605E5C"/>
      <w:shd w:val="clear" w:color="auto" w:fill="E1DFDD"/>
    </w:rPr>
  </w:style>
  <w:style w:type="paragraph" w:customStyle="1" w:styleId="TableParagraph">
    <w:name w:val="Table Paragraph"/>
    <w:basedOn w:val="Normal"/>
    <w:uiPriority w:val="1"/>
    <w:qFormat/>
    <w:rsid w:val="00E50FFA"/>
    <w:pPr>
      <w:tabs>
        <w:tab w:val="clear" w:pos="567"/>
      </w:tabs>
      <w:autoSpaceDE w:val="0"/>
      <w:autoSpaceDN w:val="0"/>
      <w:adjustRightInd/>
      <w:snapToGrid/>
      <w:spacing w:line="240" w:lineRule="auto"/>
      <w:ind w:left="56"/>
      <w:jc w:val="left"/>
      <w:textAlignment w:val="auto"/>
    </w:pPr>
    <w:rPr>
      <w:rFonts w:ascii="Calibri" w:eastAsia="Calibri" w:hAnsi="Calibri" w:cs="Calibri"/>
      <w:snapToGrid/>
      <w:szCs w:val="22"/>
      <w:lang w:val="fr-FR" w:eastAsia="fr-FR" w:bidi="fr-FR"/>
    </w:rPr>
  </w:style>
  <w:style w:type="paragraph" w:styleId="BodyText">
    <w:name w:val="Body Text"/>
    <w:basedOn w:val="Normal"/>
    <w:link w:val="BodyTextChar"/>
    <w:uiPriority w:val="99"/>
    <w:unhideWhenUsed/>
    <w:rsid w:val="00E50FFA"/>
    <w:pPr>
      <w:spacing w:after="120"/>
    </w:pPr>
  </w:style>
  <w:style w:type="character" w:customStyle="1" w:styleId="BodyTextChar">
    <w:name w:val="Body Text Char"/>
    <w:basedOn w:val="DefaultParagraphFont"/>
    <w:link w:val="BodyText"/>
    <w:uiPriority w:val="99"/>
    <w:rsid w:val="00E50FFA"/>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FC0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355624420">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26882215">
      <w:bodyDiv w:val="1"/>
      <w:marLeft w:val="0"/>
      <w:marRight w:val="0"/>
      <w:marTop w:val="0"/>
      <w:marBottom w:val="0"/>
      <w:divBdr>
        <w:top w:val="none" w:sz="0" w:space="0" w:color="auto"/>
        <w:left w:val="none" w:sz="0" w:space="0" w:color="auto"/>
        <w:bottom w:val="none" w:sz="0" w:space="0" w:color="auto"/>
        <w:right w:val="none" w:sz="0" w:space="0" w:color="auto"/>
      </w:divBdr>
    </w:div>
    <w:div w:id="1031690147">
      <w:bodyDiv w:val="1"/>
      <w:marLeft w:val="0"/>
      <w:marRight w:val="0"/>
      <w:marTop w:val="0"/>
      <w:marBottom w:val="0"/>
      <w:divBdr>
        <w:top w:val="none" w:sz="0" w:space="0" w:color="auto"/>
        <w:left w:val="none" w:sz="0" w:space="0" w:color="auto"/>
        <w:bottom w:val="none" w:sz="0" w:space="0" w:color="auto"/>
        <w:right w:val="none" w:sz="0" w:space="0" w:color="auto"/>
      </w:divBdr>
    </w:div>
    <w:div w:id="1325357249">
      <w:bodyDiv w:val="1"/>
      <w:marLeft w:val="0"/>
      <w:marRight w:val="0"/>
      <w:marTop w:val="0"/>
      <w:marBottom w:val="0"/>
      <w:divBdr>
        <w:top w:val="none" w:sz="0" w:space="0" w:color="auto"/>
        <w:left w:val="none" w:sz="0" w:space="0" w:color="auto"/>
        <w:bottom w:val="none" w:sz="0" w:space="0" w:color="auto"/>
        <w:right w:val="none" w:sz="0" w:space="0" w:color="auto"/>
      </w:divBdr>
    </w:div>
    <w:div w:id="1463037062">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051758419">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eanexpert.org/document/28297" TargetMode="External"/><Relationship Id="rId18" Type="http://schemas.openxmlformats.org/officeDocument/2006/relationships/header" Target="header2.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www.un.org/bbnj/"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oc-unesco.org/index.php?option=com_oe&amp;task=viewDocumentRecord&amp;docID=9281" TargetMode="External"/><Relationship Id="rId20" Type="http://schemas.openxmlformats.org/officeDocument/2006/relationships/hyperlink" Target="http://legacy.ioc-unesco.org/index.php?option=com_oe&amp;task=viewDocumentRecord&amp;docID=24888"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jpg"/><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oceanexpert.org/document/28075" TargetMode="External"/><Relationship Id="rId23" Type="http://schemas.openxmlformats.org/officeDocument/2006/relationships/hyperlink" Target="https://unesdoc.unesco.org/ark:/48223/pf0000375756.locale=fr" TargetMode="External"/><Relationship Id="rId28" Type="http://schemas.openxmlformats.org/officeDocument/2006/relationships/chart" Target="charts/chart2.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esdoc.unesco.org/ark:/48223/pf0000375848.locale=fr" TargetMode="External"/><Relationship Id="rId22" Type="http://schemas.openxmlformats.org/officeDocument/2006/relationships/image" Target="media/image1.png"/><Relationship Id="rId27" Type="http://schemas.openxmlformats.org/officeDocument/2006/relationships/chart" Target="charts/chart1.xml"/><Relationship Id="rId30"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es" b="0" i="0" u="none" baseline="0"/>
              <a:t>40 C/5 IBF por función</a:t>
            </a:r>
            <a:endParaRPr lang="es"/>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clean!$S$26:$S$27</c:f>
              <c:strCache>
                <c:ptCount val="2"/>
                <c:pt idx="0">
                  <c:v>40 C/5</c:v>
                </c:pt>
                <c:pt idx="1">
                  <c:v>RB</c:v>
                </c:pt>
              </c:strCache>
            </c:strRef>
          </c:tx>
          <c:spPr>
            <a:solidFill>
              <a:srgbClr val="002060"/>
            </a:solidFill>
            <a:ln>
              <a:noFill/>
            </a:ln>
            <a:effectLst/>
          </c:spPr>
          <c:invertIfNegative val="0"/>
          <c:cat>
            <c:strRef>
              <c:f>clean!$R$28:$R$34</c:f>
              <c:strCache>
                <c:ptCount val="6"/>
                <c:pt idx="0">
                  <c:v>A</c:v>
                </c:pt>
                <c:pt idx="1">
                  <c:v>B</c:v>
                </c:pt>
                <c:pt idx="2">
                  <c:v>C</c:v>
                </c:pt>
                <c:pt idx="3">
                  <c:v>D</c:v>
                </c:pt>
                <c:pt idx="4">
                  <c:v>E</c:v>
                </c:pt>
                <c:pt idx="5">
                  <c:v>F</c:v>
                </c:pt>
              </c:strCache>
            </c:strRef>
          </c:cat>
          <c:val>
            <c:numRef>
              <c:f>clean!$S$28:$S$34</c:f>
              <c:numCache>
                <c:formatCode>#,##0</c:formatCode>
                <c:ptCount val="6"/>
                <c:pt idx="0">
                  <c:v>205000</c:v>
                </c:pt>
                <c:pt idx="1">
                  <c:v>567000</c:v>
                </c:pt>
                <c:pt idx="2">
                  <c:v>450000</c:v>
                </c:pt>
                <c:pt idx="3">
                  <c:v>267000</c:v>
                </c:pt>
                <c:pt idx="4">
                  <c:v>547908</c:v>
                </c:pt>
                <c:pt idx="5">
                  <c:v>394100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0-7FB9-4004-AA2D-836D9B3896AD}"/>
            </c:ext>
          </c:extLst>
        </c:ser>
        <c:ser>
          <c:idx val="1"/>
          <c:order val="1"/>
          <c:tx>
            <c:strRef>
              <c:f>clean!$T$26:$T$27</c:f>
              <c:strCache>
                <c:ptCount val="2"/>
                <c:pt idx="0">
                  <c:v>40 C/5</c:v>
                </c:pt>
                <c:pt idx="1">
                  <c:v>VC in hand</c:v>
                </c:pt>
              </c:strCache>
            </c:strRef>
          </c:tx>
          <c:spPr>
            <a:solidFill>
              <a:schemeClr val="tx2">
                <a:lumMod val="60000"/>
                <a:lumOff val="40000"/>
              </a:schemeClr>
            </a:solidFill>
            <a:ln>
              <a:noFill/>
            </a:ln>
            <a:effectLst/>
          </c:spPr>
          <c:invertIfNegative val="0"/>
          <c:cat>
            <c:strRef>
              <c:f>clean!$R$28:$R$34</c:f>
              <c:strCache>
                <c:ptCount val="6"/>
                <c:pt idx="0">
                  <c:v>A</c:v>
                </c:pt>
                <c:pt idx="1">
                  <c:v>B</c:v>
                </c:pt>
                <c:pt idx="2">
                  <c:v>C</c:v>
                </c:pt>
                <c:pt idx="3">
                  <c:v>D</c:v>
                </c:pt>
                <c:pt idx="4">
                  <c:v>E</c:v>
                </c:pt>
                <c:pt idx="5">
                  <c:v>F</c:v>
                </c:pt>
              </c:strCache>
            </c:strRef>
          </c:cat>
          <c:val>
            <c:numRef>
              <c:f>clean!$T$28:$T$34</c:f>
              <c:numCache>
                <c:formatCode>#,##0</c:formatCode>
                <c:ptCount val="6"/>
                <c:pt idx="0">
                  <c:v>50000</c:v>
                </c:pt>
                <c:pt idx="1">
                  <c:v>220000</c:v>
                </c:pt>
                <c:pt idx="2">
                  <c:v>550000</c:v>
                </c:pt>
                <c:pt idx="4">
                  <c:v>1630000</c:v>
                </c:pt>
                <c:pt idx="5">
                  <c:v>150000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7FB9-4004-AA2D-836D9B3896AD}"/>
            </c:ext>
          </c:extLst>
        </c:ser>
        <c:ser>
          <c:idx val="2"/>
          <c:order val="2"/>
          <c:tx>
            <c:strRef>
              <c:f>clean!$U$26:$U$27</c:f>
              <c:strCache>
                <c:ptCount val="2"/>
                <c:pt idx="0">
                  <c:v>40 C/5</c:v>
                </c:pt>
                <c:pt idx="1">
                  <c:v>VC gap</c:v>
                </c:pt>
              </c:strCache>
            </c:strRef>
          </c:tx>
          <c:spPr>
            <a:solidFill>
              <a:schemeClr val="tx2">
                <a:lumMod val="20000"/>
                <a:lumOff val="80000"/>
              </a:schemeClr>
            </a:solidFill>
            <a:ln>
              <a:noFill/>
            </a:ln>
            <a:effectLst/>
          </c:spPr>
          <c:invertIfNegative val="0"/>
          <c:cat>
            <c:strRef>
              <c:f>clean!$R$28:$R$34</c:f>
              <c:strCache>
                <c:ptCount val="6"/>
                <c:pt idx="0">
                  <c:v>A</c:v>
                </c:pt>
                <c:pt idx="1">
                  <c:v>B</c:v>
                </c:pt>
                <c:pt idx="2">
                  <c:v>C</c:v>
                </c:pt>
                <c:pt idx="3">
                  <c:v>D</c:v>
                </c:pt>
                <c:pt idx="4">
                  <c:v>E</c:v>
                </c:pt>
                <c:pt idx="5">
                  <c:v>F</c:v>
                </c:pt>
              </c:strCache>
            </c:strRef>
          </c:cat>
          <c:val>
            <c:numRef>
              <c:f>clean!$U$28:$U$34</c:f>
              <c:numCache>
                <c:formatCode>#,##0</c:formatCode>
                <c:ptCount val="6"/>
                <c:pt idx="0">
                  <c:v>994000</c:v>
                </c:pt>
                <c:pt idx="1">
                  <c:v>1722200</c:v>
                </c:pt>
                <c:pt idx="2">
                  <c:v>2130000</c:v>
                </c:pt>
                <c:pt idx="3">
                  <c:v>2016000</c:v>
                </c:pt>
                <c:pt idx="4">
                  <c:v>4123000</c:v>
                </c:pt>
                <c:pt idx="5">
                  <c:v>2175000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2-7FB9-4004-AA2D-836D9B3896AD}"/>
            </c:ext>
          </c:extLst>
        </c:ser>
        <c:dLbls>
          <c:showLegendKey val="0"/>
          <c:showVal val="0"/>
          <c:showCatName val="0"/>
          <c:showSerName val="0"/>
          <c:showPercent val="0"/>
          <c:showBubbleSize val="0"/>
        </c:dLbls>
        <c:gapWidth val="150"/>
        <c:overlap val="100"/>
        <c:axId val="557397968"/>
        <c:axId val="557396328"/>
      </c:barChart>
      <c:catAx>
        <c:axId val="55739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7396328"/>
        <c:crosses val="autoZero"/>
        <c:auto val="1"/>
        <c:lblAlgn val="ctr"/>
        <c:lblOffset val="100"/>
        <c:noMultiLvlLbl val="0"/>
      </c:catAx>
      <c:valAx>
        <c:axId val="557396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739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es" b="0" i="0" u="none" baseline="0"/>
              <a:t>Proyecto 41 C/5 IBF por función</a:t>
            </a:r>
            <a:endParaRPr lang="es"/>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clean!$W$26:$W$27</c:f>
              <c:strCache>
                <c:ptCount val="2"/>
                <c:pt idx="0">
                  <c:v>41 C/5</c:v>
                </c:pt>
                <c:pt idx="1">
                  <c:v>RB</c:v>
                </c:pt>
              </c:strCache>
            </c:strRef>
          </c:tx>
          <c:spPr>
            <a:solidFill>
              <a:srgbClr val="002060"/>
            </a:solidFill>
            <a:ln>
              <a:noFill/>
            </a:ln>
            <a:effectLst/>
          </c:spPr>
          <c:invertIfNegative val="0"/>
          <c:cat>
            <c:strRef>
              <c:f>clean!$V$28:$V$34</c:f>
              <c:strCache>
                <c:ptCount val="6"/>
                <c:pt idx="0">
                  <c:v>A</c:v>
                </c:pt>
                <c:pt idx="1">
                  <c:v>B</c:v>
                </c:pt>
                <c:pt idx="2">
                  <c:v>C</c:v>
                </c:pt>
                <c:pt idx="3">
                  <c:v>D</c:v>
                </c:pt>
                <c:pt idx="4">
                  <c:v>E</c:v>
                </c:pt>
                <c:pt idx="5">
                  <c:v>F</c:v>
                </c:pt>
              </c:strCache>
            </c:strRef>
          </c:cat>
          <c:val>
            <c:numRef>
              <c:f>clean!$W$28:$W$34</c:f>
              <c:numCache>
                <c:formatCode>#,##0</c:formatCode>
                <c:ptCount val="6"/>
                <c:pt idx="0">
                  <c:v>135745</c:v>
                </c:pt>
                <c:pt idx="1">
                  <c:v>503204.76375538419</c:v>
                </c:pt>
                <c:pt idx="2">
                  <c:v>261045.49418721293</c:v>
                </c:pt>
                <c:pt idx="3">
                  <c:v>136235</c:v>
                </c:pt>
                <c:pt idx="4">
                  <c:v>448760</c:v>
                </c:pt>
                <c:pt idx="5">
                  <c:v>228418.0983841531</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0-E420-470D-82D5-8A1D4DC34A91}"/>
            </c:ext>
          </c:extLst>
        </c:ser>
        <c:ser>
          <c:idx val="1"/>
          <c:order val="1"/>
          <c:tx>
            <c:strRef>
              <c:f>clean!$X$26:$X$27</c:f>
              <c:strCache>
                <c:ptCount val="2"/>
                <c:pt idx="0">
                  <c:v>41 C/5</c:v>
                </c:pt>
                <c:pt idx="1">
                  <c:v>VC in hand</c:v>
                </c:pt>
              </c:strCache>
            </c:strRef>
          </c:tx>
          <c:spPr>
            <a:solidFill>
              <a:schemeClr val="tx2">
                <a:lumMod val="60000"/>
                <a:lumOff val="40000"/>
              </a:schemeClr>
            </a:solidFill>
            <a:ln>
              <a:noFill/>
            </a:ln>
            <a:effectLst/>
          </c:spPr>
          <c:invertIfNegative val="0"/>
          <c:cat>
            <c:strRef>
              <c:f>clean!$V$28:$V$34</c:f>
              <c:strCache>
                <c:ptCount val="6"/>
                <c:pt idx="0">
                  <c:v>A</c:v>
                </c:pt>
                <c:pt idx="1">
                  <c:v>B</c:v>
                </c:pt>
                <c:pt idx="2">
                  <c:v>C</c:v>
                </c:pt>
                <c:pt idx="3">
                  <c:v>D</c:v>
                </c:pt>
                <c:pt idx="4">
                  <c:v>E</c:v>
                </c:pt>
                <c:pt idx="5">
                  <c:v>F</c:v>
                </c:pt>
              </c:strCache>
            </c:strRef>
          </c:cat>
          <c:val>
            <c:numRef>
              <c:f>clean!$X$28:$X$34</c:f>
              <c:numCache>
                <c:formatCode>#,##0</c:formatCode>
                <c:ptCount val="6"/>
                <c:pt idx="0">
                  <c:v>203400</c:v>
                </c:pt>
                <c:pt idx="1">
                  <c:v>1714500</c:v>
                </c:pt>
                <c:pt idx="2">
                  <c:v>578977</c:v>
                </c:pt>
                <c:pt idx="3">
                  <c:v>171980</c:v>
                </c:pt>
                <c:pt idx="4">
                  <c:v>515400</c:v>
                </c:pt>
                <c:pt idx="5">
                  <c:v>1201983</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E420-470D-82D5-8A1D4DC34A91}"/>
            </c:ext>
          </c:extLst>
        </c:ser>
        <c:ser>
          <c:idx val="2"/>
          <c:order val="2"/>
          <c:tx>
            <c:strRef>
              <c:f>clean!$Y$26:$Y$27</c:f>
              <c:strCache>
                <c:ptCount val="2"/>
                <c:pt idx="0">
                  <c:v>41 C/5</c:v>
                </c:pt>
                <c:pt idx="1">
                  <c:v>VC gap</c:v>
                </c:pt>
              </c:strCache>
            </c:strRef>
          </c:tx>
          <c:spPr>
            <a:solidFill>
              <a:schemeClr val="tx2">
                <a:lumMod val="20000"/>
                <a:lumOff val="80000"/>
              </a:schemeClr>
            </a:solidFill>
            <a:ln>
              <a:noFill/>
            </a:ln>
            <a:effectLst/>
          </c:spPr>
          <c:invertIfNegative val="0"/>
          <c:cat>
            <c:strRef>
              <c:f>clean!$V$28:$V$34</c:f>
              <c:strCache>
                <c:ptCount val="6"/>
                <c:pt idx="0">
                  <c:v>A</c:v>
                </c:pt>
                <c:pt idx="1">
                  <c:v>B</c:v>
                </c:pt>
                <c:pt idx="2">
                  <c:v>C</c:v>
                </c:pt>
                <c:pt idx="3">
                  <c:v>D</c:v>
                </c:pt>
                <c:pt idx="4">
                  <c:v>E</c:v>
                </c:pt>
                <c:pt idx="5">
                  <c:v>F</c:v>
                </c:pt>
              </c:strCache>
            </c:strRef>
          </c:cat>
          <c:val>
            <c:numRef>
              <c:f>clean!$Y$28:$Y$34</c:f>
              <c:numCache>
                <c:formatCode>#,##0</c:formatCode>
                <c:ptCount val="6"/>
                <c:pt idx="0">
                  <c:v>550000</c:v>
                </c:pt>
                <c:pt idx="1">
                  <c:v>3382000</c:v>
                </c:pt>
                <c:pt idx="2">
                  <c:v>3000000</c:v>
                </c:pt>
                <c:pt idx="3">
                  <c:v>900000</c:v>
                </c:pt>
                <c:pt idx="4">
                  <c:v>5436000</c:v>
                </c:pt>
                <c:pt idx="5">
                  <c:v>2925000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2-E420-470D-82D5-8A1D4DC34A91}"/>
            </c:ext>
          </c:extLst>
        </c:ser>
        <c:dLbls>
          <c:showLegendKey val="0"/>
          <c:showVal val="0"/>
          <c:showCatName val="0"/>
          <c:showSerName val="0"/>
          <c:showPercent val="0"/>
          <c:showBubbleSize val="0"/>
        </c:dLbls>
        <c:gapWidth val="150"/>
        <c:overlap val="100"/>
        <c:axId val="553738928"/>
        <c:axId val="553737288"/>
      </c:barChart>
      <c:catAx>
        <c:axId val="5537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3737288"/>
        <c:crosses val="autoZero"/>
        <c:auto val="1"/>
        <c:lblAlgn val="ctr"/>
        <c:lblOffset val="100"/>
        <c:noMultiLvlLbl val="0"/>
      </c:catAx>
      <c:valAx>
        <c:axId val="553737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373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es" b="0" i="0" u="none" baseline="0"/>
              <a:t>Contribuciones a la igualdad de género, África y PEID</a:t>
            </a:r>
            <a:endParaRPr lang="es"/>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35208098987627"/>
          <c:y val="4.1666666666666664E-2"/>
          <c:w val="0.84531872646353989"/>
          <c:h val="0.73577136191309422"/>
        </c:manualLayout>
      </c:layout>
      <c:barChart>
        <c:barDir val="col"/>
        <c:grouping val="stacked"/>
        <c:varyColors val="0"/>
        <c:ser>
          <c:idx val="0"/>
          <c:order val="0"/>
          <c:tx>
            <c:strRef>
              <c:f>clean!$M$81</c:f>
              <c:strCache>
                <c:ptCount val="1"/>
                <c:pt idx="0">
                  <c:v>RB</c:v>
                </c:pt>
              </c:strCache>
            </c:strRef>
          </c:tx>
          <c:spPr>
            <a:solidFill>
              <a:srgbClr val="002060"/>
            </a:solidFill>
            <a:ln>
              <a:noFill/>
            </a:ln>
            <a:effectLst/>
          </c:spPr>
          <c:invertIfNegative val="0"/>
          <c:cat>
            <c:strRef>
              <c:f>clean!$L$82:$L$84</c:f>
              <c:strCache>
                <c:ptCount val="3"/>
                <c:pt idx="0">
                  <c:v>Gender Equality</c:v>
                </c:pt>
                <c:pt idx="1">
                  <c:v>Africa</c:v>
                </c:pt>
                <c:pt idx="2">
                  <c:v>SIDS</c:v>
                </c:pt>
              </c:strCache>
            </c:strRef>
          </c:cat>
          <c:val>
            <c:numRef>
              <c:f>clean!$M$82:$M$84</c:f>
              <c:numCache>
                <c:formatCode>#,##0</c:formatCode>
                <c:ptCount val="3"/>
                <c:pt idx="0">
                  <c:v>1333754.96</c:v>
                </c:pt>
                <c:pt idx="1">
                  <c:v>2523920.3383918852</c:v>
                </c:pt>
                <c:pt idx="2">
                  <c:v>2297589.6712653502</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0-AA94-496A-A788-25A2A6EB376D}"/>
            </c:ext>
          </c:extLst>
        </c:ser>
        <c:ser>
          <c:idx val="1"/>
          <c:order val="1"/>
          <c:tx>
            <c:strRef>
              <c:f>clean!$N$81</c:f>
              <c:strCache>
                <c:ptCount val="1"/>
                <c:pt idx="0">
                  <c:v>VC in hand</c:v>
                </c:pt>
              </c:strCache>
            </c:strRef>
          </c:tx>
          <c:spPr>
            <a:solidFill>
              <a:schemeClr val="tx2">
                <a:lumMod val="60000"/>
                <a:lumOff val="40000"/>
              </a:schemeClr>
            </a:solidFill>
            <a:ln>
              <a:noFill/>
            </a:ln>
            <a:effectLst/>
          </c:spPr>
          <c:invertIfNegative val="0"/>
          <c:cat>
            <c:strRef>
              <c:f>clean!$L$82:$L$84</c:f>
              <c:strCache>
                <c:ptCount val="3"/>
                <c:pt idx="0">
                  <c:v>Gender Equality</c:v>
                </c:pt>
                <c:pt idx="1">
                  <c:v>Africa</c:v>
                </c:pt>
                <c:pt idx="2">
                  <c:v>SIDS</c:v>
                </c:pt>
              </c:strCache>
            </c:strRef>
          </c:cat>
          <c:val>
            <c:numRef>
              <c:f>clean!$N$82:$N$84</c:f>
              <c:numCache>
                <c:formatCode>#,##0</c:formatCode>
                <c:ptCount val="3"/>
                <c:pt idx="0">
                  <c:v>526350</c:v>
                </c:pt>
                <c:pt idx="1">
                  <c:v>964970</c:v>
                </c:pt>
                <c:pt idx="2">
                  <c:v>877250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AA94-496A-A788-25A2A6EB376D}"/>
            </c:ext>
          </c:extLst>
        </c:ser>
        <c:ser>
          <c:idx val="2"/>
          <c:order val="2"/>
          <c:tx>
            <c:strRef>
              <c:f>clean!$O$81</c:f>
              <c:strCache>
                <c:ptCount val="1"/>
                <c:pt idx="0">
                  <c:v>VC gap</c:v>
                </c:pt>
              </c:strCache>
            </c:strRef>
          </c:tx>
          <c:spPr>
            <a:solidFill>
              <a:schemeClr val="tx2">
                <a:lumMod val="20000"/>
                <a:lumOff val="80000"/>
              </a:schemeClr>
            </a:solidFill>
            <a:ln>
              <a:noFill/>
            </a:ln>
            <a:effectLst/>
          </c:spPr>
          <c:invertIfNegative val="0"/>
          <c:cat>
            <c:strRef>
              <c:f>clean!$L$82:$L$84</c:f>
              <c:strCache>
                <c:ptCount val="3"/>
                <c:pt idx="0">
                  <c:v>Gender Equality</c:v>
                </c:pt>
                <c:pt idx="1">
                  <c:v>Africa</c:v>
                </c:pt>
                <c:pt idx="2">
                  <c:v>SIDS</c:v>
                </c:pt>
              </c:strCache>
            </c:strRef>
          </c:cat>
          <c:val>
            <c:numRef>
              <c:f>clean!$O$82:$O$84</c:f>
              <c:numCache>
                <c:formatCode>#,##0</c:formatCode>
                <c:ptCount val="3"/>
                <c:pt idx="0">
                  <c:v>1943160</c:v>
                </c:pt>
                <c:pt idx="1">
                  <c:v>3562460</c:v>
                </c:pt>
                <c:pt idx="2">
                  <c:v>3238600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2-AA94-496A-A788-25A2A6EB376D}"/>
            </c:ext>
          </c:extLst>
        </c:ser>
        <c:dLbls>
          <c:showLegendKey val="0"/>
          <c:showVal val="0"/>
          <c:showCatName val="0"/>
          <c:showSerName val="0"/>
          <c:showPercent val="0"/>
          <c:showBubbleSize val="0"/>
        </c:dLbls>
        <c:gapWidth val="150"/>
        <c:overlap val="100"/>
        <c:axId val="547149152"/>
        <c:axId val="547156040"/>
      </c:barChart>
      <c:catAx>
        <c:axId val="54714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47156040"/>
        <c:crosses val="autoZero"/>
        <c:auto val="1"/>
        <c:lblAlgn val="ctr"/>
        <c:lblOffset val="100"/>
        <c:noMultiLvlLbl val="0"/>
      </c:catAx>
      <c:valAx>
        <c:axId val="547156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4714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2.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02819-4B90-45FF-9B29-512D056331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5.xml><?xml version="1.0" encoding="utf-8"?>
<ds:datastoreItem xmlns:ds="http://schemas.openxmlformats.org/officeDocument/2006/customXml" ds:itemID="{7C7313A8-C9F2-4E53-9336-0B5126A7F0A9}">
  <ds:schemaRefs>
    <ds:schemaRef ds:uri="http://schemas.openxmlformats.org/officeDocument/2006/bibliography"/>
  </ds:schemaRefs>
</ds:datastoreItem>
</file>

<file path=customXml/itemProps6.xml><?xml version="1.0" encoding="utf-8"?>
<ds:datastoreItem xmlns:ds="http://schemas.openxmlformats.org/officeDocument/2006/customXml" ds:itemID="{2CDC8C2F-8F82-4C50-A94B-3701ADC6FB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 WD-EC47.dotx</Template>
  <TotalTime>7</TotalTime>
  <Pages>18</Pages>
  <Words>7452</Words>
  <Characters>40185</Characters>
  <Application>Microsoft Office Word</Application>
  <DocSecurity>0</DocSecurity>
  <Lines>334</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47542</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3</cp:revision>
  <cp:lastPrinted>2020-04-14T07:20:00Z</cp:lastPrinted>
  <dcterms:created xsi:type="dcterms:W3CDTF">2021-06-03T08:04:00Z</dcterms:created>
  <dcterms:modified xsi:type="dcterms:W3CDTF">2021-06-09T07:37:00Z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