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1228E69" w14:textId="77777777">
        <w:trPr>
          <w:jc w:val="center"/>
        </w:trPr>
        <w:tc>
          <w:tcPr>
            <w:tcW w:w="7654" w:type="dxa"/>
            <w:tcMar>
              <w:top w:w="170" w:type="dxa"/>
              <w:left w:w="170" w:type="dxa"/>
              <w:bottom w:w="170" w:type="dxa"/>
              <w:right w:w="170" w:type="dxa"/>
            </w:tcMar>
          </w:tcPr>
          <w:p w14:paraId="5278E2B0" w14:textId="77777777" w:rsidR="00467E3F" w:rsidRDefault="00B83068" w:rsidP="00853565">
            <w:pPr>
              <w:pStyle w:val="Marge"/>
              <w:jc w:val="center"/>
              <w:rPr>
                <w:rFonts w:cs="Arial"/>
                <w:szCs w:val="22"/>
              </w:rPr>
            </w:pPr>
            <w:r w:rsidRPr="006842FA">
              <w:rPr>
                <w:rFonts w:cs="Arial"/>
                <w:szCs w:val="22"/>
                <w:u w:val="single"/>
              </w:rPr>
              <w:t>Summary</w:t>
            </w:r>
          </w:p>
          <w:p w14:paraId="0E23E4B9" w14:textId="603FCFFF" w:rsidR="008A60C9" w:rsidRDefault="008A60C9" w:rsidP="00294AD5">
            <w:pPr>
              <w:pStyle w:val="Marge"/>
              <w:spacing w:after="120"/>
              <w:rPr>
                <w:rFonts w:cs="Arial"/>
                <w:i/>
                <w:szCs w:val="22"/>
              </w:rPr>
            </w:pPr>
            <w:r>
              <w:t xml:space="preserve">The </w:t>
            </w:r>
            <w:r w:rsidRPr="00494661">
              <w:t>IOC Committee on International Oceanographic</w:t>
            </w:r>
            <w:r>
              <w:t xml:space="preserve"> Data and Information Exchange (IODE-XXV)</w:t>
            </w:r>
            <w:r w:rsidR="00F63C9F">
              <w:t xml:space="preserve"> at its 25th</w:t>
            </w:r>
            <w:r w:rsidR="00F63C9F" w:rsidRPr="00494661">
              <w:t xml:space="preserve"> Session</w:t>
            </w:r>
            <w:r w:rsidR="00F63C9F">
              <w:t xml:space="preserve"> (</w:t>
            </w:r>
            <w:r>
              <w:t>18</w:t>
            </w:r>
            <w:r w:rsidR="00F63C9F">
              <w:t>–</w:t>
            </w:r>
            <w:r>
              <w:t>22 February 2019</w:t>
            </w:r>
            <w:r w:rsidR="00F63C9F">
              <w:t xml:space="preserve">, </w:t>
            </w:r>
            <w:r w:rsidR="00F63C9F">
              <w:t>Tokyo</w:t>
            </w:r>
            <w:r w:rsidR="00A75EC4">
              <w:t>)</w:t>
            </w:r>
            <w:r>
              <w:t xml:space="preserve"> decided to review the </w:t>
            </w:r>
            <w:r w:rsidR="00F63C9F" w:rsidRPr="00F63C9F">
              <w:t>International Oceanographic Data and Information Exchange</w:t>
            </w:r>
            <w:r w:rsidR="00F63C9F" w:rsidRPr="00F63C9F">
              <w:t xml:space="preserve"> </w:t>
            </w:r>
            <w:r w:rsidR="00F63C9F">
              <w:t>(</w:t>
            </w:r>
            <w:r>
              <w:t>IODE</w:t>
            </w:r>
            <w:r w:rsidR="00F63C9F">
              <w:t>)</w:t>
            </w:r>
            <w:r>
              <w:t xml:space="preserve"> </w:t>
            </w:r>
            <w:r w:rsidR="00F63C9F">
              <w:t xml:space="preserve">Project </w:t>
            </w:r>
            <w:r>
              <w:t xml:space="preserve">Office activities, recalling that the MoU signed in 2017 is due to expire on 1 December 2021. </w:t>
            </w:r>
          </w:p>
          <w:p w14:paraId="335FAADA" w14:textId="26451CFD" w:rsidR="008A60C9" w:rsidRPr="001B33EB" w:rsidRDefault="00467E3F" w:rsidP="001B33EB">
            <w:pPr>
              <w:pStyle w:val="Marge"/>
              <w:spacing w:after="120"/>
            </w:pPr>
            <w:r w:rsidRPr="00413F17">
              <w:rPr>
                <w:rFonts w:cs="Arial"/>
                <w:szCs w:val="22"/>
                <w:u w:val="single"/>
              </w:rPr>
              <w:t>Purpose of the document</w:t>
            </w:r>
            <w:r w:rsidRPr="00467E3F">
              <w:rPr>
                <w:rFonts w:cs="Arial"/>
                <w:szCs w:val="22"/>
              </w:rPr>
              <w:t xml:space="preserve">: </w:t>
            </w:r>
            <w:r w:rsidR="00F63C9F">
              <w:t>This document details the methodology followed by the reviewers as well as the results and recommendations formulated</w:t>
            </w:r>
            <w:proofErr w:type="gramStart"/>
            <w:r w:rsidR="00F63C9F">
              <w:t>, in particular, the</w:t>
            </w:r>
            <w:proofErr w:type="gramEnd"/>
            <w:r w:rsidR="00F63C9F">
              <w:t xml:space="preserve"> recommendation to </w:t>
            </w:r>
            <w:r w:rsidR="00F63C9F">
              <w:t>renew the MoU between the Flanders Marine Institute (VLIZ) and IOC</w:t>
            </w:r>
            <w:r w:rsidR="008A60C9">
              <w:t xml:space="preserve">. </w:t>
            </w:r>
          </w:p>
          <w:p w14:paraId="7993A226" w14:textId="0633119A" w:rsidR="00467E3F" w:rsidRPr="00467E3F" w:rsidRDefault="00467E3F" w:rsidP="00467E3F">
            <w:pPr>
              <w:pStyle w:val="Marge"/>
              <w:spacing w:after="120"/>
              <w:rPr>
                <w:rFonts w:cs="Arial"/>
                <w:szCs w:val="22"/>
              </w:rPr>
            </w:pPr>
            <w:r w:rsidRPr="00467E3F">
              <w:rPr>
                <w:rFonts w:cs="Arial"/>
                <w:szCs w:val="22"/>
                <w:u w:val="single"/>
              </w:rPr>
              <w:t>Financial and administrative implications</w:t>
            </w:r>
            <w:r w:rsidR="008A60C9">
              <w:rPr>
                <w:rFonts w:cs="Arial"/>
                <w:szCs w:val="22"/>
              </w:rPr>
              <w:t xml:space="preserve">: </w:t>
            </w:r>
            <w:r w:rsidR="008A60C9" w:rsidRPr="00467E3F">
              <w:rPr>
                <w:rFonts w:cs="Arial"/>
                <w:szCs w:val="22"/>
              </w:rPr>
              <w:t>There are no financial and administrative implications</w:t>
            </w:r>
            <w:r w:rsidR="00F63C9F">
              <w:rPr>
                <w:rFonts w:cs="Arial"/>
                <w:szCs w:val="22"/>
              </w:rPr>
              <w:t xml:space="preserve">. </w:t>
            </w:r>
          </w:p>
          <w:p w14:paraId="7FC3AF21" w14:textId="23594E5E" w:rsidR="00737A18" w:rsidRPr="00467E3F" w:rsidRDefault="00413F17" w:rsidP="001B33EB">
            <w:pPr>
              <w:pStyle w:val="Marge"/>
              <w:spacing w:after="120"/>
              <w:rPr>
                <w:rFonts w:cs="Arial"/>
                <w:szCs w:val="22"/>
              </w:rPr>
            </w:pPr>
            <w:r>
              <w:rPr>
                <w:rFonts w:cs="Arial"/>
                <w:szCs w:val="22"/>
                <w:u w:val="single"/>
              </w:rPr>
              <w:t>The proposed decision(s)</w:t>
            </w:r>
            <w:r w:rsidR="00467E3F" w:rsidRPr="00467E3F">
              <w:rPr>
                <w:rFonts w:cs="Arial"/>
                <w:szCs w:val="22"/>
              </w:rPr>
              <w:t xml:space="preserve"> </w:t>
            </w:r>
            <w:r w:rsidR="00853565">
              <w:rPr>
                <w:rFonts w:cs="Arial"/>
                <w:szCs w:val="22"/>
              </w:rPr>
              <w:t xml:space="preserve">is referenced </w:t>
            </w:r>
            <w:r w:rsidR="00F63C9F" w:rsidRPr="00F63C9F">
              <w:rPr>
                <w:rFonts w:cs="Arial"/>
                <w:szCs w:val="22"/>
              </w:rPr>
              <w:t>Dec. A-31/3.4.2</w:t>
            </w:r>
            <w:r w:rsidR="008A60C9">
              <w:rPr>
                <w:lang w:val="en-US"/>
              </w:rPr>
              <w:t xml:space="preserve"> </w:t>
            </w:r>
            <w:r w:rsidR="00467E3F" w:rsidRPr="00467E3F">
              <w:rPr>
                <w:rFonts w:cs="Arial"/>
                <w:szCs w:val="22"/>
              </w:rPr>
              <w:t xml:space="preserve">in </w:t>
            </w:r>
            <w:r w:rsidR="00853565">
              <w:rPr>
                <w:rFonts w:cs="Arial"/>
                <w:szCs w:val="22"/>
              </w:rPr>
              <w:t xml:space="preserve">the </w:t>
            </w:r>
            <w:r w:rsidR="00C4032B">
              <w:rPr>
                <w:rFonts w:cs="Arial"/>
                <w:szCs w:val="22"/>
              </w:rPr>
              <w:t>Action Paper</w:t>
            </w:r>
            <w:r w:rsidR="00853565">
              <w:rPr>
                <w:rFonts w:cs="Arial"/>
                <w:szCs w:val="22"/>
              </w:rPr>
              <w:t xml:space="preserve"> (document </w:t>
            </w:r>
            <w:proofErr w:type="spellStart"/>
            <w:r w:rsidR="00F63C9F" w:rsidRPr="0066069A">
              <w:rPr>
                <w:rFonts w:cs="Arial"/>
                <w:szCs w:val="22"/>
              </w:rPr>
              <w:t>document</w:t>
            </w:r>
            <w:proofErr w:type="spellEnd"/>
            <w:r w:rsidR="00F63C9F" w:rsidRPr="0066069A">
              <w:rPr>
                <w:rFonts w:cs="Arial"/>
                <w:szCs w:val="22"/>
              </w:rPr>
              <w:t xml:space="preserve"> </w:t>
            </w:r>
            <w:hyperlink r:id="rId8" w:history="1">
              <w:r w:rsidR="00F63C9F" w:rsidRPr="006D0A98">
                <w:rPr>
                  <w:rStyle w:val="Hyperlink"/>
                </w:rPr>
                <w:t>IOC-31/AP</w:t>
              </w:r>
            </w:hyperlink>
            <w:r w:rsidR="00F63C9F">
              <w:rPr>
                <w:rFonts w:cs="Arial"/>
                <w:szCs w:val="22"/>
              </w:rPr>
              <w:t xml:space="preserve"> Rev.</w:t>
            </w:r>
            <w:r w:rsidR="00853565">
              <w:rPr>
                <w:rFonts w:cs="Arial"/>
                <w:szCs w:val="22"/>
              </w:rPr>
              <w:t>)</w:t>
            </w:r>
          </w:p>
        </w:tc>
      </w:tr>
    </w:tbl>
    <w:p w14:paraId="75BE0AB6" w14:textId="77777777" w:rsidR="00746B89" w:rsidRPr="006842FA" w:rsidRDefault="00746B89" w:rsidP="005C7A36">
      <w:pPr>
        <w:pStyle w:val="Heading3"/>
        <w:sectPr w:rsidR="00746B89" w:rsidRPr="006842FA"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5357F859" w14:textId="686AFE32" w:rsidR="00F66CC5" w:rsidRPr="004E27E7" w:rsidRDefault="00AD06D8" w:rsidP="00F66CC5">
      <w:pPr>
        <w:pStyle w:val="Heading7"/>
        <w:rPr>
          <w:b/>
          <w:bCs/>
          <w:u w:val="none"/>
        </w:rPr>
      </w:pPr>
      <w:r w:rsidRPr="004E27E7">
        <w:rPr>
          <w:b/>
          <w:bCs/>
          <w:u w:val="none"/>
        </w:rPr>
        <w:lastRenderedPageBreak/>
        <w:t>Introduction</w:t>
      </w:r>
    </w:p>
    <w:p w14:paraId="4ED15CBC" w14:textId="77777777" w:rsidR="00F66CC5" w:rsidRPr="00F66CC5" w:rsidRDefault="00F66CC5" w:rsidP="00F66CC5"/>
    <w:p w14:paraId="51E3B8AE" w14:textId="6DE20819" w:rsidR="00EE10D0" w:rsidRDefault="00163C49" w:rsidP="001B33EB">
      <w:pPr>
        <w:pStyle w:val="COI"/>
        <w:spacing w:after="120"/>
        <w:rPr>
          <w:i/>
        </w:rPr>
      </w:pPr>
      <w:r>
        <w:t xml:space="preserve">In February 2019, </w:t>
      </w:r>
      <w:r w:rsidR="00EE10D0" w:rsidRPr="00494661">
        <w:t>the IOC Committee on International Oceanographic</w:t>
      </w:r>
      <w:r w:rsidR="00EE10D0">
        <w:t xml:space="preserve"> Data and Information Exchange </w:t>
      </w:r>
      <w:r>
        <w:t>requested that</w:t>
      </w:r>
      <w:r w:rsidR="00EE10D0">
        <w:t xml:space="preserve"> the </w:t>
      </w:r>
      <w:r w:rsidR="00A16A59">
        <w:t xml:space="preserve">activities </w:t>
      </w:r>
      <w:r w:rsidR="00A16A59">
        <w:t xml:space="preserve">of the </w:t>
      </w:r>
      <w:r>
        <w:t xml:space="preserve">Project </w:t>
      </w:r>
      <w:r w:rsidR="00EE10D0">
        <w:t xml:space="preserve">Office </w:t>
      </w:r>
      <w:r w:rsidR="00A16A59">
        <w:t xml:space="preserve">for </w:t>
      </w:r>
      <w:r w:rsidR="00A16A59">
        <w:t xml:space="preserve">IODE </w:t>
      </w:r>
      <w:r>
        <w:t xml:space="preserve">be reviewed in anticipation of the expiration of the Memorandum of Understanding </w:t>
      </w:r>
      <w:r w:rsidR="00A16A59">
        <w:t>si</w:t>
      </w:r>
      <w:r w:rsidR="00EE10D0">
        <w:t xml:space="preserve">gned </w:t>
      </w:r>
      <w:r>
        <w:t xml:space="preserve">between the Flanders Marine Institute (Belgium) and the </w:t>
      </w:r>
      <w:r w:rsidR="00095FC6">
        <w:t>UNESCO/</w:t>
      </w:r>
      <w:r>
        <w:t xml:space="preserve">IOC that established it in Ostend (Belgium). </w:t>
      </w:r>
      <w:r w:rsidR="00095FC6">
        <w:t>Such a</w:t>
      </w:r>
      <w:r>
        <w:t xml:space="preserve"> review </w:t>
      </w:r>
      <w:r w:rsidR="00095FC6">
        <w:t xml:space="preserve">of the performance of the Project Office is foreseen in the Article IV of the MoU before </w:t>
      </w:r>
      <w:r w:rsidR="00A16A59">
        <w:t>the</w:t>
      </w:r>
      <w:r w:rsidR="00095FC6">
        <w:t xml:space="preserve"> expiry</w:t>
      </w:r>
      <w:r w:rsidR="00A16A59">
        <w:t xml:space="preserve"> thereof</w:t>
      </w:r>
      <w:r w:rsidR="00EE10D0">
        <w:t xml:space="preserve"> on 1 December 2021:</w:t>
      </w:r>
      <w:r w:rsidR="00EE10D0">
        <w:rPr>
          <w:i/>
        </w:rPr>
        <w:t xml:space="preserve"> </w:t>
      </w:r>
    </w:p>
    <w:p w14:paraId="2830D5E9" w14:textId="5B2CB8F5" w:rsidR="00EE10D0" w:rsidRDefault="00EE10D0" w:rsidP="00EE10D0">
      <w:pPr>
        <w:ind w:left="720"/>
        <w:rPr>
          <w:b/>
        </w:rPr>
      </w:pPr>
      <w:r>
        <w:rPr>
          <w:i/>
        </w:rPr>
        <w:t>A review of the performance of the UNESCO/IOC Project Office for IODE shall be organized once, and prior to the expiry of this Memorandum of Understanding. The evaluation shall be submitted for approval to the IODE Committee that oversees the Project Office activities. The IODE Committee may, as it deems necessary, recommend the renewal or extension of this agreement and will submit this Recommendation to the next available Session of the IOC Assembly or Executive Council.</w:t>
      </w:r>
      <w:r>
        <w:rPr>
          <w:b/>
        </w:rPr>
        <w:t xml:space="preserve"> </w:t>
      </w:r>
    </w:p>
    <w:p w14:paraId="5DC06D43" w14:textId="77777777" w:rsidR="00F66CC5" w:rsidRDefault="00F66CC5" w:rsidP="00EE10D0">
      <w:pPr>
        <w:ind w:left="720"/>
        <w:rPr>
          <w:b/>
        </w:rPr>
      </w:pPr>
    </w:p>
    <w:p w14:paraId="158B1451" w14:textId="29E02408" w:rsidR="00F66CC5" w:rsidRPr="00F66CC5" w:rsidRDefault="00095FC6" w:rsidP="00F66CC5">
      <w:pPr>
        <w:pStyle w:val="COI"/>
        <w:rPr>
          <w:rFonts w:cs="Arial"/>
        </w:rPr>
      </w:pPr>
      <w:r>
        <w:t>The MoU that established the IODE Project Office in Ostend</w:t>
      </w:r>
      <w:r w:rsidR="00A16A59">
        <w:t xml:space="preserve">, </w:t>
      </w:r>
      <w:r w:rsidR="00F66CC5" w:rsidRPr="00CF7C4F">
        <w:t xml:space="preserve">was first </w:t>
      </w:r>
      <w:r w:rsidR="00A16A59">
        <w:t>signed</w:t>
      </w:r>
      <w:r w:rsidR="00A16A59" w:rsidRPr="00CF7C4F">
        <w:t xml:space="preserve"> </w:t>
      </w:r>
      <w:r w:rsidR="00F66CC5" w:rsidRPr="00CF7C4F">
        <w:t xml:space="preserve">in 2005 and </w:t>
      </w:r>
      <w:r w:rsidR="00A16A59">
        <w:t xml:space="preserve">was </w:t>
      </w:r>
      <w:r w:rsidR="00F66CC5" w:rsidRPr="00CF7C4F">
        <w:t xml:space="preserve">renewed </w:t>
      </w:r>
      <w:r w:rsidR="00A16A59">
        <w:t xml:space="preserve">twice </w:t>
      </w:r>
      <w:r w:rsidR="00F66CC5" w:rsidRPr="00CF7C4F">
        <w:t>in 2012 and 2017.</w:t>
      </w:r>
    </w:p>
    <w:p w14:paraId="7DDE3E7B" w14:textId="28B80024" w:rsidR="00F66CC5" w:rsidRPr="00F66CC5" w:rsidRDefault="00F66CC5" w:rsidP="001B33EB">
      <w:pPr>
        <w:pStyle w:val="COI"/>
        <w:spacing w:after="120"/>
        <w:rPr>
          <w:rFonts w:cs="Arial"/>
        </w:rPr>
      </w:pPr>
      <w:r w:rsidRPr="00F66CC5">
        <w:rPr>
          <w:rFonts w:cs="Arial"/>
        </w:rPr>
        <w:t xml:space="preserve">The </w:t>
      </w:r>
      <w:r w:rsidR="00A16A59">
        <w:rPr>
          <w:rFonts w:cs="Arial"/>
        </w:rPr>
        <w:t xml:space="preserve">current </w:t>
      </w:r>
      <w:r w:rsidRPr="00F66CC5">
        <w:rPr>
          <w:rFonts w:cs="Arial"/>
        </w:rPr>
        <w:t>Terms of Reference for the UNESCO/IOC Project Office for IODE are as follows:</w:t>
      </w:r>
    </w:p>
    <w:p w14:paraId="520FF6AF" w14:textId="77777777" w:rsidR="00F66CC5" w:rsidRPr="00CF7C4F" w:rsidRDefault="00F66CC5" w:rsidP="001B33EB">
      <w:pPr>
        <w:numPr>
          <w:ilvl w:val="0"/>
          <w:numId w:val="29"/>
        </w:numPr>
        <w:tabs>
          <w:tab w:val="clear" w:pos="567"/>
        </w:tabs>
        <w:snapToGrid/>
        <w:spacing w:after="120"/>
        <w:ind w:left="1418" w:hanging="709"/>
        <w:jc w:val="both"/>
        <w:rPr>
          <w:rFonts w:cs="Arial"/>
        </w:rPr>
      </w:pPr>
      <w:r w:rsidRPr="00CF7C4F">
        <w:rPr>
          <w:rFonts w:cs="Arial"/>
        </w:rPr>
        <w:t xml:space="preserve">To establish a creative environment facilitating the further development and maintenance of IODE projects, services and products with emphasis on improving the efficiency and effectiveness of the data and product/service stream between the stage of sampling and the </w:t>
      </w:r>
      <w:proofErr w:type="gramStart"/>
      <w:r w:rsidRPr="00CF7C4F">
        <w:rPr>
          <w:rFonts w:cs="Arial"/>
        </w:rPr>
        <w:t>user;</w:t>
      </w:r>
      <w:proofErr w:type="gramEnd"/>
    </w:p>
    <w:p w14:paraId="4977771C" w14:textId="77777777" w:rsidR="00F66CC5" w:rsidRPr="00CF7C4F" w:rsidRDefault="00F66CC5" w:rsidP="001B33EB">
      <w:pPr>
        <w:numPr>
          <w:ilvl w:val="0"/>
          <w:numId w:val="29"/>
        </w:numPr>
        <w:tabs>
          <w:tab w:val="clear" w:pos="567"/>
        </w:tabs>
        <w:snapToGrid/>
        <w:spacing w:after="120"/>
        <w:ind w:left="1418" w:hanging="709"/>
        <w:jc w:val="both"/>
        <w:rPr>
          <w:rFonts w:cs="Arial"/>
        </w:rPr>
      </w:pPr>
      <w:r w:rsidRPr="00CF7C4F">
        <w:rPr>
          <w:rFonts w:cs="Arial"/>
        </w:rPr>
        <w:t xml:space="preserve">To assist in strengthening the capacity of Member States to manage oceanographic data and information (by organizing relevant training and the capacity building related activities) and to provide ocean data and information products and services required by </w:t>
      </w:r>
      <w:proofErr w:type="gramStart"/>
      <w:r w:rsidRPr="00CF7C4F">
        <w:rPr>
          <w:rFonts w:cs="Arial"/>
        </w:rPr>
        <w:t>users;</w:t>
      </w:r>
      <w:proofErr w:type="gramEnd"/>
    </w:p>
    <w:p w14:paraId="0721375B" w14:textId="77777777" w:rsidR="00F66CC5" w:rsidRPr="00CF7C4F" w:rsidRDefault="00F66CC5" w:rsidP="001B33EB">
      <w:pPr>
        <w:numPr>
          <w:ilvl w:val="0"/>
          <w:numId w:val="29"/>
        </w:numPr>
        <w:tabs>
          <w:tab w:val="clear" w:pos="567"/>
        </w:tabs>
        <w:snapToGrid/>
        <w:spacing w:after="120"/>
        <w:ind w:left="1418" w:hanging="709"/>
        <w:jc w:val="both"/>
        <w:rPr>
          <w:rFonts w:cs="Arial"/>
        </w:rPr>
      </w:pPr>
      <w:r w:rsidRPr="00CF7C4F">
        <w:rPr>
          <w:rFonts w:cs="Arial"/>
        </w:rPr>
        <w:t xml:space="preserve">To liaise and maintain links with relevant UNESCO/IOC programmes and other projects as relevant to the projects implemented by the UNESCO/IOC Project Office for </w:t>
      </w:r>
      <w:proofErr w:type="gramStart"/>
      <w:r w:rsidRPr="00CF7C4F">
        <w:rPr>
          <w:rFonts w:cs="Arial"/>
        </w:rPr>
        <w:t>IODE;</w:t>
      </w:r>
      <w:proofErr w:type="gramEnd"/>
    </w:p>
    <w:p w14:paraId="20554ACB" w14:textId="77777777" w:rsidR="00F66CC5" w:rsidRPr="00CF7C4F" w:rsidRDefault="00F66CC5" w:rsidP="001B33EB">
      <w:pPr>
        <w:numPr>
          <w:ilvl w:val="0"/>
          <w:numId w:val="29"/>
        </w:numPr>
        <w:tabs>
          <w:tab w:val="clear" w:pos="567"/>
        </w:tabs>
        <w:snapToGrid/>
        <w:ind w:left="1418" w:hanging="709"/>
        <w:jc w:val="both"/>
        <w:rPr>
          <w:rFonts w:cs="Arial"/>
        </w:rPr>
      </w:pPr>
      <w:r w:rsidRPr="00CF7C4F">
        <w:rPr>
          <w:rFonts w:cs="Arial"/>
        </w:rPr>
        <w:t>To establish and maintain links with other relevant organizations, institutions and programmes in order to promote cooperation with the UNESCO/IOC Project Office for IODE.</w:t>
      </w:r>
    </w:p>
    <w:p w14:paraId="03231216" w14:textId="77777777" w:rsidR="00F66CC5" w:rsidRPr="00CF7C4F" w:rsidRDefault="00F66CC5" w:rsidP="001B33EB">
      <w:pPr>
        <w:rPr>
          <w:rFonts w:cs="Arial"/>
        </w:rPr>
      </w:pPr>
    </w:p>
    <w:p w14:paraId="436D9E08" w14:textId="7CC45D3A" w:rsidR="00EE10D0" w:rsidRPr="004E27E7" w:rsidRDefault="00F66CC5" w:rsidP="001B33EB">
      <w:pPr>
        <w:pStyle w:val="Heading7"/>
        <w:spacing w:line="240" w:lineRule="auto"/>
        <w:rPr>
          <w:b/>
          <w:bCs/>
          <w:u w:val="none"/>
        </w:rPr>
      </w:pPr>
      <w:r w:rsidRPr="004E27E7">
        <w:rPr>
          <w:b/>
          <w:bCs/>
          <w:u w:val="none"/>
        </w:rPr>
        <w:t>Objective of the review</w:t>
      </w:r>
      <w:r w:rsidRPr="004E27E7">
        <w:rPr>
          <w:b/>
          <w:bCs/>
          <w:u w:val="none"/>
        </w:rPr>
        <w:br/>
      </w:r>
    </w:p>
    <w:p w14:paraId="789BC672" w14:textId="14D91DD2" w:rsidR="00A16A59" w:rsidRPr="00AF5844" w:rsidRDefault="00F66CC5" w:rsidP="00A16A59">
      <w:pPr>
        <w:pStyle w:val="COI"/>
        <w:rPr>
          <w:rFonts w:cs="Arial"/>
        </w:rPr>
      </w:pPr>
      <w:r w:rsidRPr="00CF7C4F">
        <w:t xml:space="preserve">The objective of the </w:t>
      </w:r>
      <w:r w:rsidRPr="00F66CC5">
        <w:t>review</w:t>
      </w:r>
      <w:r w:rsidRPr="00CF7C4F">
        <w:t xml:space="preserve"> is to evaluate the</w:t>
      </w:r>
      <w:r w:rsidR="00A16A59">
        <w:t xml:space="preserve"> activities of the </w:t>
      </w:r>
      <w:r w:rsidR="00A16A59" w:rsidRPr="00CF7C4F">
        <w:t xml:space="preserve">Project </w:t>
      </w:r>
      <w:r w:rsidRPr="00CF7C4F">
        <w:t xml:space="preserve">Office </w:t>
      </w:r>
      <w:r w:rsidR="00A16A59">
        <w:t xml:space="preserve">for IODE before considering a renewal of the MoU that establishes it in Ostend. </w:t>
      </w:r>
      <w:r w:rsidR="00A16A59">
        <w:t>Mr </w:t>
      </w:r>
      <w:r w:rsidR="00A16A59" w:rsidRPr="00CF7C4F">
        <w:t xml:space="preserve">Adam Leadbetter (Marine Institute, Ireland) and </w:t>
      </w:r>
      <w:r w:rsidR="00A16A59">
        <w:t>Mr </w:t>
      </w:r>
      <w:proofErr w:type="spellStart"/>
      <w:r w:rsidR="00A16A59" w:rsidRPr="00CF7C4F">
        <w:t>Loic</w:t>
      </w:r>
      <w:proofErr w:type="spellEnd"/>
      <w:r w:rsidR="00A16A59" w:rsidRPr="00CF7C4F">
        <w:t xml:space="preserve"> Petit de la </w:t>
      </w:r>
      <w:proofErr w:type="spellStart"/>
      <w:r w:rsidR="00A16A59" w:rsidRPr="00CF7C4F">
        <w:t>Villeon</w:t>
      </w:r>
      <w:proofErr w:type="spellEnd"/>
      <w:r w:rsidR="00A16A59" w:rsidRPr="00CF7C4F">
        <w:t xml:space="preserve"> (IFREMER, France) were </w:t>
      </w:r>
      <w:r w:rsidR="00A16A59">
        <w:t xml:space="preserve">selected for this mission. </w:t>
      </w:r>
    </w:p>
    <w:p w14:paraId="54A882AC" w14:textId="6859CF70" w:rsidR="00AD06D8" w:rsidRPr="004E27E7" w:rsidRDefault="00AD06D8" w:rsidP="001B33EB">
      <w:pPr>
        <w:pStyle w:val="COI"/>
        <w:numPr>
          <w:ilvl w:val="0"/>
          <w:numId w:val="0"/>
        </w:numPr>
        <w:rPr>
          <w:b/>
          <w:bCs/>
        </w:rPr>
      </w:pPr>
      <w:r w:rsidRPr="004E27E7">
        <w:rPr>
          <w:b/>
          <w:bCs/>
        </w:rPr>
        <w:t>Recommendations</w:t>
      </w:r>
    </w:p>
    <w:p w14:paraId="7001F625" w14:textId="77777777" w:rsidR="00AD06D8" w:rsidRDefault="00AD06D8" w:rsidP="001B33EB">
      <w:pPr>
        <w:pStyle w:val="COI"/>
        <w:spacing w:after="120"/>
      </w:pPr>
      <w:r w:rsidRPr="00CF7C4F">
        <w:t>Based on the results outlined above, the reviewers identified a number of areas which the IODE Project Office should consider in the future. These are detailed below:</w:t>
      </w:r>
    </w:p>
    <w:p w14:paraId="1E50606A" w14:textId="7D96C3FC" w:rsidR="00AD06D8" w:rsidRDefault="00AD06D8" w:rsidP="001B33EB">
      <w:pPr>
        <w:numPr>
          <w:ilvl w:val="0"/>
          <w:numId w:val="28"/>
        </w:numPr>
        <w:tabs>
          <w:tab w:val="clear" w:pos="567"/>
        </w:tabs>
        <w:snapToGrid/>
        <w:spacing w:after="120"/>
        <w:ind w:left="1260" w:hanging="567"/>
        <w:jc w:val="both"/>
        <w:rPr>
          <w:rFonts w:cs="Arial"/>
        </w:rPr>
      </w:pPr>
      <w:r w:rsidRPr="00CF7C4F">
        <w:rPr>
          <w:rFonts w:cs="Arial"/>
        </w:rPr>
        <w:t>In terms of conducting a performance review of the IOC Project Office for IODE, no Key Performance Indicators (KPIs) for the Project Office exist to provide a baseline for such a review. The reviewers recommend</w:t>
      </w:r>
      <w:r w:rsidR="00751680">
        <w:rPr>
          <w:rFonts w:cs="Arial"/>
        </w:rPr>
        <w:t>ed</w:t>
      </w:r>
      <w:r w:rsidRPr="00CF7C4F">
        <w:rPr>
          <w:rFonts w:cs="Arial"/>
        </w:rPr>
        <w:t xml:space="preserve"> that the IODE Project develops and agrees </w:t>
      </w:r>
      <w:r w:rsidR="00A16A59">
        <w:rPr>
          <w:rFonts w:cs="Arial"/>
        </w:rPr>
        <w:t xml:space="preserve">on </w:t>
      </w:r>
      <w:r w:rsidRPr="00CF7C4F">
        <w:rPr>
          <w:rFonts w:cs="Arial"/>
        </w:rPr>
        <w:t>a clear set of KPIs with its key stakeholders (UNESCO/IOC and VLIZ).</w:t>
      </w:r>
    </w:p>
    <w:p w14:paraId="78B09F11" w14:textId="44ED0909" w:rsidR="00AD06D8" w:rsidRDefault="00AD06D8" w:rsidP="001B33EB">
      <w:pPr>
        <w:numPr>
          <w:ilvl w:val="0"/>
          <w:numId w:val="28"/>
        </w:numPr>
        <w:tabs>
          <w:tab w:val="clear" w:pos="567"/>
        </w:tabs>
        <w:snapToGrid/>
        <w:spacing w:after="120"/>
        <w:ind w:left="1260" w:hanging="567"/>
        <w:jc w:val="both"/>
        <w:rPr>
          <w:rFonts w:cs="Arial"/>
        </w:rPr>
      </w:pPr>
      <w:r w:rsidRPr="00CF7C4F">
        <w:rPr>
          <w:rFonts w:cs="Arial"/>
        </w:rPr>
        <w:t xml:space="preserve">Similarly, it is recommended that the </w:t>
      </w:r>
      <w:r w:rsidR="00A16A59">
        <w:rPr>
          <w:rFonts w:cs="Arial"/>
        </w:rPr>
        <w:t xml:space="preserve">IOC </w:t>
      </w:r>
      <w:r w:rsidRPr="00CF7C4F">
        <w:rPr>
          <w:rFonts w:cs="Arial"/>
        </w:rPr>
        <w:t xml:space="preserve">Project Office </w:t>
      </w:r>
      <w:r w:rsidR="00A16A59">
        <w:rPr>
          <w:rFonts w:cs="Arial"/>
        </w:rPr>
        <w:t xml:space="preserve">for </w:t>
      </w:r>
      <w:r w:rsidR="00A16A59" w:rsidRPr="00CF7C4F">
        <w:rPr>
          <w:rFonts w:cs="Arial"/>
        </w:rPr>
        <w:t xml:space="preserve">IODE </w:t>
      </w:r>
      <w:r w:rsidRPr="00CF7C4F">
        <w:rPr>
          <w:rFonts w:cs="Arial"/>
        </w:rPr>
        <w:t xml:space="preserve">improves its annual reporting to both VLIZ and the IODE </w:t>
      </w:r>
      <w:proofErr w:type="gramStart"/>
      <w:r w:rsidRPr="00CF7C4F">
        <w:rPr>
          <w:rFonts w:cs="Arial"/>
        </w:rPr>
        <w:t>community as a whole</w:t>
      </w:r>
      <w:proofErr w:type="gramEnd"/>
      <w:r w:rsidRPr="00CF7C4F">
        <w:rPr>
          <w:rFonts w:cs="Arial"/>
        </w:rPr>
        <w:t xml:space="preserve">. These reports should include summary achievements from all IODE projects and highlight the impact of the </w:t>
      </w:r>
      <w:r w:rsidR="00751680">
        <w:rPr>
          <w:rFonts w:cs="Arial"/>
        </w:rPr>
        <w:t xml:space="preserve">activities of the </w:t>
      </w:r>
      <w:r w:rsidRPr="00CF7C4F">
        <w:rPr>
          <w:rFonts w:cs="Arial"/>
        </w:rPr>
        <w:t xml:space="preserve">Project Office and the overall IODE programme. Such reporting </w:t>
      </w:r>
      <w:r w:rsidR="00751680">
        <w:rPr>
          <w:rFonts w:cs="Arial"/>
        </w:rPr>
        <w:t>should</w:t>
      </w:r>
      <w:r w:rsidR="00751680" w:rsidRPr="00CF7C4F">
        <w:rPr>
          <w:rFonts w:cs="Arial"/>
        </w:rPr>
        <w:t xml:space="preserve"> </w:t>
      </w:r>
      <w:r w:rsidRPr="00CF7C4F">
        <w:rPr>
          <w:rFonts w:cs="Arial"/>
        </w:rPr>
        <w:lastRenderedPageBreak/>
        <w:t xml:space="preserve">allow better communication of the results of the IODE programme to all stakeholders </w:t>
      </w:r>
      <w:r w:rsidR="00751680">
        <w:rPr>
          <w:rFonts w:cs="Arial"/>
        </w:rPr>
        <w:t>as</w:t>
      </w:r>
      <w:r w:rsidRPr="00CF7C4F">
        <w:rPr>
          <w:rFonts w:cs="Arial"/>
        </w:rPr>
        <w:t xml:space="preserve"> interim updates between IODE sessions and UNESCO/IOC </w:t>
      </w:r>
      <w:r w:rsidR="00751680">
        <w:rPr>
          <w:rFonts w:cs="Arial"/>
        </w:rPr>
        <w:t xml:space="preserve">governing body </w:t>
      </w:r>
      <w:r w:rsidRPr="00CF7C4F">
        <w:rPr>
          <w:rFonts w:cs="Arial"/>
        </w:rPr>
        <w:t>sessions.</w:t>
      </w:r>
    </w:p>
    <w:p w14:paraId="06377DD2" w14:textId="28C713B6" w:rsidR="00AD06D8" w:rsidRDefault="00751680" w:rsidP="001B33EB">
      <w:pPr>
        <w:numPr>
          <w:ilvl w:val="0"/>
          <w:numId w:val="28"/>
        </w:numPr>
        <w:tabs>
          <w:tab w:val="clear" w:pos="567"/>
        </w:tabs>
        <w:snapToGrid/>
        <w:spacing w:after="120"/>
        <w:ind w:left="1260" w:hanging="567"/>
        <w:jc w:val="both"/>
        <w:rPr>
          <w:rFonts w:cs="Arial"/>
        </w:rPr>
      </w:pPr>
      <w:r>
        <w:rPr>
          <w:rFonts w:cs="Arial"/>
        </w:rPr>
        <w:t>The reviewers</w:t>
      </w:r>
      <w:r w:rsidR="00AD06D8" w:rsidRPr="00CF7C4F">
        <w:rPr>
          <w:rFonts w:cs="Arial"/>
        </w:rPr>
        <w:t xml:space="preserve"> recommend</w:t>
      </w:r>
      <w:r>
        <w:rPr>
          <w:rFonts w:cs="Arial"/>
        </w:rPr>
        <w:t xml:space="preserve">ed </w:t>
      </w:r>
      <w:r w:rsidR="00AD06D8" w:rsidRPr="00CF7C4F">
        <w:rPr>
          <w:rFonts w:cs="Arial"/>
        </w:rPr>
        <w:t xml:space="preserve">that methods to better assess and report the impact of the training facilitated through the </w:t>
      </w:r>
      <w:proofErr w:type="spellStart"/>
      <w:r w:rsidR="00AD06D8" w:rsidRPr="00CF7C4F">
        <w:rPr>
          <w:rFonts w:cs="Arial"/>
        </w:rPr>
        <w:t>OceanTeacher</w:t>
      </w:r>
      <w:proofErr w:type="spellEnd"/>
      <w:r w:rsidR="00AD06D8" w:rsidRPr="00CF7C4F">
        <w:rPr>
          <w:rFonts w:cs="Arial"/>
        </w:rPr>
        <w:t xml:space="preserve"> Global Academy </w:t>
      </w:r>
      <w:r>
        <w:rPr>
          <w:rFonts w:cs="Arial"/>
        </w:rPr>
        <w:t>be</w:t>
      </w:r>
      <w:r w:rsidRPr="00CF7C4F">
        <w:rPr>
          <w:rFonts w:cs="Arial"/>
        </w:rPr>
        <w:t xml:space="preserve"> </w:t>
      </w:r>
      <w:r w:rsidR="00AD06D8" w:rsidRPr="00CF7C4F">
        <w:rPr>
          <w:rFonts w:cs="Arial"/>
        </w:rPr>
        <w:t>investigated and adopted.</w:t>
      </w:r>
    </w:p>
    <w:p w14:paraId="259A078E" w14:textId="15B9CD71" w:rsidR="00AD06D8" w:rsidRDefault="00AD06D8" w:rsidP="001B33EB">
      <w:pPr>
        <w:numPr>
          <w:ilvl w:val="0"/>
          <w:numId w:val="28"/>
        </w:numPr>
        <w:tabs>
          <w:tab w:val="clear" w:pos="567"/>
        </w:tabs>
        <w:snapToGrid/>
        <w:spacing w:after="120"/>
        <w:ind w:left="1260" w:hanging="567"/>
        <w:jc w:val="both"/>
        <w:rPr>
          <w:rFonts w:cs="Arial"/>
        </w:rPr>
      </w:pPr>
      <w:r w:rsidRPr="00CF7C4F">
        <w:rPr>
          <w:rFonts w:cs="Arial"/>
        </w:rPr>
        <w:t>The strong brand of the IODE Project Office should be more prominently displayed on the various portals operated by the IODE Project Office. Each of these portals should have a clear and distinctive purpose which is well described. The IODE brand could also be strengthened by clarifying IODE's relationships with the Global Ocean Observing System (GOOS) and the World Meteorological Organi</w:t>
      </w:r>
      <w:r w:rsidR="00751680">
        <w:rPr>
          <w:rFonts w:cs="Arial"/>
        </w:rPr>
        <w:t>z</w:t>
      </w:r>
      <w:r w:rsidRPr="00CF7C4F">
        <w:rPr>
          <w:rFonts w:cs="Arial"/>
        </w:rPr>
        <w:t>ation (WMO) (amongst others) on the IODE website, and perhaps through a full website refresh. This should also help to focus which projects are most clearly in IODE’s domain, and which are most clearly in the domain of, for example, GOOS or WMO. Similarly, the IODE Project Office is encouraged to promote its brand and its activity including through Ocean Info Hub and Ocean Teacher Global Academy activities more prominently in communications for the UN Decade of Ocean</w:t>
      </w:r>
      <w:r w:rsidR="00751680">
        <w:rPr>
          <w:rFonts w:cs="Arial"/>
        </w:rPr>
        <w:t xml:space="preserve"> Science</w:t>
      </w:r>
      <w:r w:rsidRPr="00CF7C4F">
        <w:rPr>
          <w:rFonts w:cs="Arial"/>
        </w:rPr>
        <w:t xml:space="preserve"> for Sustainable Development. The reviewers note the strong capacity of the IODE </w:t>
      </w:r>
      <w:r w:rsidR="00751680" w:rsidRPr="00CF7C4F">
        <w:rPr>
          <w:rFonts w:cs="Arial"/>
        </w:rPr>
        <w:t xml:space="preserve">Project Office </w:t>
      </w:r>
      <w:r w:rsidRPr="00CF7C4F">
        <w:rPr>
          <w:rFonts w:cs="Arial"/>
        </w:rPr>
        <w:t xml:space="preserve">to conduct cross-cutting activities such as capacity building, training, marine </w:t>
      </w:r>
      <w:proofErr w:type="gramStart"/>
      <w:r w:rsidRPr="00CF7C4F">
        <w:rPr>
          <w:rFonts w:cs="Arial"/>
        </w:rPr>
        <w:t>information</w:t>
      </w:r>
      <w:proofErr w:type="gramEnd"/>
      <w:r w:rsidRPr="00CF7C4F">
        <w:rPr>
          <w:rFonts w:cs="Arial"/>
        </w:rPr>
        <w:t xml:space="preserve"> and data management projects, and </w:t>
      </w:r>
      <w:r w:rsidR="00751680">
        <w:rPr>
          <w:rFonts w:cs="Arial"/>
        </w:rPr>
        <w:t xml:space="preserve">in </w:t>
      </w:r>
      <w:r w:rsidRPr="00CF7C4F">
        <w:rPr>
          <w:rFonts w:cs="Arial"/>
        </w:rPr>
        <w:t>operating various web portals.</w:t>
      </w:r>
    </w:p>
    <w:p w14:paraId="7D13884F" w14:textId="0832608D" w:rsidR="00AD06D8" w:rsidRDefault="00AD06D8" w:rsidP="001B33EB">
      <w:pPr>
        <w:numPr>
          <w:ilvl w:val="0"/>
          <w:numId w:val="28"/>
        </w:numPr>
        <w:tabs>
          <w:tab w:val="clear" w:pos="567"/>
        </w:tabs>
        <w:snapToGrid/>
        <w:spacing w:after="120"/>
        <w:ind w:left="1260" w:hanging="567"/>
        <w:jc w:val="both"/>
        <w:rPr>
          <w:rFonts w:cs="Arial"/>
        </w:rPr>
      </w:pPr>
      <w:r w:rsidRPr="00CF7C4F">
        <w:rPr>
          <w:rFonts w:cs="Arial"/>
        </w:rPr>
        <w:t>The reviewers noted that those interviewed universally praised the strong efficiency of the IODE Project Office secretariat under the strong leadership of Mr</w:t>
      </w:r>
      <w:r w:rsidR="00751680">
        <w:rPr>
          <w:rFonts w:cs="Arial"/>
        </w:rPr>
        <w:t> </w:t>
      </w:r>
      <w:r w:rsidRPr="00CF7C4F">
        <w:rPr>
          <w:rFonts w:cs="Arial"/>
        </w:rPr>
        <w:t xml:space="preserve">Peter Pissierssens. The reviewers identified the necessity for </w:t>
      </w:r>
      <w:r w:rsidR="00751680">
        <w:rPr>
          <w:rFonts w:cs="Arial"/>
        </w:rPr>
        <w:t xml:space="preserve">a </w:t>
      </w:r>
      <w:r w:rsidRPr="00CF7C4F">
        <w:rPr>
          <w:rFonts w:cs="Arial"/>
        </w:rPr>
        <w:t xml:space="preserve">succession planning </w:t>
      </w:r>
      <w:r w:rsidR="00751680">
        <w:rPr>
          <w:rFonts w:cs="Arial"/>
        </w:rPr>
        <w:t xml:space="preserve">to replace </w:t>
      </w:r>
      <w:r w:rsidRPr="00CF7C4F">
        <w:rPr>
          <w:rFonts w:cs="Arial"/>
        </w:rPr>
        <w:t>Mr</w:t>
      </w:r>
      <w:r w:rsidR="00751680">
        <w:rPr>
          <w:rFonts w:cs="Arial"/>
        </w:rPr>
        <w:t> </w:t>
      </w:r>
      <w:r w:rsidRPr="00CF7C4F">
        <w:rPr>
          <w:rFonts w:cs="Arial"/>
        </w:rPr>
        <w:t xml:space="preserve">Pissierssens </w:t>
      </w:r>
      <w:r w:rsidR="00751680">
        <w:rPr>
          <w:rFonts w:cs="Arial"/>
        </w:rPr>
        <w:t xml:space="preserve">who will retire </w:t>
      </w:r>
      <w:r w:rsidRPr="00CF7C4F">
        <w:rPr>
          <w:rFonts w:cs="Arial"/>
        </w:rPr>
        <w:t>and</w:t>
      </w:r>
      <w:r w:rsidR="00751680">
        <w:rPr>
          <w:rFonts w:cs="Arial"/>
        </w:rPr>
        <w:t>,</w:t>
      </w:r>
      <w:r w:rsidRPr="00CF7C4F">
        <w:rPr>
          <w:rFonts w:cs="Arial"/>
        </w:rPr>
        <w:t xml:space="preserve"> if </w:t>
      </w:r>
      <w:r w:rsidR="004E27E7" w:rsidRPr="00CF7C4F">
        <w:rPr>
          <w:rFonts w:cs="Arial"/>
        </w:rPr>
        <w:t>possible,</w:t>
      </w:r>
      <w:r w:rsidRPr="00CF7C4F">
        <w:rPr>
          <w:rFonts w:cs="Arial"/>
        </w:rPr>
        <w:t xml:space="preserve"> to </w:t>
      </w:r>
      <w:r w:rsidR="00751680">
        <w:rPr>
          <w:rFonts w:cs="Arial"/>
        </w:rPr>
        <w:t>organize</w:t>
      </w:r>
      <w:r w:rsidR="00751680" w:rsidRPr="00CF7C4F">
        <w:rPr>
          <w:rFonts w:cs="Arial"/>
        </w:rPr>
        <w:t xml:space="preserve"> </w:t>
      </w:r>
      <w:r w:rsidRPr="00CF7C4F">
        <w:rPr>
          <w:rFonts w:cs="Arial"/>
        </w:rPr>
        <w:t>some overlap in tenure between Mr</w:t>
      </w:r>
      <w:r w:rsidR="00751680">
        <w:rPr>
          <w:rFonts w:cs="Arial"/>
        </w:rPr>
        <w:t> </w:t>
      </w:r>
      <w:r w:rsidRPr="00CF7C4F">
        <w:rPr>
          <w:rFonts w:cs="Arial"/>
        </w:rPr>
        <w:t>Pissierssens and his successor.</w:t>
      </w:r>
    </w:p>
    <w:p w14:paraId="3BBC89F9" w14:textId="2811642E" w:rsidR="00AD06D8" w:rsidRDefault="00AD06D8" w:rsidP="001B33EB">
      <w:pPr>
        <w:numPr>
          <w:ilvl w:val="0"/>
          <w:numId w:val="28"/>
        </w:numPr>
        <w:tabs>
          <w:tab w:val="clear" w:pos="567"/>
        </w:tabs>
        <w:snapToGrid/>
        <w:spacing w:after="120"/>
        <w:ind w:left="1260" w:hanging="567"/>
        <w:jc w:val="both"/>
        <w:rPr>
          <w:rFonts w:cs="Arial"/>
        </w:rPr>
      </w:pPr>
      <w:r w:rsidRPr="00CF7C4F">
        <w:rPr>
          <w:rFonts w:cs="Arial"/>
        </w:rPr>
        <w:t>Due to the administrative structures under which the IODE Project Office exists, it is difficult for the Project Office to become involved in European Union funded projects, including Horizon</w:t>
      </w:r>
      <w:r w:rsidR="00751680">
        <w:rPr>
          <w:rFonts w:cs="Arial"/>
        </w:rPr>
        <w:t>-</w:t>
      </w:r>
      <w:r w:rsidRPr="00CF7C4F">
        <w:rPr>
          <w:rFonts w:cs="Arial"/>
        </w:rPr>
        <w:t xml:space="preserve">funded projects and EASME contracts, such as the </w:t>
      </w:r>
      <w:proofErr w:type="spellStart"/>
      <w:r w:rsidRPr="00CF7C4F">
        <w:rPr>
          <w:rFonts w:cs="Arial"/>
        </w:rPr>
        <w:t>EMODnet</w:t>
      </w:r>
      <w:proofErr w:type="spellEnd"/>
      <w:r w:rsidRPr="00CF7C4F">
        <w:rPr>
          <w:rFonts w:cs="Arial"/>
        </w:rPr>
        <w:t xml:space="preserve"> lots. For example, it is noted that the European Union has made significant investments through Horizon funding in open data and open science, which IODE is well placed to contribute to. The reviewers recommend</w:t>
      </w:r>
      <w:r w:rsidR="00426B8C">
        <w:rPr>
          <w:rFonts w:cs="Arial"/>
        </w:rPr>
        <w:t>ed</w:t>
      </w:r>
      <w:r w:rsidRPr="00CF7C4F">
        <w:rPr>
          <w:rFonts w:cs="Arial"/>
        </w:rPr>
        <w:t xml:space="preserve"> that structures which </w:t>
      </w:r>
      <w:r w:rsidR="00426B8C">
        <w:rPr>
          <w:rFonts w:cs="Arial"/>
        </w:rPr>
        <w:t xml:space="preserve">would </w:t>
      </w:r>
      <w:r w:rsidRPr="00CF7C4F">
        <w:rPr>
          <w:rFonts w:cs="Arial"/>
        </w:rPr>
        <w:t xml:space="preserve">allow more responsiveness </w:t>
      </w:r>
      <w:r w:rsidR="00426B8C">
        <w:rPr>
          <w:rFonts w:cs="Arial"/>
        </w:rPr>
        <w:t>of</w:t>
      </w:r>
      <w:r w:rsidR="00426B8C" w:rsidRPr="00CF7C4F">
        <w:rPr>
          <w:rFonts w:cs="Arial"/>
        </w:rPr>
        <w:t xml:space="preserve"> </w:t>
      </w:r>
      <w:r w:rsidRPr="00CF7C4F">
        <w:rPr>
          <w:rFonts w:cs="Arial"/>
        </w:rPr>
        <w:t>the Project Office</w:t>
      </w:r>
      <w:r w:rsidR="00426B8C">
        <w:rPr>
          <w:rFonts w:cs="Arial"/>
        </w:rPr>
        <w:t xml:space="preserve"> to</w:t>
      </w:r>
      <w:r w:rsidRPr="00CF7C4F">
        <w:rPr>
          <w:rFonts w:cs="Arial"/>
        </w:rPr>
        <w:t xml:space="preserve"> such projects </w:t>
      </w:r>
      <w:r w:rsidR="00426B8C">
        <w:rPr>
          <w:rFonts w:cs="Arial"/>
        </w:rPr>
        <w:t>be</w:t>
      </w:r>
      <w:r w:rsidR="00426B8C" w:rsidRPr="00CF7C4F">
        <w:rPr>
          <w:rFonts w:cs="Arial"/>
        </w:rPr>
        <w:t xml:space="preserve"> </w:t>
      </w:r>
      <w:r w:rsidRPr="00CF7C4F">
        <w:rPr>
          <w:rFonts w:cs="Arial"/>
        </w:rPr>
        <w:t xml:space="preserve">examined, </w:t>
      </w:r>
      <w:r w:rsidR="00426B8C">
        <w:rPr>
          <w:rFonts w:cs="Arial"/>
        </w:rPr>
        <w:t xml:space="preserve">for instance in the form of </w:t>
      </w:r>
      <w:r w:rsidRPr="00CF7C4F">
        <w:rPr>
          <w:rFonts w:cs="Arial"/>
        </w:rPr>
        <w:t>a subsidiary entity or an international association without lucrative purpose (AISBL). This may also require reaching out to sectors that are not traditionally involved in IODE Project Office activities, in particular private sector industry.</w:t>
      </w:r>
    </w:p>
    <w:p w14:paraId="4B05DF1C" w14:textId="77777777" w:rsidR="00AD06D8" w:rsidRDefault="00AD06D8" w:rsidP="001B33EB">
      <w:pPr>
        <w:numPr>
          <w:ilvl w:val="0"/>
          <w:numId w:val="28"/>
        </w:numPr>
        <w:tabs>
          <w:tab w:val="clear" w:pos="567"/>
        </w:tabs>
        <w:snapToGrid/>
        <w:spacing w:after="120"/>
        <w:ind w:left="1260" w:hanging="567"/>
        <w:jc w:val="both"/>
        <w:rPr>
          <w:rFonts w:cs="Arial"/>
        </w:rPr>
      </w:pPr>
      <w:r w:rsidRPr="00CF7C4F">
        <w:rPr>
          <w:rFonts w:cs="Arial"/>
        </w:rPr>
        <w:t xml:space="preserve">Sustainability plans for the key and/or highest-priority IODE projects should also be developed in order to maximise the potential reach and impact of the projects. These sustainability plans should consider the continued and furthered use of blended teaching platforms for </w:t>
      </w:r>
      <w:proofErr w:type="spellStart"/>
      <w:r w:rsidRPr="00CF7C4F">
        <w:rPr>
          <w:rFonts w:cs="Arial"/>
        </w:rPr>
        <w:t>OceanTeacher</w:t>
      </w:r>
      <w:proofErr w:type="spellEnd"/>
      <w:r w:rsidRPr="00CF7C4F">
        <w:rPr>
          <w:rFonts w:cs="Arial"/>
        </w:rPr>
        <w:t xml:space="preserve"> Global Academy courses as was successfully trialled in 2020. It was also suggested to the reviewers that more autonomy for the Regional Training Centres should be considered as an element of the sustainability of Ocean Teacher Global Academy.</w:t>
      </w:r>
    </w:p>
    <w:p w14:paraId="1973332A" w14:textId="51ACE21A" w:rsidR="00AD06D8" w:rsidRDefault="00AD06D8" w:rsidP="001B33EB">
      <w:pPr>
        <w:numPr>
          <w:ilvl w:val="0"/>
          <w:numId w:val="28"/>
        </w:numPr>
        <w:tabs>
          <w:tab w:val="clear" w:pos="567"/>
        </w:tabs>
        <w:snapToGrid/>
        <w:spacing w:after="120"/>
        <w:ind w:left="1260" w:hanging="567"/>
        <w:jc w:val="both"/>
        <w:rPr>
          <w:rFonts w:cs="Arial"/>
        </w:rPr>
      </w:pPr>
      <w:r w:rsidRPr="00CF7C4F">
        <w:rPr>
          <w:rFonts w:cs="Arial"/>
        </w:rPr>
        <w:t xml:space="preserve">The goal of more sustainable funding and improved ability to respond to project calls should be facilitated by the expansion of the IODE Project Office staff, in particular on the IT side. Currently, IT staffing is limited to one member but this puts limitation on the technical support and leadership that the Project Office can provide, especially when considering projects such as </w:t>
      </w:r>
      <w:hyperlink r:id="rId12" w:history="1">
        <w:r w:rsidRPr="00426B8C">
          <w:rPr>
            <w:rStyle w:val="Hyperlink"/>
            <w:rFonts w:cs="Arial"/>
          </w:rPr>
          <w:t>Ocean Info Hub</w:t>
        </w:r>
      </w:hyperlink>
      <w:r w:rsidRPr="00CF7C4F">
        <w:rPr>
          <w:rFonts w:cs="Arial"/>
        </w:rPr>
        <w:t xml:space="preserve">. The hiring and retention of extra full-time staff with skills in digital and information technologies would also help the IODE Project Office maintain its relevance in the rapidly and ever changing data management landscape, and to cement IODE's role in the </w:t>
      </w:r>
      <w:r w:rsidR="00426B8C">
        <w:rPr>
          <w:rFonts w:cs="Arial"/>
        </w:rPr>
        <w:t>‘</w:t>
      </w:r>
      <w:r w:rsidRPr="00CF7C4F">
        <w:rPr>
          <w:rFonts w:cs="Arial"/>
        </w:rPr>
        <w:t>FAIR-</w:t>
      </w:r>
      <w:proofErr w:type="spellStart"/>
      <w:r w:rsidRPr="00CF7C4F">
        <w:rPr>
          <w:rFonts w:cs="Arial"/>
        </w:rPr>
        <w:t>ification</w:t>
      </w:r>
      <w:proofErr w:type="spellEnd"/>
      <w:r w:rsidR="00426B8C">
        <w:rPr>
          <w:rFonts w:cs="Arial"/>
        </w:rPr>
        <w:t>’</w:t>
      </w:r>
      <w:r w:rsidRPr="00CF7C4F">
        <w:rPr>
          <w:rFonts w:cs="Arial"/>
        </w:rPr>
        <w:t xml:space="preserve"> of ocean data.</w:t>
      </w:r>
    </w:p>
    <w:p w14:paraId="737E9C49" w14:textId="77777777" w:rsidR="00AD06D8" w:rsidRPr="00CF7C4F" w:rsidRDefault="00AD06D8" w:rsidP="001B33EB">
      <w:pPr>
        <w:spacing w:after="120"/>
        <w:ind w:left="1260" w:hanging="567"/>
        <w:rPr>
          <w:rFonts w:cs="Arial"/>
        </w:rPr>
      </w:pPr>
    </w:p>
    <w:p w14:paraId="5B3E880A" w14:textId="1E16B3F8" w:rsidR="00AD06D8" w:rsidRDefault="00AD06D8" w:rsidP="001B33EB">
      <w:pPr>
        <w:numPr>
          <w:ilvl w:val="0"/>
          <w:numId w:val="28"/>
        </w:numPr>
        <w:tabs>
          <w:tab w:val="clear" w:pos="567"/>
          <w:tab w:val="left" w:pos="709"/>
        </w:tabs>
        <w:snapToGrid/>
        <w:spacing w:after="120"/>
        <w:ind w:left="1260" w:hanging="567"/>
        <w:jc w:val="both"/>
        <w:rPr>
          <w:rFonts w:cs="Arial"/>
        </w:rPr>
      </w:pPr>
      <w:r w:rsidRPr="00CF7C4F">
        <w:rPr>
          <w:rFonts w:cs="Arial"/>
        </w:rPr>
        <w:lastRenderedPageBreak/>
        <w:t xml:space="preserve">The staffing level could be further mitigated in the short-term by encouraging secondments and internships to the IODE Project Office from a wider range of UNESCO/IOC </w:t>
      </w:r>
      <w:r w:rsidR="00426B8C" w:rsidRPr="00CF7C4F">
        <w:rPr>
          <w:rFonts w:cs="Arial"/>
        </w:rPr>
        <w:t>Member States</w:t>
      </w:r>
      <w:r w:rsidRPr="00CF7C4F">
        <w:rPr>
          <w:rFonts w:cs="Arial"/>
        </w:rPr>
        <w:t xml:space="preserve">, particularly in the IODE Project Office's role with respect to UNESCO/IOC's </w:t>
      </w:r>
      <w:r w:rsidR="00426B8C" w:rsidRPr="00CF7C4F">
        <w:rPr>
          <w:rFonts w:cs="Arial"/>
        </w:rPr>
        <w:t>Capacity Development Strategy</w:t>
      </w:r>
      <w:r w:rsidRPr="00CF7C4F">
        <w:rPr>
          <w:rFonts w:cs="Arial"/>
        </w:rPr>
        <w:t>.</w:t>
      </w:r>
    </w:p>
    <w:p w14:paraId="6C0DDBDD" w14:textId="3E3CFB53" w:rsidR="00AD06D8" w:rsidRPr="004E27E7" w:rsidRDefault="00AD06D8" w:rsidP="001B33EB">
      <w:pPr>
        <w:pStyle w:val="ListParagraph"/>
        <w:numPr>
          <w:ilvl w:val="0"/>
          <w:numId w:val="28"/>
        </w:numPr>
        <w:tabs>
          <w:tab w:val="left" w:pos="709"/>
        </w:tabs>
        <w:ind w:left="1260" w:hanging="567"/>
      </w:pPr>
      <w:r w:rsidRPr="004E27E7">
        <w:rPr>
          <w:rFonts w:cs="Arial"/>
        </w:rPr>
        <w:t>The reviewers recommend</w:t>
      </w:r>
      <w:r w:rsidR="00426B8C">
        <w:rPr>
          <w:rFonts w:cs="Arial"/>
        </w:rPr>
        <w:t>ed</w:t>
      </w:r>
      <w:r w:rsidRPr="004E27E7">
        <w:rPr>
          <w:rFonts w:cs="Arial"/>
        </w:rPr>
        <w:t xml:space="preserve"> the renewal of the MoU between IOC and the Flanders Marine Institute (VLIZ). </w:t>
      </w:r>
    </w:p>
    <w:p w14:paraId="7D26C362" w14:textId="3E4AEC09" w:rsidR="00AD06D8" w:rsidRDefault="00E74D31" w:rsidP="001B33EB">
      <w:pPr>
        <w:tabs>
          <w:tab w:val="clear" w:pos="567"/>
        </w:tabs>
        <w:snapToGrid/>
        <w:ind w:left="1260"/>
        <w:jc w:val="both"/>
        <w:rPr>
          <w:rFonts w:cs="Arial"/>
        </w:rPr>
      </w:pPr>
      <w:r>
        <w:rPr>
          <w:rFonts w:cs="Arial"/>
        </w:rPr>
        <w:t xml:space="preserve">   </w:t>
      </w:r>
    </w:p>
    <w:p w14:paraId="6BCDCB2E" w14:textId="4C02626C" w:rsidR="00E74D31" w:rsidRPr="00E74D31" w:rsidRDefault="00E74D31" w:rsidP="00E74D31">
      <w:pPr>
        <w:pStyle w:val="COI"/>
      </w:pPr>
      <w:r>
        <w:t xml:space="preserve">After considering the full report of </w:t>
      </w:r>
      <w:r w:rsidRPr="00E74D31">
        <w:t>the</w:t>
      </w:r>
      <w:r>
        <w:t xml:space="preserve"> review (</w:t>
      </w:r>
      <w:hyperlink r:id="rId13" w:history="1">
        <w:r w:rsidRPr="00E74D31">
          <w:rPr>
            <w:rStyle w:val="Hyperlink"/>
            <w:rFonts w:cs="Arial"/>
          </w:rPr>
          <w:t>Document IOC/IODE-XXVI/6.5</w:t>
        </w:r>
      </w:hyperlink>
      <w:r>
        <w:rPr>
          <w:rFonts w:cs="Arial"/>
          <w:lang w:val="en-US"/>
        </w:rPr>
        <w:t xml:space="preserve"> (</w:t>
      </w:r>
      <w:r>
        <w:t>Performance review of the IOC Project Office for IODE)) the IODE Committee, at its 26</w:t>
      </w:r>
      <w:r w:rsidRPr="00E74D31">
        <w:rPr>
          <w:vertAlign w:val="superscript"/>
        </w:rPr>
        <w:t>th</w:t>
      </w:r>
      <w:r>
        <w:t xml:space="preserve"> Session (20</w:t>
      </w:r>
      <w:r w:rsidR="00426B8C">
        <w:t>–</w:t>
      </w:r>
      <w:r>
        <w:t xml:space="preserve">23 April 2021) adopted </w:t>
      </w:r>
      <w:hyperlink r:id="rId14" w:anchor="R65" w:history="1">
        <w:r w:rsidRPr="00E74D31">
          <w:rPr>
            <w:rStyle w:val="Hyperlink"/>
            <w:rFonts w:cs="Arial"/>
          </w:rPr>
          <w:t>Recommendation IODE</w:t>
        </w:r>
        <w:r w:rsidR="00426B8C" w:rsidRPr="00E74D31">
          <w:rPr>
            <w:rStyle w:val="Hyperlink"/>
            <w:rFonts w:cs="Arial"/>
          </w:rPr>
          <w:t>-</w:t>
        </w:r>
        <w:r w:rsidRPr="00E74D31">
          <w:rPr>
            <w:rStyle w:val="Hyperlink"/>
            <w:rFonts w:cs="Arial"/>
          </w:rPr>
          <w:t>XXVI</w:t>
        </w:r>
        <w:r w:rsidR="00426B8C" w:rsidRPr="00E74D31">
          <w:rPr>
            <w:rStyle w:val="Hyperlink"/>
            <w:rFonts w:cs="Arial"/>
          </w:rPr>
          <w:t xml:space="preserve">.6.5: The </w:t>
        </w:r>
        <w:r w:rsidRPr="00E74D31">
          <w:rPr>
            <w:rStyle w:val="Hyperlink"/>
            <w:rFonts w:cs="Arial"/>
          </w:rPr>
          <w:t>UNESCO</w:t>
        </w:r>
        <w:r w:rsidR="00426B8C" w:rsidRPr="00E74D31">
          <w:rPr>
            <w:rStyle w:val="Hyperlink"/>
            <w:rFonts w:cs="Arial"/>
          </w:rPr>
          <w:t>/</w:t>
        </w:r>
        <w:r w:rsidRPr="00E74D31">
          <w:rPr>
            <w:rStyle w:val="Hyperlink"/>
            <w:rFonts w:cs="Arial"/>
          </w:rPr>
          <w:t xml:space="preserve">IOC </w:t>
        </w:r>
        <w:r w:rsidR="00426B8C" w:rsidRPr="00E74D31">
          <w:rPr>
            <w:rStyle w:val="Hyperlink"/>
            <w:rFonts w:cs="Arial"/>
          </w:rPr>
          <w:t>Project Office</w:t>
        </w:r>
        <w:r w:rsidRPr="00E74D31">
          <w:rPr>
            <w:rStyle w:val="Hyperlink"/>
            <w:rFonts w:cs="Arial"/>
          </w:rPr>
          <w:t xml:space="preserve"> </w:t>
        </w:r>
        <w:r w:rsidR="00426B8C" w:rsidRPr="00E74D31">
          <w:rPr>
            <w:rStyle w:val="Hyperlink"/>
            <w:rFonts w:cs="Arial"/>
          </w:rPr>
          <w:t xml:space="preserve">For </w:t>
        </w:r>
        <w:r w:rsidRPr="00E74D31">
          <w:rPr>
            <w:rStyle w:val="Hyperlink"/>
            <w:rFonts w:cs="Arial"/>
          </w:rPr>
          <w:t xml:space="preserve">IODE </w:t>
        </w:r>
        <w:r w:rsidR="00426B8C" w:rsidRPr="00E74D31">
          <w:rPr>
            <w:rStyle w:val="Hyperlink"/>
            <w:rFonts w:cs="Arial"/>
          </w:rPr>
          <w:t xml:space="preserve">In Ostend, </w:t>
        </w:r>
        <w:r w:rsidRPr="00E74D31">
          <w:rPr>
            <w:rStyle w:val="Hyperlink"/>
            <w:rFonts w:cs="Arial"/>
          </w:rPr>
          <w:t>B</w:t>
        </w:r>
        <w:r w:rsidR="00426B8C">
          <w:rPr>
            <w:rStyle w:val="Hyperlink"/>
            <w:rFonts w:cs="Arial"/>
          </w:rPr>
          <w:t>elgium</w:t>
        </w:r>
      </w:hyperlink>
      <w:r>
        <w:rPr>
          <w:rFonts w:cs="Arial"/>
        </w:rPr>
        <w:t>.</w:t>
      </w:r>
    </w:p>
    <w:p w14:paraId="263007BD" w14:textId="77777777" w:rsidR="004E27E7" w:rsidRPr="00853565" w:rsidRDefault="004E27E7" w:rsidP="004E27E7">
      <w:pPr>
        <w:pStyle w:val="Heading3"/>
      </w:pPr>
      <w:r w:rsidRPr="009026D3">
        <w:t>Financial and administrative implications</w:t>
      </w:r>
    </w:p>
    <w:p w14:paraId="467F8C23" w14:textId="34017CB6" w:rsidR="004E27E7" w:rsidRPr="004E27E7" w:rsidRDefault="004E27E7" w:rsidP="004E27E7">
      <w:pPr>
        <w:pStyle w:val="COI"/>
      </w:pPr>
      <w:r w:rsidRPr="004E27E7">
        <w:t xml:space="preserve">There are no </w:t>
      </w:r>
      <w:r w:rsidRPr="00467E3F">
        <w:t xml:space="preserve">financial </w:t>
      </w:r>
      <w:r w:rsidRPr="004E27E7">
        <w:t>implications</w:t>
      </w:r>
      <w:r>
        <w:t xml:space="preserve"> (costs) for IOC. Administrative implications include the establishment and signature of a new MoU between the Flanders Marine Institute (VLIZ) and the IOC.</w:t>
      </w:r>
    </w:p>
    <w:p w14:paraId="407BFF67" w14:textId="711ED287" w:rsidR="00AD06D8" w:rsidRPr="004E27E7" w:rsidRDefault="00AD06D8" w:rsidP="00853565">
      <w:pPr>
        <w:pStyle w:val="COI"/>
        <w:numPr>
          <w:ilvl w:val="0"/>
          <w:numId w:val="0"/>
        </w:numPr>
        <w:rPr>
          <w:b/>
          <w:bCs/>
        </w:rPr>
      </w:pPr>
      <w:r w:rsidRPr="004E27E7">
        <w:rPr>
          <w:b/>
          <w:bCs/>
        </w:rPr>
        <w:t>Proposed decision</w:t>
      </w:r>
    </w:p>
    <w:p w14:paraId="10C1C20E" w14:textId="6F6D8BA8" w:rsidR="00AD06D8" w:rsidRDefault="00AD06D8" w:rsidP="00AD06D8">
      <w:pPr>
        <w:pStyle w:val="COI"/>
      </w:pPr>
      <w:proofErr w:type="gramStart"/>
      <w:r w:rsidRPr="00003B31">
        <w:t xml:space="preserve">In </w:t>
      </w:r>
      <w:r w:rsidRPr="00AD06D8">
        <w:t>light</w:t>
      </w:r>
      <w:r w:rsidRPr="00003B31">
        <w:t xml:space="preserve"> of</w:t>
      </w:r>
      <w:proofErr w:type="gramEnd"/>
      <w:r w:rsidRPr="00003B31">
        <w:t xml:space="preserve"> the foregoing, the IOC </w:t>
      </w:r>
      <w:r>
        <w:t>Assembly</w:t>
      </w:r>
      <w:r w:rsidRPr="00003B31">
        <w:t xml:space="preserve"> may wish to consider </w:t>
      </w:r>
      <w:r w:rsidR="00426B8C" w:rsidRPr="00F63C9F">
        <w:rPr>
          <w:rFonts w:cs="Arial"/>
        </w:rPr>
        <w:t>Dec. A-31/3.4.2</w:t>
      </w:r>
      <w:r w:rsidR="00426B8C">
        <w:rPr>
          <w:lang w:val="en-US"/>
        </w:rPr>
        <w:t xml:space="preserve"> </w:t>
      </w:r>
      <w:r w:rsidR="00426B8C" w:rsidRPr="00467E3F">
        <w:rPr>
          <w:rFonts w:cs="Arial"/>
        </w:rPr>
        <w:t xml:space="preserve">in </w:t>
      </w:r>
      <w:r w:rsidR="00426B8C">
        <w:rPr>
          <w:rFonts w:cs="Arial"/>
        </w:rPr>
        <w:t xml:space="preserve">the Action Paper (document </w:t>
      </w:r>
      <w:proofErr w:type="spellStart"/>
      <w:r w:rsidR="00426B8C" w:rsidRPr="0066069A">
        <w:rPr>
          <w:rFonts w:cs="Arial"/>
        </w:rPr>
        <w:t>document</w:t>
      </w:r>
      <w:proofErr w:type="spellEnd"/>
      <w:r w:rsidR="00426B8C" w:rsidRPr="0066069A">
        <w:rPr>
          <w:rFonts w:cs="Arial"/>
        </w:rPr>
        <w:t xml:space="preserve"> </w:t>
      </w:r>
      <w:hyperlink r:id="rId15" w:history="1">
        <w:r w:rsidR="00426B8C" w:rsidRPr="006D0A98">
          <w:rPr>
            <w:rStyle w:val="Hyperlink"/>
          </w:rPr>
          <w:t>IOC-31/AP</w:t>
        </w:r>
      </w:hyperlink>
      <w:r w:rsidR="00426B8C">
        <w:rPr>
          <w:rFonts w:cs="Arial"/>
        </w:rPr>
        <w:t xml:space="preserve"> Rev.)</w:t>
      </w:r>
    </w:p>
    <w:p w14:paraId="7B4BBF5C" w14:textId="77777777" w:rsidR="00AD06D8" w:rsidRDefault="00AD06D8" w:rsidP="00853565">
      <w:pPr>
        <w:pStyle w:val="COI"/>
        <w:numPr>
          <w:ilvl w:val="0"/>
          <w:numId w:val="0"/>
        </w:numPr>
      </w:pPr>
    </w:p>
    <w:sectPr w:rsidR="00AD06D8" w:rsidSect="003F7186">
      <w:headerReference w:type="even" r:id="rId16"/>
      <w:headerReference w:type="default" r:id="rId17"/>
      <w:headerReference w:type="first" r:id="rId18"/>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9051A" w14:textId="77777777" w:rsidR="00CE043A" w:rsidRDefault="00CE043A">
      <w:r>
        <w:separator/>
      </w:r>
    </w:p>
  </w:endnote>
  <w:endnote w:type="continuationSeparator" w:id="0">
    <w:p w14:paraId="5B3B3BA1" w14:textId="77777777" w:rsidR="00CE043A" w:rsidRDefault="00CE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D1997" w14:textId="77777777" w:rsidR="00CE043A" w:rsidRDefault="00CE043A">
      <w:r>
        <w:separator/>
      </w:r>
    </w:p>
  </w:footnote>
  <w:footnote w:type="continuationSeparator" w:id="0">
    <w:p w14:paraId="72FFAA59" w14:textId="77777777" w:rsidR="00CE043A" w:rsidRDefault="00CE0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C5CDC"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48634EFF"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924D4"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4AA6D70B"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7D94AEC3"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623D0" w14:textId="58939814" w:rsidR="00020AA1" w:rsidRPr="005E544C" w:rsidRDefault="00020AA1" w:rsidP="001B33EB">
    <w:pPr>
      <w:pStyle w:val="Marge"/>
      <w:tabs>
        <w:tab w:val="left" w:pos="5954"/>
      </w:tabs>
      <w:spacing w:after="0"/>
      <w:rPr>
        <w:rFonts w:cs="Arial"/>
        <w:b/>
        <w:szCs w:val="22"/>
      </w:rPr>
    </w:pPr>
    <w:r w:rsidRPr="005E544C">
      <w:rPr>
        <w:rFonts w:cs="Arial"/>
        <w:szCs w:val="22"/>
      </w:rPr>
      <w:t>Restricted Distribution</w:t>
    </w:r>
    <w:r w:rsidRPr="005E544C">
      <w:rPr>
        <w:rFonts w:cs="Arial"/>
        <w:szCs w:val="22"/>
      </w:rPr>
      <w:tab/>
    </w:r>
    <w:r w:rsidRPr="008A6E5C">
      <w:rPr>
        <w:rFonts w:cs="Arial"/>
        <w:b/>
        <w:sz w:val="36"/>
        <w:szCs w:val="36"/>
      </w:rPr>
      <w:t>IOC</w:t>
    </w:r>
    <w:r w:rsidR="00F63C9F">
      <w:rPr>
        <w:rFonts w:cs="Arial"/>
        <w:b/>
        <w:sz w:val="36"/>
        <w:szCs w:val="36"/>
      </w:rPr>
      <w:t>/A</w:t>
    </w:r>
    <w:r w:rsidR="00FC2521">
      <w:rPr>
        <w:rFonts w:cs="Arial"/>
        <w:b/>
        <w:sz w:val="36"/>
        <w:szCs w:val="36"/>
      </w:rPr>
      <w:t>-</w:t>
    </w:r>
    <w:r w:rsidR="005742D0">
      <w:rPr>
        <w:rFonts w:cs="Arial"/>
        <w:b/>
        <w:sz w:val="36"/>
        <w:szCs w:val="36"/>
      </w:rPr>
      <w:t>31</w:t>
    </w:r>
    <w:r>
      <w:rPr>
        <w:rFonts w:cs="Arial"/>
        <w:b/>
        <w:sz w:val="36"/>
        <w:szCs w:val="36"/>
      </w:rPr>
      <w:t>/</w:t>
    </w:r>
    <w:r w:rsidR="002C6394" w:rsidRPr="002C6394">
      <w:rPr>
        <w:rFonts w:cs="Arial"/>
        <w:b/>
        <w:color w:val="000000" w:themeColor="text1"/>
        <w:sz w:val="36"/>
        <w:szCs w:val="36"/>
      </w:rPr>
      <w:t>3.4.</w:t>
    </w:r>
    <w:proofErr w:type="gramStart"/>
    <w:r w:rsidR="002C6394" w:rsidRPr="002C6394">
      <w:rPr>
        <w:rFonts w:cs="Arial"/>
        <w:b/>
        <w:color w:val="000000" w:themeColor="text1"/>
        <w:sz w:val="36"/>
        <w:szCs w:val="36"/>
      </w:rPr>
      <w:t>2.</w:t>
    </w:r>
    <w:r w:rsidR="005742D0">
      <w:rPr>
        <w:rFonts w:cs="Arial"/>
        <w:b/>
        <w:sz w:val="36"/>
        <w:szCs w:val="36"/>
      </w:rPr>
      <w:t>Doc</w:t>
    </w:r>
    <w:proofErr w:type="gramEnd"/>
    <w:r w:rsidR="00F63C9F">
      <w:rPr>
        <w:rFonts w:cs="Arial"/>
        <w:b/>
        <w:sz w:val="36"/>
        <w:szCs w:val="36"/>
      </w:rPr>
      <w:t>(</w:t>
    </w:r>
    <w:r w:rsidR="002C6394">
      <w:rPr>
        <w:rFonts w:cs="Arial"/>
        <w:b/>
        <w:sz w:val="36"/>
        <w:szCs w:val="36"/>
      </w:rPr>
      <w:t>3</w:t>
    </w:r>
    <w:r w:rsidR="00F63C9F">
      <w:rPr>
        <w:rFonts w:cs="Arial"/>
        <w:b/>
        <w:sz w:val="36"/>
        <w:szCs w:val="36"/>
      </w:rPr>
      <w:t>)</w:t>
    </w:r>
  </w:p>
  <w:p w14:paraId="29D299B7" w14:textId="7FA012E7" w:rsidR="00020AA1" w:rsidRPr="005E544C" w:rsidRDefault="00020AA1" w:rsidP="001B33EB">
    <w:pPr>
      <w:tabs>
        <w:tab w:val="clear" w:pos="567"/>
        <w:tab w:val="left" w:pos="5954"/>
      </w:tabs>
      <w:jc w:val="both"/>
      <w:rPr>
        <w:rFonts w:cs="Arial"/>
        <w:szCs w:val="22"/>
      </w:rPr>
    </w:pPr>
    <w:r w:rsidRPr="005E544C">
      <w:rPr>
        <w:rFonts w:cs="Arial"/>
        <w:b/>
        <w:szCs w:val="22"/>
      </w:rPr>
      <w:tab/>
    </w:r>
    <w:r w:rsidRPr="005E544C">
      <w:rPr>
        <w:rFonts w:cs="Arial"/>
        <w:szCs w:val="22"/>
      </w:rPr>
      <w:t xml:space="preserve">Paris, </w:t>
    </w:r>
    <w:r w:rsidR="00E74D31">
      <w:rPr>
        <w:rFonts w:cs="Arial"/>
        <w:szCs w:val="22"/>
      </w:rPr>
      <w:t>26 April</w:t>
    </w:r>
    <w:r w:rsidR="002C6394">
      <w:rPr>
        <w:rFonts w:cs="Arial"/>
        <w:szCs w:val="22"/>
      </w:rPr>
      <w:t xml:space="preserve"> </w:t>
    </w:r>
    <w:r w:rsidR="00FC2521">
      <w:rPr>
        <w:rFonts w:cs="Arial"/>
        <w:szCs w:val="22"/>
      </w:rPr>
      <w:t>20</w:t>
    </w:r>
    <w:r w:rsidR="005742D0">
      <w:rPr>
        <w:rFonts w:cs="Arial"/>
        <w:szCs w:val="22"/>
      </w:rPr>
      <w:t>21</w:t>
    </w:r>
  </w:p>
  <w:p w14:paraId="0F5FBA0E" w14:textId="77777777" w:rsidR="00020AA1" w:rsidRPr="005E544C" w:rsidRDefault="00020AA1" w:rsidP="001B33EB">
    <w:pPr>
      <w:tabs>
        <w:tab w:val="clear" w:pos="567"/>
        <w:tab w:val="left" w:pos="5954"/>
      </w:tabs>
      <w:jc w:val="both"/>
      <w:rPr>
        <w:rFonts w:cs="Arial"/>
        <w:szCs w:val="22"/>
      </w:rPr>
    </w:pPr>
    <w:r w:rsidRPr="005E544C">
      <w:rPr>
        <w:rFonts w:cs="Arial"/>
        <w:b/>
        <w:szCs w:val="22"/>
      </w:rPr>
      <w:tab/>
    </w:r>
    <w:r w:rsidRPr="005E544C">
      <w:rPr>
        <w:rFonts w:cs="Arial"/>
        <w:szCs w:val="22"/>
      </w:rPr>
      <w:t>Original: English</w:t>
    </w:r>
  </w:p>
  <w:p w14:paraId="667163E1"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2711A2CE" w14:textId="37B92545" w:rsidR="00020AA1"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54D78E0C" w14:textId="77777777" w:rsidR="00F63C9F" w:rsidRPr="005E544C" w:rsidRDefault="00F63C9F"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6A9F7A2C"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5742D0">
      <w:rPr>
        <w:rFonts w:cs="Arial"/>
        <w:noProof/>
        <w:snapToGrid/>
        <w:sz w:val="24"/>
        <w:lang w:val="fr-FR" w:eastAsia="zh-CN"/>
      </w:rPr>
      <w:drawing>
        <wp:anchor distT="0" distB="0" distL="114300" distR="114300" simplePos="0" relativeHeight="251666432" behindDoc="1" locked="0" layoutInCell="1" allowOverlap="1" wp14:anchorId="5A82DC95" wp14:editId="69552847">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AA1" w:rsidRPr="005742D0">
      <w:rPr>
        <w:rFonts w:cs="Arial"/>
        <w:b/>
        <w:sz w:val="24"/>
      </w:rPr>
      <w:t>INTERGOVERNMENTAL OCEANOGRAPHIC COMMISSION</w:t>
    </w:r>
  </w:p>
  <w:p w14:paraId="031ED2D0"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sidRPr="005742D0">
      <w:rPr>
        <w:rFonts w:cs="Arial"/>
        <w:sz w:val="24"/>
      </w:rPr>
      <w:t>(of UNESCO)</w:t>
    </w:r>
  </w:p>
  <w:p w14:paraId="508A2D75"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5FFECEAD"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sidRPr="005742D0">
      <w:rPr>
        <w:rFonts w:cs="Arial"/>
        <w:b/>
        <w:sz w:val="24"/>
      </w:rPr>
      <w:t>Thirty-first Session of the Assembly</w:t>
    </w:r>
  </w:p>
  <w:p w14:paraId="4D4BA647" w14:textId="0FFB78FA"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5742D0">
      <w:rPr>
        <w:rFonts w:cs="Arial"/>
        <w:sz w:val="24"/>
      </w:rPr>
      <w:t>UNESCO, 14–25 June 2021</w:t>
    </w:r>
    <w:r w:rsidR="00F63C9F">
      <w:rPr>
        <w:rFonts w:cs="Arial"/>
        <w:sz w:val="24"/>
      </w:rPr>
      <w:t xml:space="preserve"> (online)</w:t>
    </w:r>
  </w:p>
  <w:p w14:paraId="6A36CD0E"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3657511" w14:textId="77777777" w:rsidR="00020AA1" w:rsidRPr="005E544C" w:rsidRDefault="00020AA1" w:rsidP="00DF2FB9">
    <w:pPr>
      <w:jc w:val="center"/>
      <w:rPr>
        <w:rFonts w:cs="Arial"/>
        <w:szCs w:val="22"/>
      </w:rPr>
    </w:pPr>
  </w:p>
  <w:p w14:paraId="7648E4FD" w14:textId="77777777" w:rsidR="00020AA1" w:rsidRDefault="00020AA1" w:rsidP="00DF2FB9">
    <w:pPr>
      <w:jc w:val="center"/>
      <w:rPr>
        <w:rFonts w:cs="Arial"/>
        <w:szCs w:val="22"/>
      </w:rPr>
    </w:pPr>
  </w:p>
  <w:p w14:paraId="6585B99D" w14:textId="77777777" w:rsidR="00020AA1" w:rsidRDefault="00020AA1" w:rsidP="00DF2FB9">
    <w:pPr>
      <w:jc w:val="center"/>
      <w:rPr>
        <w:rFonts w:cs="Arial"/>
        <w:szCs w:val="22"/>
      </w:rPr>
    </w:pPr>
  </w:p>
  <w:p w14:paraId="562EB80A" w14:textId="77777777" w:rsidR="00020AA1" w:rsidRDefault="00020AA1" w:rsidP="00DF2FB9">
    <w:pPr>
      <w:jc w:val="center"/>
      <w:rPr>
        <w:rFonts w:cs="Arial"/>
        <w:szCs w:val="22"/>
      </w:rPr>
    </w:pPr>
  </w:p>
  <w:p w14:paraId="59574913" w14:textId="77777777" w:rsidR="00020AA1" w:rsidRPr="005E544C" w:rsidRDefault="00020AA1" w:rsidP="00DF2FB9">
    <w:pPr>
      <w:jc w:val="center"/>
      <w:rPr>
        <w:rFonts w:cs="Arial"/>
        <w:szCs w:val="22"/>
      </w:rPr>
    </w:pPr>
  </w:p>
  <w:p w14:paraId="049B37E5" w14:textId="77777777" w:rsidR="00020AA1" w:rsidRPr="005E544C" w:rsidRDefault="00020AA1" w:rsidP="00DF2FB9">
    <w:pPr>
      <w:jc w:val="center"/>
      <w:rPr>
        <w:rFonts w:cs="Arial"/>
        <w:szCs w:val="22"/>
      </w:rPr>
    </w:pPr>
  </w:p>
  <w:p w14:paraId="51BC0570" w14:textId="1B5EAE2D" w:rsidR="00020AA1" w:rsidRPr="008D2398" w:rsidRDefault="00020AA1" w:rsidP="00DF2FB9">
    <w:pPr>
      <w:pStyle w:val="Heading7"/>
      <w:tabs>
        <w:tab w:val="right" w:pos="9540"/>
      </w:tabs>
      <w:rPr>
        <w:rFonts w:cs="Arial"/>
        <w:sz w:val="24"/>
        <w:u w:val="none"/>
      </w:rPr>
    </w:pPr>
    <w:r w:rsidRPr="00413F17">
      <w:rPr>
        <w:rFonts w:cs="Arial"/>
        <w:sz w:val="24"/>
      </w:rPr>
      <w:t>I</w:t>
    </w:r>
    <w:r w:rsidRPr="008D2398">
      <w:rPr>
        <w:rFonts w:cs="Arial"/>
        <w:sz w:val="24"/>
      </w:rPr>
      <w:t xml:space="preserve">tem </w:t>
    </w:r>
    <w:r w:rsidR="002C6394">
      <w:rPr>
        <w:rFonts w:cs="Arial"/>
        <w:b/>
        <w:sz w:val="24"/>
      </w:rPr>
      <w:t xml:space="preserve">3.4.2 </w:t>
    </w:r>
    <w:r w:rsidRPr="008D2398">
      <w:rPr>
        <w:rFonts w:cs="Arial"/>
        <w:sz w:val="24"/>
      </w:rPr>
      <w:t>of the Provisional Agenda</w:t>
    </w:r>
  </w:p>
  <w:p w14:paraId="35296AD6" w14:textId="77777777" w:rsidR="00020AA1" w:rsidRPr="005E544C" w:rsidRDefault="00020AA1" w:rsidP="00DF2FB9">
    <w:pPr>
      <w:rPr>
        <w:rFonts w:cs="Arial"/>
        <w:szCs w:val="22"/>
      </w:rPr>
    </w:pPr>
  </w:p>
  <w:p w14:paraId="10F462B8" w14:textId="77777777" w:rsidR="00020AA1" w:rsidRPr="005E544C" w:rsidRDefault="00020AA1" w:rsidP="00DF2FB9">
    <w:pPr>
      <w:rPr>
        <w:rFonts w:cs="Arial"/>
        <w:szCs w:val="22"/>
      </w:rPr>
    </w:pPr>
  </w:p>
  <w:p w14:paraId="0A7BF18E" w14:textId="313E0E69" w:rsidR="00020AA1" w:rsidRPr="009C15B1" w:rsidRDefault="00F63C9F" w:rsidP="009C15B1">
    <w:pPr>
      <w:pStyle w:val="Docheading"/>
    </w:pPr>
    <w:r w:rsidRPr="00F63C9F">
      <w:t>Proposal to renew the M</w:t>
    </w:r>
    <w:r>
      <w:t xml:space="preserve">EMORANDUM </w:t>
    </w:r>
    <w:r w:rsidRPr="00F63C9F">
      <w:t>o</w:t>
    </w:r>
    <w:r>
      <w:t xml:space="preserve">F </w:t>
    </w:r>
    <w:r w:rsidRPr="00F63C9F">
      <w:t>U</w:t>
    </w:r>
    <w:r>
      <w:t>NDERSTANDING</w:t>
    </w:r>
    <w:r w:rsidRPr="00F63C9F">
      <w:t xml:space="preserve"> between </w:t>
    </w:r>
    <w:r>
      <w:br/>
    </w:r>
    <w:r w:rsidRPr="00F63C9F">
      <w:t>the Flanders Marine Institute (VLIZ) and the IOC regarding the IOC Project Office for IODE</w:t>
    </w:r>
    <w:r w:rsidRPr="00F63C9F" w:rsidDel="00F63C9F">
      <w:t xml:space="preserve"> </w:t>
    </w:r>
  </w:p>
  <w:p w14:paraId="4FEE9DB7" w14:textId="77777777" w:rsidR="00020AA1" w:rsidRPr="005E544C" w:rsidRDefault="00020AA1" w:rsidP="00DF2FB9">
    <w:pPr>
      <w:pStyle w:val="Header"/>
      <w:rPr>
        <w:rFonts w:cs="Arial"/>
        <w:szCs w:val="22"/>
      </w:rPr>
    </w:pPr>
  </w:p>
  <w:p w14:paraId="10255A1D"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B8F4" w14:textId="34BB8F23" w:rsidR="00EE10D0" w:rsidRPr="00EE10D0" w:rsidRDefault="00EE10D0" w:rsidP="00EE10D0">
    <w:pPr>
      <w:pStyle w:val="Header"/>
      <w:rPr>
        <w:rFonts w:cs="Arial"/>
        <w:color w:val="000000" w:themeColor="text1"/>
        <w:sz w:val="20"/>
        <w:szCs w:val="20"/>
      </w:rPr>
    </w:pPr>
    <w:r w:rsidRPr="00EE10D0">
      <w:rPr>
        <w:rFonts w:cs="Arial"/>
        <w:color w:val="000000" w:themeColor="text1"/>
        <w:sz w:val="20"/>
        <w:szCs w:val="20"/>
      </w:rPr>
      <w:t>IOC</w:t>
    </w:r>
    <w:r w:rsidR="00F63C9F">
      <w:rPr>
        <w:rFonts w:cs="Arial"/>
        <w:color w:val="000000" w:themeColor="text1"/>
        <w:sz w:val="20"/>
        <w:szCs w:val="20"/>
      </w:rPr>
      <w:t>/A</w:t>
    </w:r>
    <w:r w:rsidRPr="00EE10D0">
      <w:rPr>
        <w:rFonts w:cs="Arial"/>
        <w:color w:val="000000" w:themeColor="text1"/>
        <w:sz w:val="20"/>
        <w:szCs w:val="20"/>
      </w:rPr>
      <w:t>-31/3.4.</w:t>
    </w:r>
    <w:proofErr w:type="gramStart"/>
    <w:r w:rsidRPr="00EE10D0">
      <w:rPr>
        <w:rFonts w:cs="Arial"/>
        <w:color w:val="000000" w:themeColor="text1"/>
        <w:sz w:val="20"/>
        <w:szCs w:val="20"/>
      </w:rPr>
      <w:t>2.Doc</w:t>
    </w:r>
    <w:proofErr w:type="gramEnd"/>
    <w:r w:rsidR="00F63C9F">
      <w:rPr>
        <w:rFonts w:cs="Arial"/>
        <w:color w:val="000000" w:themeColor="text1"/>
        <w:sz w:val="20"/>
        <w:szCs w:val="20"/>
      </w:rPr>
      <w:t>(</w:t>
    </w:r>
    <w:r w:rsidRPr="00EE10D0">
      <w:rPr>
        <w:rFonts w:cs="Arial"/>
        <w:color w:val="000000" w:themeColor="text1"/>
        <w:sz w:val="20"/>
        <w:szCs w:val="20"/>
      </w:rPr>
      <w:t>3</w:t>
    </w:r>
    <w:r w:rsidR="00F63C9F">
      <w:rPr>
        <w:rFonts w:cs="Arial"/>
        <w:color w:val="000000" w:themeColor="text1"/>
        <w:sz w:val="20"/>
        <w:szCs w:val="20"/>
      </w:rPr>
      <w:t>)</w:t>
    </w:r>
  </w:p>
  <w:p w14:paraId="6062F566" w14:textId="77777777" w:rsidR="00020AA1" w:rsidRPr="006842FA" w:rsidRDefault="00003B31" w:rsidP="00746B89">
    <w:pPr>
      <w:pStyle w:val="Header"/>
      <w:tabs>
        <w:tab w:val="clear" w:pos="8306"/>
      </w:tabs>
      <w:rPr>
        <w:rFonts w:cs="Arial"/>
        <w:sz w:val="20"/>
        <w:szCs w:val="20"/>
      </w:rPr>
    </w:pPr>
    <w:r>
      <w:rPr>
        <w:rFonts w:cs="Arial"/>
        <w:sz w:val="20"/>
        <w:szCs w:val="20"/>
      </w:rPr>
      <w:t>p</w:t>
    </w:r>
    <w:r w:rsidR="00020AA1" w:rsidRPr="006842FA">
      <w:rPr>
        <w:rFonts w:cs="Arial"/>
        <w:sz w:val="20"/>
        <w:szCs w:val="20"/>
      </w:rPr>
      <w:t>age </w:t>
    </w:r>
    <w:r w:rsidR="00020AA1" w:rsidRPr="006842FA">
      <w:rPr>
        <w:rStyle w:val="PageNumber"/>
        <w:rFonts w:cs="Arial"/>
        <w:sz w:val="20"/>
        <w:szCs w:val="20"/>
      </w:rPr>
      <w:fldChar w:fldCharType="begin"/>
    </w:r>
    <w:r w:rsidR="00020AA1" w:rsidRPr="006842FA">
      <w:rPr>
        <w:rStyle w:val="PageNumber"/>
        <w:rFonts w:cs="Arial"/>
        <w:sz w:val="20"/>
        <w:szCs w:val="20"/>
      </w:rPr>
      <w:instrText xml:space="preserve"> PAGE </w:instrText>
    </w:r>
    <w:r w:rsidR="00020AA1" w:rsidRPr="006842FA">
      <w:rPr>
        <w:rStyle w:val="PageNumber"/>
        <w:rFonts w:cs="Arial"/>
        <w:sz w:val="20"/>
        <w:szCs w:val="20"/>
      </w:rPr>
      <w:fldChar w:fldCharType="separate"/>
    </w:r>
    <w:r w:rsidR="00355412">
      <w:rPr>
        <w:rStyle w:val="PageNumber"/>
        <w:rFonts w:cs="Arial"/>
        <w:noProof/>
        <w:sz w:val="20"/>
        <w:szCs w:val="20"/>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A1FEF" w14:textId="1A6F0603" w:rsidR="00EE10D0" w:rsidRPr="00EE10D0" w:rsidRDefault="00EE10D0" w:rsidP="00EE10D0">
    <w:pPr>
      <w:pStyle w:val="Header"/>
      <w:jc w:val="right"/>
      <w:rPr>
        <w:rFonts w:cs="Arial"/>
        <w:color w:val="000000" w:themeColor="text1"/>
        <w:sz w:val="20"/>
        <w:szCs w:val="20"/>
      </w:rPr>
    </w:pPr>
    <w:r w:rsidRPr="00EE10D0">
      <w:rPr>
        <w:rFonts w:cs="Arial"/>
        <w:color w:val="000000" w:themeColor="text1"/>
        <w:sz w:val="20"/>
        <w:szCs w:val="20"/>
      </w:rPr>
      <w:t>IOC</w:t>
    </w:r>
    <w:r w:rsidR="00F63C9F">
      <w:rPr>
        <w:rFonts w:cs="Arial"/>
        <w:color w:val="000000" w:themeColor="text1"/>
        <w:sz w:val="20"/>
        <w:szCs w:val="20"/>
      </w:rPr>
      <w:t>/A</w:t>
    </w:r>
    <w:r w:rsidRPr="00EE10D0">
      <w:rPr>
        <w:rFonts w:cs="Arial"/>
        <w:color w:val="000000" w:themeColor="text1"/>
        <w:sz w:val="20"/>
        <w:szCs w:val="20"/>
      </w:rPr>
      <w:t>-31/3.4.</w:t>
    </w:r>
    <w:proofErr w:type="gramStart"/>
    <w:r w:rsidRPr="00EE10D0">
      <w:rPr>
        <w:rFonts w:cs="Arial"/>
        <w:color w:val="000000" w:themeColor="text1"/>
        <w:sz w:val="20"/>
        <w:szCs w:val="20"/>
      </w:rPr>
      <w:t>2.Doc</w:t>
    </w:r>
    <w:proofErr w:type="gramEnd"/>
    <w:r w:rsidR="00F63C9F">
      <w:rPr>
        <w:rFonts w:cs="Arial"/>
        <w:color w:val="000000" w:themeColor="text1"/>
        <w:sz w:val="20"/>
        <w:szCs w:val="20"/>
      </w:rPr>
      <w:t>(</w:t>
    </w:r>
    <w:r w:rsidRPr="00EE10D0">
      <w:rPr>
        <w:rFonts w:cs="Arial"/>
        <w:color w:val="000000" w:themeColor="text1"/>
        <w:sz w:val="20"/>
        <w:szCs w:val="20"/>
      </w:rPr>
      <w:t>3</w:t>
    </w:r>
    <w:r w:rsidR="00F63C9F">
      <w:rPr>
        <w:rFonts w:cs="Arial"/>
        <w:color w:val="000000" w:themeColor="text1"/>
        <w:sz w:val="20"/>
        <w:szCs w:val="20"/>
      </w:rPr>
      <w:t>)</w:t>
    </w:r>
  </w:p>
  <w:p w14:paraId="59307D7E" w14:textId="304661D4" w:rsidR="00020AA1" w:rsidRPr="00FC2521" w:rsidRDefault="00003B31" w:rsidP="005742D0">
    <w:pPr>
      <w:pStyle w:val="Header"/>
      <w:tabs>
        <w:tab w:val="clear" w:pos="8306"/>
      </w:tabs>
      <w:ind w:left="7655"/>
      <w:rPr>
        <w:rFonts w:cs="Arial"/>
        <w:sz w:val="20"/>
        <w:szCs w:val="22"/>
        <w:lang w:val="fr-FR"/>
      </w:rPr>
    </w:pPr>
    <w:proofErr w:type="gramStart"/>
    <w:r w:rsidRPr="00FC2521">
      <w:rPr>
        <w:rFonts w:cs="Arial"/>
        <w:sz w:val="20"/>
        <w:szCs w:val="22"/>
        <w:lang w:val="fr-FR"/>
      </w:rPr>
      <w:t>p</w:t>
    </w:r>
    <w:r w:rsidR="00020AA1" w:rsidRPr="00FC2521">
      <w:rPr>
        <w:rFonts w:cs="Arial"/>
        <w:sz w:val="20"/>
        <w:szCs w:val="22"/>
        <w:lang w:val="fr-FR"/>
      </w:rPr>
      <w:t>age</w:t>
    </w:r>
    <w:proofErr w:type="gramEnd"/>
    <w:r w:rsidR="00020AA1" w:rsidRPr="00FC2521">
      <w:rPr>
        <w:rFonts w:cs="Arial"/>
        <w:sz w:val="20"/>
        <w:szCs w:val="22"/>
        <w:lang w:val="fr-FR"/>
      </w:rPr>
      <w:t> </w:t>
    </w:r>
    <w:r w:rsidR="00020AA1" w:rsidRPr="00FC2521">
      <w:rPr>
        <w:rStyle w:val="PageNumber"/>
        <w:rFonts w:cs="Arial"/>
        <w:sz w:val="20"/>
        <w:szCs w:val="22"/>
      </w:rPr>
      <w:fldChar w:fldCharType="begin"/>
    </w:r>
    <w:r w:rsidR="00020AA1" w:rsidRPr="00FC2521">
      <w:rPr>
        <w:rStyle w:val="PageNumber"/>
        <w:rFonts w:cs="Arial"/>
        <w:sz w:val="20"/>
        <w:szCs w:val="22"/>
        <w:lang w:val="fr-FR"/>
      </w:rPr>
      <w:instrText xml:space="preserve"> PAGE </w:instrText>
    </w:r>
    <w:r w:rsidR="00020AA1" w:rsidRPr="00FC2521">
      <w:rPr>
        <w:rStyle w:val="PageNumber"/>
        <w:rFonts w:cs="Arial"/>
        <w:sz w:val="20"/>
        <w:szCs w:val="22"/>
      </w:rPr>
      <w:fldChar w:fldCharType="separate"/>
    </w:r>
    <w:r w:rsidR="00355412">
      <w:rPr>
        <w:rStyle w:val="PageNumber"/>
        <w:rFonts w:cs="Arial"/>
        <w:noProof/>
        <w:sz w:val="20"/>
        <w:szCs w:val="22"/>
        <w:lang w:val="fr-FR"/>
      </w:rPr>
      <w:t>3</w:t>
    </w:r>
    <w:r w:rsidR="00020AA1" w:rsidRPr="00FC2521">
      <w:rPr>
        <w:rStyle w:val="PageNumber"/>
        <w:rFonts w:cs="Arial"/>
        <w:sz w:val="20"/>
        <w:szCs w:val="22"/>
      </w:rPr>
      <w:fldChar w:fldCharType="end"/>
    </w:r>
  </w:p>
  <w:p w14:paraId="344B420F" w14:textId="77777777" w:rsidR="00020AA1" w:rsidRPr="00FC2521" w:rsidRDefault="00020AA1" w:rsidP="005742D0">
    <w:pPr>
      <w:pStyle w:val="Header"/>
      <w:ind w:left="7655"/>
      <w:rPr>
        <w:rFonts w:cs="Arial"/>
        <w:sz w:val="20"/>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7C42D" w14:textId="1723D976" w:rsidR="00020AA1" w:rsidRPr="00EE10D0" w:rsidRDefault="005742D0" w:rsidP="00294AD5">
    <w:pPr>
      <w:pStyle w:val="Header"/>
      <w:jc w:val="right"/>
      <w:rPr>
        <w:rFonts w:cs="Arial"/>
        <w:color w:val="000000" w:themeColor="text1"/>
        <w:sz w:val="20"/>
        <w:szCs w:val="20"/>
      </w:rPr>
    </w:pPr>
    <w:r w:rsidRPr="00EE10D0">
      <w:rPr>
        <w:rFonts w:cs="Arial"/>
        <w:color w:val="000000" w:themeColor="text1"/>
        <w:sz w:val="20"/>
        <w:szCs w:val="20"/>
      </w:rPr>
      <w:t>IOC</w:t>
    </w:r>
    <w:r w:rsidR="00F63C9F">
      <w:rPr>
        <w:rFonts w:cs="Arial"/>
        <w:color w:val="000000" w:themeColor="text1"/>
        <w:sz w:val="20"/>
        <w:szCs w:val="20"/>
      </w:rPr>
      <w:t>/A</w:t>
    </w:r>
    <w:r w:rsidRPr="00EE10D0">
      <w:rPr>
        <w:rFonts w:cs="Arial"/>
        <w:color w:val="000000" w:themeColor="text1"/>
        <w:sz w:val="20"/>
        <w:szCs w:val="20"/>
      </w:rPr>
      <w:t>-31/</w:t>
    </w:r>
    <w:r w:rsidR="00EE10D0" w:rsidRPr="00EE10D0">
      <w:rPr>
        <w:rFonts w:cs="Arial"/>
        <w:color w:val="000000" w:themeColor="text1"/>
        <w:sz w:val="20"/>
        <w:szCs w:val="20"/>
      </w:rPr>
      <w:t>3.4.</w:t>
    </w:r>
    <w:proofErr w:type="gramStart"/>
    <w:r w:rsidR="00EE10D0" w:rsidRPr="00EE10D0">
      <w:rPr>
        <w:rFonts w:cs="Arial"/>
        <w:color w:val="000000" w:themeColor="text1"/>
        <w:sz w:val="20"/>
        <w:szCs w:val="20"/>
      </w:rPr>
      <w:t>2.</w:t>
    </w:r>
    <w:r w:rsidRPr="00EE10D0">
      <w:rPr>
        <w:rFonts w:cs="Arial"/>
        <w:color w:val="000000" w:themeColor="text1"/>
        <w:sz w:val="20"/>
        <w:szCs w:val="20"/>
      </w:rPr>
      <w:t>Doc</w:t>
    </w:r>
    <w:proofErr w:type="gramEnd"/>
    <w:r w:rsidR="00F63C9F">
      <w:rPr>
        <w:rFonts w:cs="Arial"/>
        <w:color w:val="000000" w:themeColor="text1"/>
        <w:sz w:val="20"/>
        <w:szCs w:val="20"/>
      </w:rPr>
      <w:t>(</w:t>
    </w:r>
    <w:r w:rsidR="00EE10D0" w:rsidRPr="00EE10D0">
      <w:rPr>
        <w:rFonts w:cs="Arial"/>
        <w:color w:val="000000" w:themeColor="text1"/>
        <w:sz w:val="20"/>
        <w:szCs w:val="20"/>
      </w:rPr>
      <w:t>3</w:t>
    </w:r>
    <w:r w:rsidR="00F63C9F">
      <w:rPr>
        <w:rFonts w:cs="Arial"/>
        <w:color w:val="000000" w:themeColor="text1"/>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25768A0"/>
    <w:multiLevelType w:val="hybridMultilevel"/>
    <w:tmpl w:val="105887A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2" w15:restartNumberingAfterBreak="0">
    <w:nsid w:val="04FD05F0"/>
    <w:multiLevelType w:val="hybridMultilevel"/>
    <w:tmpl w:val="E012D13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3" w15:restartNumberingAfterBreak="0">
    <w:nsid w:val="0768573E"/>
    <w:multiLevelType w:val="hybridMultilevel"/>
    <w:tmpl w:val="797C310C"/>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5D6733D"/>
    <w:multiLevelType w:val="hybridMultilevel"/>
    <w:tmpl w:val="542EF3C4"/>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7" w15:restartNumberingAfterBreak="0">
    <w:nsid w:val="16765B6D"/>
    <w:multiLevelType w:val="hybridMultilevel"/>
    <w:tmpl w:val="4D948694"/>
    <w:lvl w:ilvl="0" w:tplc="0809000F">
      <w:start w:val="1"/>
      <w:numFmt w:val="decimal"/>
      <w:lvlText w:val="%1."/>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8" w15:restartNumberingAfterBreak="0">
    <w:nsid w:val="1BC22AC7"/>
    <w:multiLevelType w:val="hybridMultilevel"/>
    <w:tmpl w:val="9C969134"/>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9" w15:restartNumberingAfterBreak="0">
    <w:nsid w:val="223E4F46"/>
    <w:multiLevelType w:val="hybridMultilevel"/>
    <w:tmpl w:val="CB3C4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32415"/>
    <w:multiLevelType w:val="hybridMultilevel"/>
    <w:tmpl w:val="E3968262"/>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1" w15:restartNumberingAfterBreak="0">
    <w:nsid w:val="23540FA1"/>
    <w:multiLevelType w:val="multilevel"/>
    <w:tmpl w:val="9F42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1148F"/>
    <w:multiLevelType w:val="hybridMultilevel"/>
    <w:tmpl w:val="D4D21D80"/>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3" w15:restartNumberingAfterBreak="0">
    <w:nsid w:val="2F410248"/>
    <w:multiLevelType w:val="hybridMultilevel"/>
    <w:tmpl w:val="79BA755A"/>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427B35FC"/>
    <w:multiLevelType w:val="hybridMultilevel"/>
    <w:tmpl w:val="69B24748"/>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16" w15:restartNumberingAfterBreak="0">
    <w:nsid w:val="4B204C64"/>
    <w:multiLevelType w:val="hybridMultilevel"/>
    <w:tmpl w:val="C114D6EC"/>
    <w:lvl w:ilvl="0" w:tplc="D72441DE">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815C32"/>
    <w:multiLevelType w:val="multilevel"/>
    <w:tmpl w:val="74AE9284"/>
    <w:lvl w:ilvl="0">
      <w:start w:val="1"/>
      <w:numFmt w:val="lowerRoman"/>
      <w:lvlText w:val="(%1) "/>
      <w:lvlJc w:val="left"/>
      <w:pPr>
        <w:ind w:left="784" w:hanging="360"/>
      </w:pPr>
      <w:rPr>
        <w:rFonts w:hint="default"/>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8" w15:restartNumberingAfterBreak="0">
    <w:nsid w:val="4BE56066"/>
    <w:multiLevelType w:val="hybridMultilevel"/>
    <w:tmpl w:val="D946EDCA"/>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19" w15:restartNumberingAfterBreak="0">
    <w:nsid w:val="5ABC28B8"/>
    <w:multiLevelType w:val="hybridMultilevel"/>
    <w:tmpl w:val="9A8A42DC"/>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0" w15:restartNumberingAfterBreak="0">
    <w:nsid w:val="5BCC7C35"/>
    <w:multiLevelType w:val="hybridMultilevel"/>
    <w:tmpl w:val="BDC6E2B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62A17D0A"/>
    <w:multiLevelType w:val="hybridMultilevel"/>
    <w:tmpl w:val="55782CE0"/>
    <w:lvl w:ilvl="0" w:tplc="18090001">
      <w:start w:val="1"/>
      <w:numFmt w:val="bullet"/>
      <w:lvlText w:val=""/>
      <w:lvlJc w:val="left"/>
      <w:pPr>
        <w:ind w:left="1144" w:hanging="360"/>
      </w:pPr>
      <w:rPr>
        <w:rFonts w:ascii="Symbol" w:hAnsi="Symbol"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2" w15:restartNumberingAfterBreak="0">
    <w:nsid w:val="63FC15AA"/>
    <w:multiLevelType w:val="hybridMultilevel"/>
    <w:tmpl w:val="B68242B4"/>
    <w:lvl w:ilvl="0" w:tplc="18090001">
      <w:start w:val="1"/>
      <w:numFmt w:val="bullet"/>
      <w:lvlText w:val=""/>
      <w:lvlJc w:val="left"/>
      <w:pPr>
        <w:ind w:left="1504" w:hanging="360"/>
      </w:pPr>
      <w:rPr>
        <w:rFonts w:ascii="Symbol" w:hAnsi="Symbol"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23" w15:restartNumberingAfterBreak="0">
    <w:nsid w:val="64880608"/>
    <w:multiLevelType w:val="multilevel"/>
    <w:tmpl w:val="2FD41DC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4" w15:restartNumberingAfterBreak="0">
    <w:nsid w:val="65AD5998"/>
    <w:multiLevelType w:val="hybridMultilevel"/>
    <w:tmpl w:val="A8207912"/>
    <w:lvl w:ilvl="0" w:tplc="0F8AA590">
      <w:start w:val="1"/>
      <w:numFmt w:val="lowerRoman"/>
      <w:lvlText w:val="(%1) "/>
      <w:lvlJc w:val="left"/>
      <w:pPr>
        <w:ind w:left="1144" w:hanging="360"/>
      </w:pPr>
      <w:rPr>
        <w:rFonts w:hint="default"/>
      </w:rPr>
    </w:lvl>
    <w:lvl w:ilvl="1" w:tplc="18090003" w:tentative="1">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5" w15:restartNumberingAfterBreak="0">
    <w:nsid w:val="66EB247F"/>
    <w:multiLevelType w:val="hybridMultilevel"/>
    <w:tmpl w:val="8AC8BE56"/>
    <w:lvl w:ilvl="0" w:tplc="0F8AA590">
      <w:start w:val="1"/>
      <w:numFmt w:val="lowerRoman"/>
      <w:lvlText w:val="(%1) "/>
      <w:lvlJc w:val="left"/>
      <w:pPr>
        <w:ind w:left="1144" w:hanging="360"/>
      </w:pPr>
      <w:rPr>
        <w:rFonts w:hint="default"/>
      </w:rPr>
    </w:lvl>
    <w:lvl w:ilvl="1" w:tplc="18090003">
      <w:start w:val="1"/>
      <w:numFmt w:val="bullet"/>
      <w:lvlText w:val="o"/>
      <w:lvlJc w:val="left"/>
      <w:pPr>
        <w:ind w:left="1864" w:hanging="360"/>
      </w:pPr>
      <w:rPr>
        <w:rFonts w:ascii="Courier New" w:hAnsi="Courier New" w:cs="Courier New" w:hint="default"/>
      </w:rPr>
    </w:lvl>
    <w:lvl w:ilvl="2" w:tplc="18090005" w:tentative="1">
      <w:start w:val="1"/>
      <w:numFmt w:val="bullet"/>
      <w:lvlText w:val=""/>
      <w:lvlJc w:val="left"/>
      <w:pPr>
        <w:ind w:left="2584" w:hanging="360"/>
      </w:pPr>
      <w:rPr>
        <w:rFonts w:ascii="Wingdings" w:hAnsi="Wingdings" w:hint="default"/>
      </w:rPr>
    </w:lvl>
    <w:lvl w:ilvl="3" w:tplc="18090001" w:tentative="1">
      <w:start w:val="1"/>
      <w:numFmt w:val="bullet"/>
      <w:lvlText w:val=""/>
      <w:lvlJc w:val="left"/>
      <w:pPr>
        <w:ind w:left="3304" w:hanging="360"/>
      </w:pPr>
      <w:rPr>
        <w:rFonts w:ascii="Symbol" w:hAnsi="Symbol" w:hint="default"/>
      </w:rPr>
    </w:lvl>
    <w:lvl w:ilvl="4" w:tplc="18090003" w:tentative="1">
      <w:start w:val="1"/>
      <w:numFmt w:val="bullet"/>
      <w:lvlText w:val="o"/>
      <w:lvlJc w:val="left"/>
      <w:pPr>
        <w:ind w:left="4024" w:hanging="360"/>
      </w:pPr>
      <w:rPr>
        <w:rFonts w:ascii="Courier New" w:hAnsi="Courier New" w:cs="Courier New" w:hint="default"/>
      </w:rPr>
    </w:lvl>
    <w:lvl w:ilvl="5" w:tplc="18090005" w:tentative="1">
      <w:start w:val="1"/>
      <w:numFmt w:val="bullet"/>
      <w:lvlText w:val=""/>
      <w:lvlJc w:val="left"/>
      <w:pPr>
        <w:ind w:left="4744" w:hanging="360"/>
      </w:pPr>
      <w:rPr>
        <w:rFonts w:ascii="Wingdings" w:hAnsi="Wingdings" w:hint="default"/>
      </w:rPr>
    </w:lvl>
    <w:lvl w:ilvl="6" w:tplc="18090001" w:tentative="1">
      <w:start w:val="1"/>
      <w:numFmt w:val="bullet"/>
      <w:lvlText w:val=""/>
      <w:lvlJc w:val="left"/>
      <w:pPr>
        <w:ind w:left="5464" w:hanging="360"/>
      </w:pPr>
      <w:rPr>
        <w:rFonts w:ascii="Symbol" w:hAnsi="Symbol" w:hint="default"/>
      </w:rPr>
    </w:lvl>
    <w:lvl w:ilvl="7" w:tplc="18090003" w:tentative="1">
      <w:start w:val="1"/>
      <w:numFmt w:val="bullet"/>
      <w:lvlText w:val="o"/>
      <w:lvlJc w:val="left"/>
      <w:pPr>
        <w:ind w:left="6184" w:hanging="360"/>
      </w:pPr>
      <w:rPr>
        <w:rFonts w:ascii="Courier New" w:hAnsi="Courier New" w:cs="Courier New" w:hint="default"/>
      </w:rPr>
    </w:lvl>
    <w:lvl w:ilvl="8" w:tplc="18090005" w:tentative="1">
      <w:start w:val="1"/>
      <w:numFmt w:val="bullet"/>
      <w:lvlText w:val=""/>
      <w:lvlJc w:val="left"/>
      <w:pPr>
        <w:ind w:left="6904" w:hanging="360"/>
      </w:pPr>
      <w:rPr>
        <w:rFonts w:ascii="Wingdings" w:hAnsi="Wingdings" w:hint="default"/>
      </w:rPr>
    </w:lvl>
  </w:abstractNum>
  <w:abstractNum w:abstractNumId="26" w15:restartNumberingAfterBreak="0">
    <w:nsid w:val="73F70DA7"/>
    <w:multiLevelType w:val="hybridMultilevel"/>
    <w:tmpl w:val="4406109E"/>
    <w:lvl w:ilvl="0" w:tplc="8B48D160">
      <w:start w:val="1"/>
      <w:numFmt w:val="decimal"/>
      <w:pStyle w:val="paranumbered"/>
      <w:lvlText w:val="%1"/>
      <w:lvlJc w:val="left"/>
      <w:pPr>
        <w:ind w:left="0" w:firstLine="0"/>
      </w:pPr>
      <w:rPr>
        <w:rFonts w:ascii="Arial" w:hAnsi="Arial" w:hint="default"/>
        <w:b w:val="0"/>
        <w:i/>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194486"/>
    <w:multiLevelType w:val="hybridMultilevel"/>
    <w:tmpl w:val="272A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4"/>
  </w:num>
  <w:num w:numId="5">
    <w:abstractNumId w:val="5"/>
  </w:num>
  <w:num w:numId="6">
    <w:abstractNumId w:val="16"/>
  </w:num>
  <w:num w:numId="7">
    <w:abstractNumId w:val="16"/>
  </w:num>
  <w:num w:numId="8">
    <w:abstractNumId w:val="26"/>
  </w:num>
  <w:num w:numId="9">
    <w:abstractNumId w:val="23"/>
  </w:num>
  <w:num w:numId="10">
    <w:abstractNumId w:val="10"/>
  </w:num>
  <w:num w:numId="11">
    <w:abstractNumId w:val="19"/>
  </w:num>
  <w:num w:numId="12">
    <w:abstractNumId w:val="20"/>
  </w:num>
  <w:num w:numId="13">
    <w:abstractNumId w:val="18"/>
  </w:num>
  <w:num w:numId="14">
    <w:abstractNumId w:val="22"/>
  </w:num>
  <w:num w:numId="15">
    <w:abstractNumId w:val="3"/>
  </w:num>
  <w:num w:numId="16">
    <w:abstractNumId w:val="1"/>
  </w:num>
  <w:num w:numId="17">
    <w:abstractNumId w:val="27"/>
  </w:num>
  <w:num w:numId="18">
    <w:abstractNumId w:val="9"/>
  </w:num>
  <w:num w:numId="19">
    <w:abstractNumId w:val="13"/>
  </w:num>
  <w:num w:numId="20">
    <w:abstractNumId w:val="2"/>
  </w:num>
  <w:num w:numId="21">
    <w:abstractNumId w:val="15"/>
  </w:num>
  <w:num w:numId="22">
    <w:abstractNumId w:val="21"/>
  </w:num>
  <w:num w:numId="23">
    <w:abstractNumId w:val="7"/>
  </w:num>
  <w:num w:numId="24">
    <w:abstractNumId w:val="6"/>
  </w:num>
  <w:num w:numId="25">
    <w:abstractNumId w:val="12"/>
  </w:num>
  <w:num w:numId="26">
    <w:abstractNumId w:val="24"/>
  </w:num>
  <w:num w:numId="27">
    <w:abstractNumId w:val="8"/>
  </w:num>
  <w:num w:numId="28">
    <w:abstractNumId w:val="25"/>
  </w:num>
  <w:num w:numId="29">
    <w:abstractNumId w:val="17"/>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94"/>
    <w:rsid w:val="00003B31"/>
    <w:rsid w:val="00010BBB"/>
    <w:rsid w:val="00020AA1"/>
    <w:rsid w:val="00085D6A"/>
    <w:rsid w:val="00095FC6"/>
    <w:rsid w:val="000F0254"/>
    <w:rsid w:val="00123719"/>
    <w:rsid w:val="001241D7"/>
    <w:rsid w:val="00137E97"/>
    <w:rsid w:val="001448C4"/>
    <w:rsid w:val="00155393"/>
    <w:rsid w:val="00163C49"/>
    <w:rsid w:val="00167158"/>
    <w:rsid w:val="00196052"/>
    <w:rsid w:val="001B33EB"/>
    <w:rsid w:val="001B3B24"/>
    <w:rsid w:val="001C6455"/>
    <w:rsid w:val="0021210D"/>
    <w:rsid w:val="00294AD5"/>
    <w:rsid w:val="002C6394"/>
    <w:rsid w:val="002C7DE3"/>
    <w:rsid w:val="002E0859"/>
    <w:rsid w:val="0034156B"/>
    <w:rsid w:val="00355412"/>
    <w:rsid w:val="003561BE"/>
    <w:rsid w:val="003805F5"/>
    <w:rsid w:val="003A7860"/>
    <w:rsid w:val="003D3711"/>
    <w:rsid w:val="003F55CF"/>
    <w:rsid w:val="003F7186"/>
    <w:rsid w:val="004031FB"/>
    <w:rsid w:val="00413F17"/>
    <w:rsid w:val="00424DE6"/>
    <w:rsid w:val="00426B8C"/>
    <w:rsid w:val="004529B8"/>
    <w:rsid w:val="00467E3F"/>
    <w:rsid w:val="004A135F"/>
    <w:rsid w:val="004C1625"/>
    <w:rsid w:val="004E27E7"/>
    <w:rsid w:val="004F7D6C"/>
    <w:rsid w:val="005742D0"/>
    <w:rsid w:val="005C7A36"/>
    <w:rsid w:val="005C7D76"/>
    <w:rsid w:val="005E544C"/>
    <w:rsid w:val="006110DA"/>
    <w:rsid w:val="00616571"/>
    <w:rsid w:val="00633EA5"/>
    <w:rsid w:val="00654C89"/>
    <w:rsid w:val="00682613"/>
    <w:rsid w:val="006842FA"/>
    <w:rsid w:val="0068682C"/>
    <w:rsid w:val="00690A0C"/>
    <w:rsid w:val="00690FD2"/>
    <w:rsid w:val="00693199"/>
    <w:rsid w:val="006A5A61"/>
    <w:rsid w:val="006B4B95"/>
    <w:rsid w:val="006C18D9"/>
    <w:rsid w:val="006C6449"/>
    <w:rsid w:val="00737A18"/>
    <w:rsid w:val="00746B89"/>
    <w:rsid w:val="00751680"/>
    <w:rsid w:val="0079212B"/>
    <w:rsid w:val="008048D2"/>
    <w:rsid w:val="0081004E"/>
    <w:rsid w:val="008338A6"/>
    <w:rsid w:val="00853565"/>
    <w:rsid w:val="008A60C9"/>
    <w:rsid w:val="008A6E5C"/>
    <w:rsid w:val="008B384B"/>
    <w:rsid w:val="008D2398"/>
    <w:rsid w:val="008F6942"/>
    <w:rsid w:val="009026D3"/>
    <w:rsid w:val="00993CA4"/>
    <w:rsid w:val="009B0D7B"/>
    <w:rsid w:val="009B63AB"/>
    <w:rsid w:val="009C0A89"/>
    <w:rsid w:val="009C15B1"/>
    <w:rsid w:val="009E6A03"/>
    <w:rsid w:val="009F3A67"/>
    <w:rsid w:val="009F7769"/>
    <w:rsid w:val="00A11697"/>
    <w:rsid w:val="00A16A59"/>
    <w:rsid w:val="00A25BC8"/>
    <w:rsid w:val="00A75EC4"/>
    <w:rsid w:val="00AD06D8"/>
    <w:rsid w:val="00AD3D55"/>
    <w:rsid w:val="00B722DE"/>
    <w:rsid w:val="00B83068"/>
    <w:rsid w:val="00BD6603"/>
    <w:rsid w:val="00BF069C"/>
    <w:rsid w:val="00BF3835"/>
    <w:rsid w:val="00BF3BF2"/>
    <w:rsid w:val="00C1002D"/>
    <w:rsid w:val="00C2635E"/>
    <w:rsid w:val="00C3684D"/>
    <w:rsid w:val="00C4032B"/>
    <w:rsid w:val="00C6486C"/>
    <w:rsid w:val="00C648D3"/>
    <w:rsid w:val="00C75B02"/>
    <w:rsid w:val="00C962F0"/>
    <w:rsid w:val="00CE043A"/>
    <w:rsid w:val="00D013ED"/>
    <w:rsid w:val="00D36BDC"/>
    <w:rsid w:val="00D5049E"/>
    <w:rsid w:val="00D55FEC"/>
    <w:rsid w:val="00DD0880"/>
    <w:rsid w:val="00DF2FB9"/>
    <w:rsid w:val="00E63DEF"/>
    <w:rsid w:val="00E64936"/>
    <w:rsid w:val="00E74D31"/>
    <w:rsid w:val="00EE0542"/>
    <w:rsid w:val="00EE10D0"/>
    <w:rsid w:val="00F463F2"/>
    <w:rsid w:val="00F63C9F"/>
    <w:rsid w:val="00F66CC5"/>
    <w:rsid w:val="00F8186D"/>
    <w:rsid w:val="00FA0E50"/>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6309B5"/>
  <w15:docId w15:val="{3788035D-DE4E-944E-A67A-1C90C57D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rsid w:val="00F66CC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F66CC5"/>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customStyle="1" w:styleId="paranumbered">
    <w:name w:val="paranumbered"/>
    <w:basedOn w:val="Normal"/>
    <w:next w:val="Normal"/>
    <w:qFormat/>
    <w:rsid w:val="00EE10D0"/>
    <w:pPr>
      <w:numPr>
        <w:numId w:val="8"/>
      </w:numPr>
      <w:tabs>
        <w:tab w:val="clear" w:pos="567"/>
      </w:tabs>
      <w:snapToGrid/>
      <w:spacing w:before="120" w:line="276" w:lineRule="auto"/>
      <w:ind w:hanging="567"/>
      <w:jc w:val="both"/>
    </w:pPr>
    <w:rPr>
      <w:rFonts w:eastAsia="Arial" w:cs="Arial"/>
      <w:snapToGrid/>
      <w:szCs w:val="22"/>
      <w:lang w:eastAsia="en-GB"/>
    </w:rPr>
  </w:style>
  <w:style w:type="paragraph" w:styleId="ListParagraph">
    <w:name w:val="List Paragraph"/>
    <w:basedOn w:val="Normal"/>
    <w:uiPriority w:val="34"/>
    <w:qFormat/>
    <w:rsid w:val="0065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612078">
      <w:bodyDiv w:val="1"/>
      <w:marLeft w:val="0"/>
      <w:marRight w:val="0"/>
      <w:marTop w:val="0"/>
      <w:marBottom w:val="0"/>
      <w:divBdr>
        <w:top w:val="none" w:sz="0" w:space="0" w:color="auto"/>
        <w:left w:val="none" w:sz="0" w:space="0" w:color="auto"/>
        <w:bottom w:val="none" w:sz="0" w:space="0" w:color="auto"/>
        <w:right w:val="none" w:sz="0" w:space="0" w:color="auto"/>
      </w:divBdr>
    </w:div>
    <w:div w:id="14491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yperlink" Target="https://iode.org/index.php?option=com_oe&amp;task=viewDocumentRecord&amp;docID=27804"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infohub.or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ceanexpert.org/document/2807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ode.org/index.php?option=com_content&amp;view=article&amp;id=651&amp;Itemid=10041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1394</Words>
  <Characters>7982</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Boned, Patrice</cp:lastModifiedBy>
  <cp:revision>3</cp:revision>
  <cp:lastPrinted>2002-06-12T09:28:00Z</cp:lastPrinted>
  <dcterms:created xsi:type="dcterms:W3CDTF">2021-05-19T10:40:00Z</dcterms:created>
  <dcterms:modified xsi:type="dcterms:W3CDTF">2021-05-19T10:40:00Z</dcterms:modified>
</cp:coreProperties>
</file>